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A280" w14:textId="00D144BC" w:rsidR="00BB2C85" w:rsidRPr="00DD1DFA" w:rsidRDefault="006656E8" w:rsidP="0037392B">
      <w:pPr>
        <w:pStyle w:val="Pagedecouverture"/>
        <w:rPr>
          <w:noProof/>
        </w:rPr>
      </w:pPr>
      <w:r>
        <w:rPr>
          <w:noProof/>
        </w:rPr>
        <w:pict w14:anchorId="2D8F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A860A20-3FAB-46F0-9064-86DE4240A6A3" style="width:455.25pt;height:441pt">
            <v:imagedata r:id="rId8" o:title=""/>
          </v:shape>
        </w:pict>
      </w:r>
    </w:p>
    <w:p w14:paraId="400FAF03" w14:textId="77777777" w:rsidR="0032650C" w:rsidRPr="00DD1DFA" w:rsidRDefault="0032650C" w:rsidP="0032650C">
      <w:pPr>
        <w:rPr>
          <w:noProof/>
        </w:rPr>
        <w:sectPr w:rsidR="0032650C" w:rsidRPr="00DD1DFA" w:rsidSect="0037392B">
          <w:footerReference w:type="default" r:id="rId9"/>
          <w:pgSz w:w="11907" w:h="16839"/>
          <w:pgMar w:top="1134" w:right="1417" w:bottom="1134" w:left="1417" w:header="709" w:footer="709" w:gutter="0"/>
          <w:pgNumType w:start="0"/>
          <w:cols w:space="720"/>
          <w:docGrid w:linePitch="360"/>
        </w:sectPr>
      </w:pPr>
    </w:p>
    <w:p w14:paraId="34B9EDDE" w14:textId="77777777" w:rsidR="00BB2C85" w:rsidRPr="00DD1DFA" w:rsidRDefault="00BB2C85" w:rsidP="00B67CC8">
      <w:pPr>
        <w:pStyle w:val="Exposdesmotifstitre"/>
        <w:rPr>
          <w:noProof/>
        </w:rPr>
      </w:pPr>
      <w:r w:rsidRPr="00DD1DFA">
        <w:rPr>
          <w:noProof/>
        </w:rPr>
        <w:lastRenderedPageBreak/>
        <w:t>UZASADNIENIE</w:t>
      </w:r>
    </w:p>
    <w:p w14:paraId="5BE73E14" w14:textId="77777777" w:rsidR="00AA79E1" w:rsidRPr="00DD1DFA" w:rsidRDefault="00AA79E1" w:rsidP="00AA79E1">
      <w:pPr>
        <w:pStyle w:val="ManualHeading1"/>
        <w:rPr>
          <w:rFonts w:eastAsia="Calibri"/>
          <w:noProof/>
        </w:rPr>
      </w:pPr>
      <w:r w:rsidRPr="00DD1DFA">
        <w:rPr>
          <w:noProof/>
        </w:rPr>
        <w:t>1.</w:t>
      </w:r>
      <w:r w:rsidRPr="00DD1DFA">
        <w:rPr>
          <w:noProof/>
        </w:rPr>
        <w:tab/>
        <w:t>KONTEKST WNIOSKU</w:t>
      </w:r>
    </w:p>
    <w:p w14:paraId="51457CB3" w14:textId="31FB7C19" w:rsidR="00AA79E1" w:rsidRPr="00DD1DFA" w:rsidRDefault="00AA79E1" w:rsidP="00AA79E1">
      <w:pPr>
        <w:pStyle w:val="ManualHeading2"/>
        <w:rPr>
          <w:rFonts w:eastAsia="Calibri"/>
          <w:noProof/>
        </w:rPr>
      </w:pPr>
      <w:r w:rsidRPr="00DD1DFA">
        <w:rPr>
          <w:noProof/>
          <w:color w:val="000000"/>
          <w:bdr w:val="none" w:sz="0" w:space="0" w:color="auto" w:frame="1"/>
        </w:rPr>
        <w:t>•</w:t>
      </w:r>
      <w:r w:rsidRPr="00DD1DFA">
        <w:rPr>
          <w:noProof/>
        </w:rPr>
        <w:tab/>
        <w:t>Przyczyny</w:t>
      </w:r>
      <w:r w:rsidR="00DD1DFA" w:rsidRPr="00DD1DFA">
        <w:rPr>
          <w:noProof/>
        </w:rPr>
        <w:t xml:space="preserve"> i</w:t>
      </w:r>
      <w:r w:rsidR="00DD1DFA">
        <w:rPr>
          <w:noProof/>
        </w:rPr>
        <w:t> </w:t>
      </w:r>
      <w:r w:rsidR="00DD1DFA" w:rsidRPr="00DD1DFA">
        <w:rPr>
          <w:noProof/>
        </w:rPr>
        <w:t>cel</w:t>
      </w:r>
      <w:r w:rsidRPr="00DD1DFA">
        <w:rPr>
          <w:noProof/>
        </w:rPr>
        <w:t>e wniosku</w:t>
      </w:r>
    </w:p>
    <w:p w14:paraId="71CDCD65" w14:textId="22A6669C" w:rsidR="004E75DC" w:rsidRPr="00DD1DFA" w:rsidRDefault="004E75DC" w:rsidP="004E75DC">
      <w:pPr>
        <w:rPr>
          <w:noProof/>
          <w:szCs w:val="24"/>
        </w:rPr>
      </w:pPr>
      <w:r w:rsidRPr="00DD1DFA">
        <w:rPr>
          <w:noProof/>
        </w:rPr>
        <w:t>Rozporządzenie Parlamentu Europejskiego</w:t>
      </w:r>
      <w:r w:rsidR="00DD1DFA" w:rsidRPr="00DD1DFA">
        <w:rPr>
          <w:noProof/>
        </w:rPr>
        <w:t xml:space="preserve"> i</w:t>
      </w:r>
      <w:r w:rsidR="00DD1DFA">
        <w:rPr>
          <w:noProof/>
        </w:rPr>
        <w:t> </w:t>
      </w:r>
      <w:r w:rsidR="00DD1DFA" w:rsidRPr="00DD1DFA">
        <w:rPr>
          <w:noProof/>
        </w:rPr>
        <w:t>Rad</w:t>
      </w:r>
      <w:r w:rsidRPr="00DD1DFA">
        <w:rPr>
          <w:noProof/>
        </w:rPr>
        <w:t>y (UE) nr</w:t>
      </w:r>
      <w:r w:rsidR="00DD1DFA" w:rsidRPr="00DD1DFA">
        <w:rPr>
          <w:noProof/>
        </w:rPr>
        <w:t> </w:t>
      </w:r>
      <w:r w:rsidRPr="00DD1DFA">
        <w:rPr>
          <w:noProof/>
        </w:rPr>
        <w:t>305/2011 („rozporządzenie</w:t>
      </w:r>
      <w:r w:rsidR="00DD1DFA" w:rsidRPr="00DD1DFA">
        <w:rPr>
          <w:noProof/>
        </w:rPr>
        <w:t xml:space="preserve"> w</w:t>
      </w:r>
      <w:r w:rsidR="00DD1DFA">
        <w:rPr>
          <w:noProof/>
        </w:rPr>
        <w:t> </w:t>
      </w:r>
      <w:r w:rsidR="00DD1DFA" w:rsidRPr="00DD1DFA">
        <w:rPr>
          <w:noProof/>
        </w:rPr>
        <w:t>spr</w:t>
      </w:r>
      <w:r w:rsidRPr="00DD1DFA">
        <w:rPr>
          <w:noProof/>
        </w:rPr>
        <w:t>awie wyrobów budowlanych”) określa zharmonizowane warunki wprowadzania do obrotu wyrobów budowlanych</w:t>
      </w:r>
      <w:r w:rsidRPr="00DD1DFA">
        <w:rPr>
          <w:rStyle w:val="Odwoanieprzypisudolnego"/>
          <w:noProof/>
        </w:rPr>
        <w:footnoteReference w:id="1"/>
      </w:r>
      <w:r w:rsidRPr="00DD1DFA">
        <w:rPr>
          <w:noProof/>
        </w:rPr>
        <w:t>. Rozporządzenie</w:t>
      </w:r>
      <w:r w:rsidR="00DD1DFA" w:rsidRPr="00DD1DFA">
        <w:rPr>
          <w:noProof/>
        </w:rPr>
        <w:t xml:space="preserve"> w</w:t>
      </w:r>
      <w:r w:rsidR="00DD1DFA">
        <w:rPr>
          <w:noProof/>
        </w:rPr>
        <w:t> </w:t>
      </w:r>
      <w:r w:rsidR="00DD1DFA" w:rsidRPr="00DD1DFA">
        <w:rPr>
          <w:noProof/>
        </w:rPr>
        <w:t>spr</w:t>
      </w:r>
      <w:r w:rsidRPr="00DD1DFA">
        <w:rPr>
          <w:noProof/>
        </w:rPr>
        <w:t>awie wyrobów budowlanych zapewnia sprawne funkcjonowanie jednolitego rynku</w:t>
      </w:r>
      <w:r w:rsidR="00DD1DFA" w:rsidRPr="00DD1DFA">
        <w:rPr>
          <w:noProof/>
        </w:rPr>
        <w:t xml:space="preserve"> i</w:t>
      </w:r>
      <w:r w:rsidR="00DD1DFA">
        <w:rPr>
          <w:noProof/>
        </w:rPr>
        <w:t> </w:t>
      </w:r>
      <w:r w:rsidR="00DD1DFA" w:rsidRPr="00DD1DFA">
        <w:rPr>
          <w:noProof/>
        </w:rPr>
        <w:t>swo</w:t>
      </w:r>
      <w:r w:rsidRPr="00DD1DFA">
        <w:rPr>
          <w:noProof/>
        </w:rPr>
        <w:t>bodny przepływ wyrobów budowlanych w UE. Zapewnia to dzięki zharmonizowanym specyfikacjom technicznym,</w:t>
      </w:r>
      <w:r w:rsidR="00DD1DFA" w:rsidRPr="00DD1DFA">
        <w:rPr>
          <w:noProof/>
        </w:rPr>
        <w:t xml:space="preserve"> w</w:t>
      </w:r>
      <w:r w:rsidR="00DD1DFA">
        <w:rPr>
          <w:noProof/>
        </w:rPr>
        <w:t> </w:t>
      </w:r>
      <w:r w:rsidR="00DD1DFA" w:rsidRPr="00DD1DFA">
        <w:rPr>
          <w:noProof/>
        </w:rPr>
        <w:t>któ</w:t>
      </w:r>
      <w:r w:rsidRPr="00DD1DFA">
        <w:rPr>
          <w:noProof/>
        </w:rPr>
        <w:t>rych przewidziano wspólny język techniczny dotyczący sposobów badania</w:t>
      </w:r>
      <w:r w:rsidR="00DD1DFA" w:rsidRPr="00DD1DFA">
        <w:rPr>
          <w:noProof/>
        </w:rPr>
        <w:t xml:space="preserve"> i</w:t>
      </w:r>
      <w:r w:rsidR="00DD1DFA">
        <w:rPr>
          <w:noProof/>
        </w:rPr>
        <w:t> </w:t>
      </w:r>
      <w:r w:rsidR="00DD1DFA" w:rsidRPr="00DD1DFA">
        <w:rPr>
          <w:noProof/>
        </w:rPr>
        <w:t>inf</w:t>
      </w:r>
      <w:r w:rsidRPr="00DD1DFA">
        <w:rPr>
          <w:noProof/>
        </w:rPr>
        <w:t>ormowania</w:t>
      </w:r>
      <w:r w:rsidR="00DD1DFA" w:rsidRPr="00DD1DFA">
        <w:rPr>
          <w:noProof/>
        </w:rPr>
        <w:t xml:space="preserve"> o</w:t>
      </w:r>
      <w:r w:rsidR="00DD1DFA">
        <w:rPr>
          <w:noProof/>
        </w:rPr>
        <w:t> </w:t>
      </w:r>
      <w:r w:rsidR="00DD1DFA" w:rsidRPr="00DD1DFA">
        <w:rPr>
          <w:noProof/>
        </w:rPr>
        <w:t>wła</w:t>
      </w:r>
      <w:r w:rsidRPr="00DD1DFA">
        <w:rPr>
          <w:noProof/>
        </w:rPr>
        <w:t>ściwościach użytkowych wyrobów budowlanych (np.</w:t>
      </w:r>
      <w:r w:rsidR="00DD1DFA" w:rsidRPr="00DD1DFA">
        <w:rPr>
          <w:noProof/>
        </w:rPr>
        <w:t xml:space="preserve"> w</w:t>
      </w:r>
      <w:r w:rsidR="00DD1DFA">
        <w:rPr>
          <w:noProof/>
        </w:rPr>
        <w:t> </w:t>
      </w:r>
      <w:r w:rsidR="00DD1DFA" w:rsidRPr="00DD1DFA">
        <w:rPr>
          <w:noProof/>
        </w:rPr>
        <w:t>zak</w:t>
      </w:r>
      <w:r w:rsidRPr="00DD1DFA">
        <w:rPr>
          <w:noProof/>
        </w:rPr>
        <w:t>resie reakcji na ogień, przewodnictwa cieplnego właściwego lub izolacyjności akustycznej). Stosowanie norm jest obowiązkowe, jeśli są one przywoływane</w:t>
      </w:r>
      <w:r w:rsidR="00DD1DFA" w:rsidRPr="00DD1DFA">
        <w:rPr>
          <w:noProof/>
        </w:rPr>
        <w:t xml:space="preserve"> w</w:t>
      </w:r>
      <w:r w:rsidR="00DD1DFA">
        <w:rPr>
          <w:noProof/>
        </w:rPr>
        <w:t> </w:t>
      </w:r>
      <w:r w:rsidR="00DD1DFA" w:rsidRPr="00DD1DFA">
        <w:rPr>
          <w:i/>
          <w:iCs/>
          <w:noProof/>
        </w:rPr>
        <w:t>Dzi</w:t>
      </w:r>
      <w:r w:rsidRPr="00DD1DFA">
        <w:rPr>
          <w:i/>
          <w:iCs/>
          <w:noProof/>
        </w:rPr>
        <w:t>enniku Urzędowym Unii Europejskiej</w:t>
      </w:r>
      <w:r w:rsidRPr="00DD1DFA">
        <w:rPr>
          <w:noProof/>
        </w:rPr>
        <w:t>. Wyroby budowlane objęte takimi normami muszą posiadać oznakowanie CE, które wskazuje, że są one zgodne</w:t>
      </w:r>
      <w:r w:rsidR="00DD1DFA" w:rsidRPr="00DD1DFA">
        <w:rPr>
          <w:noProof/>
        </w:rPr>
        <w:t xml:space="preserve"> z</w:t>
      </w:r>
      <w:r w:rsidR="00DD1DFA">
        <w:rPr>
          <w:noProof/>
        </w:rPr>
        <w:t> </w:t>
      </w:r>
      <w:r w:rsidR="00DD1DFA" w:rsidRPr="00DD1DFA">
        <w:rPr>
          <w:noProof/>
        </w:rPr>
        <w:t>dek</w:t>
      </w:r>
      <w:r w:rsidRPr="00DD1DFA">
        <w:rPr>
          <w:noProof/>
        </w:rPr>
        <w:t>larowanymi właściwościami użytkowymi. Wówczas wyroby takie mogą być przedmiotem swobodnego obrotu</w:t>
      </w:r>
      <w:r w:rsidR="00DD1DFA" w:rsidRPr="00DD1DFA">
        <w:rPr>
          <w:noProof/>
        </w:rPr>
        <w:t xml:space="preserve"> w</w:t>
      </w:r>
      <w:r w:rsidR="00DD1DFA">
        <w:rPr>
          <w:noProof/>
        </w:rPr>
        <w:t> </w:t>
      </w:r>
      <w:r w:rsidR="00DD1DFA" w:rsidRPr="00DD1DFA">
        <w:rPr>
          <w:noProof/>
        </w:rPr>
        <w:t>obr</w:t>
      </w:r>
      <w:r w:rsidRPr="00DD1DFA">
        <w:rPr>
          <w:noProof/>
        </w:rPr>
        <w:t>ębie jednolitego rynku. Państwa członkowskie UE nie mogą wymagać żadnych dodatkowych znaków, certyfikatów ani badań</w:t>
      </w:r>
      <w:r w:rsidR="00DD1DFA" w:rsidRPr="00DD1DFA">
        <w:rPr>
          <w:noProof/>
        </w:rPr>
        <w:t>. W</w:t>
      </w:r>
      <w:r w:rsidR="00DD1DFA">
        <w:rPr>
          <w:noProof/>
        </w:rPr>
        <w:t> </w:t>
      </w:r>
      <w:r w:rsidR="00DD1DFA" w:rsidRPr="00DD1DFA">
        <w:rPr>
          <w:noProof/>
        </w:rPr>
        <w:t>roz</w:t>
      </w:r>
      <w:r w:rsidRPr="00DD1DFA">
        <w:rPr>
          <w:noProof/>
        </w:rPr>
        <w:t>porządzeniu</w:t>
      </w:r>
      <w:r w:rsidR="00DD1DFA" w:rsidRPr="00DD1DFA">
        <w:rPr>
          <w:noProof/>
        </w:rPr>
        <w:t xml:space="preserve"> w</w:t>
      </w:r>
      <w:r w:rsidR="00DD1DFA">
        <w:rPr>
          <w:noProof/>
        </w:rPr>
        <w:t> </w:t>
      </w:r>
      <w:r w:rsidR="00DD1DFA" w:rsidRPr="00DD1DFA">
        <w:rPr>
          <w:noProof/>
        </w:rPr>
        <w:t>spr</w:t>
      </w:r>
      <w:r w:rsidRPr="00DD1DFA">
        <w:rPr>
          <w:noProof/>
        </w:rPr>
        <w:t>awie wyrobów budowlanych nie określono wymogów dotyczących wyrobów. Państwa członkowskie UE są odpowiedzialne za wymogi</w:t>
      </w:r>
      <w:r w:rsidR="00DD1DFA" w:rsidRPr="00DD1DFA">
        <w:rPr>
          <w:noProof/>
        </w:rPr>
        <w:t xml:space="preserve"> w</w:t>
      </w:r>
      <w:r w:rsidR="00DD1DFA">
        <w:rPr>
          <w:noProof/>
        </w:rPr>
        <w:t> </w:t>
      </w:r>
      <w:r w:rsidR="00DD1DFA" w:rsidRPr="00DD1DFA">
        <w:rPr>
          <w:noProof/>
        </w:rPr>
        <w:t>zak</w:t>
      </w:r>
      <w:r w:rsidRPr="00DD1DFA">
        <w:rPr>
          <w:noProof/>
        </w:rPr>
        <w:t>resie bezpieczeństwa, ochrony środowiska</w:t>
      </w:r>
      <w:r w:rsidR="00DD1DFA" w:rsidRPr="00DD1DFA">
        <w:rPr>
          <w:noProof/>
        </w:rPr>
        <w:t xml:space="preserve"> i</w:t>
      </w:r>
      <w:r w:rsidR="00DD1DFA">
        <w:rPr>
          <w:noProof/>
        </w:rPr>
        <w:t> </w:t>
      </w:r>
      <w:r w:rsidR="00DD1DFA" w:rsidRPr="00DD1DFA">
        <w:rPr>
          <w:noProof/>
        </w:rPr>
        <w:t>ene</w:t>
      </w:r>
      <w:r w:rsidRPr="00DD1DFA">
        <w:rPr>
          <w:noProof/>
        </w:rPr>
        <w:t>rgii mające zastosowanie do budynków</w:t>
      </w:r>
      <w:r w:rsidR="00DD1DFA" w:rsidRPr="00DD1DFA">
        <w:rPr>
          <w:noProof/>
        </w:rPr>
        <w:t xml:space="preserve"> i</w:t>
      </w:r>
      <w:r w:rsidR="00DD1DFA">
        <w:rPr>
          <w:noProof/>
        </w:rPr>
        <w:t> </w:t>
      </w:r>
      <w:r w:rsidR="00DD1DFA" w:rsidRPr="00DD1DFA">
        <w:rPr>
          <w:noProof/>
        </w:rPr>
        <w:t>pra</w:t>
      </w:r>
      <w:r w:rsidRPr="00DD1DFA">
        <w:rPr>
          <w:noProof/>
        </w:rPr>
        <w:t>c inżynierii lądowej.</w:t>
      </w:r>
    </w:p>
    <w:p w14:paraId="7F4D8AE2" w14:textId="1DD47B34" w:rsidR="004E75DC" w:rsidRPr="00DD1DFA" w:rsidRDefault="004E75DC" w:rsidP="004E75DC">
      <w:pPr>
        <w:spacing w:before="0" w:after="240"/>
        <w:rPr>
          <w:rFonts w:eastAsia="Times New Roman"/>
          <w:noProof/>
        </w:rPr>
      </w:pPr>
      <w:r w:rsidRPr="00DD1DFA">
        <w:rPr>
          <w:noProof/>
        </w:rPr>
        <w:t>W sprawozdaniu Komisji</w:t>
      </w:r>
      <w:r w:rsidR="00DD1DFA" w:rsidRPr="00DD1DFA">
        <w:rPr>
          <w:noProof/>
        </w:rPr>
        <w:t xml:space="preserve"> z</w:t>
      </w:r>
      <w:r w:rsidR="00DD1DFA">
        <w:rPr>
          <w:noProof/>
        </w:rPr>
        <w:t> </w:t>
      </w:r>
      <w:r w:rsidR="00DD1DFA" w:rsidRPr="00DD1DFA">
        <w:rPr>
          <w:noProof/>
        </w:rPr>
        <w:t>wyk</w:t>
      </w:r>
      <w:r w:rsidRPr="00DD1DFA">
        <w:rPr>
          <w:noProof/>
        </w:rPr>
        <w:t>onania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w:t>
      </w:r>
      <w:r w:rsidR="00DD1DFA" w:rsidRPr="00DD1DFA">
        <w:rPr>
          <w:noProof/>
        </w:rPr>
        <w:t xml:space="preserve"> z</w:t>
      </w:r>
      <w:r w:rsidR="00DD1DFA">
        <w:rPr>
          <w:noProof/>
        </w:rPr>
        <w:t> </w:t>
      </w:r>
      <w:r w:rsidR="00DD1DFA" w:rsidRPr="00DD1DFA">
        <w:rPr>
          <w:noProof/>
        </w:rPr>
        <w:t>2</w:t>
      </w:r>
      <w:r w:rsidRPr="00DD1DFA">
        <w:rPr>
          <w:noProof/>
        </w:rPr>
        <w:t>016</w:t>
      </w:r>
      <w:r w:rsidR="00DD1DFA" w:rsidRPr="00DD1DFA">
        <w:rPr>
          <w:noProof/>
        </w:rPr>
        <w:t> </w:t>
      </w:r>
      <w:r w:rsidRPr="00DD1DFA">
        <w:rPr>
          <w:noProof/>
        </w:rPr>
        <w:t>r.</w:t>
      </w:r>
      <w:r w:rsidRPr="00DD1DFA">
        <w:rPr>
          <w:rStyle w:val="Odwoanieprzypisudolnego"/>
          <w:noProof/>
        </w:rPr>
        <w:footnoteReference w:id="2"/>
      </w:r>
      <w:r w:rsidRPr="00DD1DFA">
        <w:rPr>
          <w:noProof/>
        </w:rPr>
        <w:t xml:space="preserve"> wskazano pewne uchybienia</w:t>
      </w:r>
      <w:r w:rsidR="00DD1DFA" w:rsidRPr="00DD1DFA">
        <w:rPr>
          <w:noProof/>
        </w:rPr>
        <w:t xml:space="preserve"> w</w:t>
      </w:r>
      <w:r w:rsidR="00DD1DFA">
        <w:rPr>
          <w:noProof/>
        </w:rPr>
        <w:t> </w:t>
      </w:r>
      <w:r w:rsidR="00DD1DFA" w:rsidRPr="00DD1DFA">
        <w:rPr>
          <w:noProof/>
        </w:rPr>
        <w:t>jeg</w:t>
      </w:r>
      <w:r w:rsidRPr="00DD1DFA">
        <w:rPr>
          <w:noProof/>
        </w:rPr>
        <w:t>o wdrażaniu oraz znaczącą liczbę problemów związanych m.in.</w:t>
      </w:r>
      <w:r w:rsidR="00DD1DFA" w:rsidRPr="00DD1DFA">
        <w:rPr>
          <w:noProof/>
        </w:rPr>
        <w:t xml:space="preserve"> z</w:t>
      </w:r>
      <w:r w:rsidR="00DD1DFA">
        <w:rPr>
          <w:noProof/>
        </w:rPr>
        <w:t> </w:t>
      </w:r>
      <w:r w:rsidR="00DD1DFA" w:rsidRPr="00DD1DFA">
        <w:rPr>
          <w:noProof/>
        </w:rPr>
        <w:t>nor</w:t>
      </w:r>
      <w:r w:rsidRPr="00DD1DFA">
        <w:rPr>
          <w:noProof/>
        </w:rPr>
        <w:t>malizacją, uproszczeniem dla mikroprzedsiębiorstw, nadzorem rynku</w:t>
      </w:r>
      <w:r w:rsidR="00DD1DFA" w:rsidRPr="00DD1DFA">
        <w:rPr>
          <w:noProof/>
        </w:rPr>
        <w:t xml:space="preserve"> i</w:t>
      </w:r>
      <w:r w:rsidR="00DD1DFA">
        <w:rPr>
          <w:noProof/>
        </w:rPr>
        <w:t> </w:t>
      </w:r>
      <w:r w:rsidR="00DD1DFA" w:rsidRPr="00DD1DFA">
        <w:rPr>
          <w:noProof/>
        </w:rPr>
        <w:t>egz</w:t>
      </w:r>
      <w:r w:rsidRPr="00DD1DFA">
        <w:rPr>
          <w:noProof/>
        </w:rPr>
        <w:t>ekwowaniem przepisów, co wymaga dalszej analizy</w:t>
      </w:r>
      <w:r w:rsidR="00DD1DFA" w:rsidRPr="00DD1DFA">
        <w:rPr>
          <w:noProof/>
        </w:rPr>
        <w:t xml:space="preserve"> i</w:t>
      </w:r>
      <w:r w:rsidR="00DD1DFA">
        <w:rPr>
          <w:noProof/>
        </w:rPr>
        <w:t> </w:t>
      </w:r>
      <w:r w:rsidR="00DD1DFA" w:rsidRPr="00DD1DFA">
        <w:rPr>
          <w:noProof/>
        </w:rPr>
        <w:t>dys</w:t>
      </w:r>
      <w:r w:rsidRPr="00DD1DFA">
        <w:rPr>
          <w:noProof/>
        </w:rPr>
        <w:t>kusji</w:t>
      </w:r>
      <w:r w:rsidR="00DD1DFA" w:rsidRPr="00DD1DFA">
        <w:rPr>
          <w:noProof/>
        </w:rPr>
        <w:t>. W</w:t>
      </w:r>
      <w:r w:rsidR="00DD1DFA">
        <w:rPr>
          <w:noProof/>
        </w:rPr>
        <w:t> </w:t>
      </w:r>
      <w:r w:rsidR="00DD1DFA" w:rsidRPr="00DD1DFA">
        <w:rPr>
          <w:noProof/>
        </w:rPr>
        <w:t>oce</w:t>
      </w:r>
      <w:r w:rsidRPr="00DD1DFA">
        <w:rPr>
          <w:noProof/>
        </w:rPr>
        <w:t>nie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w:t>
      </w:r>
      <w:r w:rsidRPr="00DD1DFA">
        <w:rPr>
          <w:rStyle w:val="Odwoanieprzypisudolnego"/>
          <w:noProof/>
        </w:rPr>
        <w:footnoteReference w:id="3"/>
      </w:r>
      <w:r w:rsidRPr="00DD1DFA">
        <w:rPr>
          <w:noProof/>
        </w:rPr>
        <w:t>, opiniach platformy REFIT, jak również</w:t>
      </w:r>
      <w:r w:rsidR="00DD1DFA" w:rsidRPr="00DD1DFA">
        <w:rPr>
          <w:noProof/>
        </w:rPr>
        <w:t xml:space="preserve"> w</w:t>
      </w:r>
      <w:r w:rsidR="00DD1DFA">
        <w:rPr>
          <w:noProof/>
        </w:rPr>
        <w:t> </w:t>
      </w:r>
      <w:r w:rsidR="00DD1DFA" w:rsidRPr="00DD1DFA">
        <w:rPr>
          <w:noProof/>
        </w:rPr>
        <w:t>inf</w:t>
      </w:r>
      <w:r w:rsidRPr="00DD1DFA">
        <w:rPr>
          <w:noProof/>
        </w:rPr>
        <w:t>ormacjach zwrotnych od państw członkowskich</w:t>
      </w:r>
      <w:r w:rsidR="00DD1DFA" w:rsidRPr="00DD1DFA">
        <w:rPr>
          <w:noProof/>
        </w:rPr>
        <w:t xml:space="preserve"> i</w:t>
      </w:r>
      <w:r w:rsidR="00DD1DFA">
        <w:rPr>
          <w:noProof/>
        </w:rPr>
        <w:t> </w:t>
      </w:r>
      <w:r w:rsidR="00DD1DFA" w:rsidRPr="00DD1DFA">
        <w:rPr>
          <w:noProof/>
        </w:rPr>
        <w:t>zai</w:t>
      </w:r>
      <w:r w:rsidRPr="00DD1DFA">
        <w:rPr>
          <w:noProof/>
        </w:rPr>
        <w:t>nteresowanych stron wyraźnie wskazano na niedociągnięcia</w:t>
      </w:r>
      <w:r w:rsidR="00DD1DFA" w:rsidRPr="00DD1DFA">
        <w:rPr>
          <w:noProof/>
        </w:rPr>
        <w:t xml:space="preserve"> w</w:t>
      </w:r>
      <w:r w:rsidR="00DD1DFA">
        <w:rPr>
          <w:noProof/>
        </w:rPr>
        <w:t> </w:t>
      </w:r>
      <w:r w:rsidR="00DD1DFA" w:rsidRPr="00DD1DFA">
        <w:rPr>
          <w:noProof/>
        </w:rPr>
        <w:t>ram</w:t>
      </w:r>
      <w:r w:rsidRPr="00DD1DFA">
        <w:rPr>
          <w:noProof/>
        </w:rPr>
        <w:t>ach prawnych, które utrudniają funkcjonowanie jednolitego rynku wyrobów budowlanych,</w:t>
      </w:r>
      <w:r w:rsidR="00DD1DFA" w:rsidRPr="00DD1DFA">
        <w:rPr>
          <w:noProof/>
        </w:rPr>
        <w:t xml:space="preserve"> a</w:t>
      </w:r>
      <w:r w:rsidR="00DD1DFA">
        <w:rPr>
          <w:noProof/>
        </w:rPr>
        <w:t> </w:t>
      </w:r>
      <w:r w:rsidR="00DD1DFA" w:rsidRPr="00DD1DFA">
        <w:rPr>
          <w:noProof/>
        </w:rPr>
        <w:t>tym</w:t>
      </w:r>
      <w:r w:rsidRPr="00DD1DFA">
        <w:rPr>
          <w:noProof/>
        </w:rPr>
        <w:t xml:space="preserve"> samym nie pozwalają na osiągnięcie celów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w:t>
      </w:r>
    </w:p>
    <w:p w14:paraId="5CD5EF38" w14:textId="0AC467F9" w:rsidR="004E75DC" w:rsidRPr="00DD1DFA" w:rsidRDefault="004E75DC" w:rsidP="004E75DC">
      <w:pPr>
        <w:spacing w:before="0" w:after="240"/>
        <w:rPr>
          <w:rFonts w:eastAsia="Calibri"/>
          <w:noProof/>
        </w:rPr>
      </w:pPr>
      <w:r w:rsidRPr="00DD1DFA">
        <w:rPr>
          <w:noProof/>
        </w:rPr>
        <w:t>W komunikacie „Czysta energia dla wszystkich Europejczyków”</w:t>
      </w:r>
      <w:r w:rsidR="00DD1DFA" w:rsidRPr="00DD1DFA">
        <w:rPr>
          <w:noProof/>
        </w:rPr>
        <w:t xml:space="preserve"> z</w:t>
      </w:r>
      <w:r w:rsidR="00DD1DFA">
        <w:rPr>
          <w:noProof/>
        </w:rPr>
        <w:t> </w:t>
      </w:r>
      <w:r w:rsidR="00DD1DFA" w:rsidRPr="00DD1DFA">
        <w:rPr>
          <w:noProof/>
        </w:rPr>
        <w:t>lis</w:t>
      </w:r>
      <w:r w:rsidRPr="00DD1DFA">
        <w:rPr>
          <w:noProof/>
        </w:rPr>
        <w:t>topada 2016</w:t>
      </w:r>
      <w:r w:rsidR="00DD1DFA" w:rsidRPr="00DD1DFA">
        <w:rPr>
          <w:noProof/>
        </w:rPr>
        <w:t> </w:t>
      </w:r>
      <w:r w:rsidRPr="00DD1DFA">
        <w:rPr>
          <w:noProof/>
        </w:rPr>
        <w:t>r.</w:t>
      </w:r>
      <w:r w:rsidRPr="00DD1DFA">
        <w:rPr>
          <w:rStyle w:val="Odwoanieprzypisudolnego"/>
          <w:noProof/>
        </w:rPr>
        <w:footnoteReference w:id="4"/>
      </w:r>
      <w:r w:rsidRPr="00DD1DFA">
        <w:rPr>
          <w:noProof/>
        </w:rPr>
        <w:t xml:space="preserve"> podkreślono potrzebę uwolnienia potencjału</w:t>
      </w:r>
      <w:r w:rsidR="00DD1DFA" w:rsidRPr="00DD1DFA">
        <w:rPr>
          <w:noProof/>
        </w:rPr>
        <w:t xml:space="preserve"> w</w:t>
      </w:r>
      <w:r w:rsidR="00DD1DFA">
        <w:rPr>
          <w:noProof/>
        </w:rPr>
        <w:t> </w:t>
      </w:r>
      <w:r w:rsidR="00DD1DFA" w:rsidRPr="00DD1DFA">
        <w:rPr>
          <w:noProof/>
        </w:rPr>
        <w:t>zak</w:t>
      </w:r>
      <w:r w:rsidRPr="00DD1DFA">
        <w:rPr>
          <w:noProof/>
        </w:rPr>
        <w:t>resie wzrostu gospodarczego</w:t>
      </w:r>
      <w:r w:rsidR="00DD1DFA" w:rsidRPr="00DD1DFA">
        <w:rPr>
          <w:noProof/>
        </w:rPr>
        <w:t xml:space="preserve"> i</w:t>
      </w:r>
      <w:r w:rsidR="00DD1DFA">
        <w:rPr>
          <w:noProof/>
        </w:rPr>
        <w:t> </w:t>
      </w:r>
      <w:r w:rsidR="00DD1DFA" w:rsidRPr="00DD1DFA">
        <w:rPr>
          <w:noProof/>
        </w:rPr>
        <w:t>zat</w:t>
      </w:r>
      <w:r w:rsidRPr="00DD1DFA">
        <w:rPr>
          <w:noProof/>
        </w:rPr>
        <w:t>rudnienia poprzez poprawę funkcjonowania wciąż rozdrobnionego jednolitego rynku wyrobów budowlanych</w:t>
      </w:r>
      <w:r w:rsidR="00DD1DFA" w:rsidRPr="00DD1DFA">
        <w:rPr>
          <w:noProof/>
        </w:rPr>
        <w:t>. W</w:t>
      </w:r>
      <w:r w:rsidR="00DD1DFA">
        <w:rPr>
          <w:noProof/>
        </w:rPr>
        <w:t> </w:t>
      </w:r>
      <w:r w:rsidR="00DD1DFA" w:rsidRPr="00DD1DFA">
        <w:rPr>
          <w:noProof/>
        </w:rPr>
        <w:t>kom</w:t>
      </w:r>
      <w:r w:rsidRPr="00DD1DFA">
        <w:rPr>
          <w:noProof/>
        </w:rPr>
        <w:t>unikacie dotyczącym Europejskiego Zielonego Ładu</w:t>
      </w:r>
      <w:r w:rsidRPr="00DD1DFA">
        <w:rPr>
          <w:rStyle w:val="Odwoanieprzypisudolnego"/>
          <w:noProof/>
        </w:rPr>
        <w:footnoteReference w:id="5"/>
      </w:r>
      <w:r w:rsidRPr="00DD1DFA">
        <w:rPr>
          <w:noProof/>
        </w:rPr>
        <w:t xml:space="preserve">, Planie działania </w:t>
      </w:r>
      <w:r w:rsidRPr="00DD1DFA">
        <w:rPr>
          <w:noProof/>
        </w:rPr>
        <w:lastRenderedPageBreak/>
        <w:t>dotyczącym gospodarki</w:t>
      </w:r>
      <w:r w:rsidR="00DD1DFA" w:rsidRPr="00DD1DFA">
        <w:rPr>
          <w:noProof/>
        </w:rPr>
        <w:t xml:space="preserve"> o</w:t>
      </w:r>
      <w:r w:rsidR="00DD1DFA">
        <w:rPr>
          <w:noProof/>
        </w:rPr>
        <w:t> </w:t>
      </w:r>
      <w:r w:rsidR="00DD1DFA" w:rsidRPr="00DD1DFA">
        <w:rPr>
          <w:noProof/>
        </w:rPr>
        <w:t>obi</w:t>
      </w:r>
      <w:r w:rsidRPr="00DD1DFA">
        <w:rPr>
          <w:noProof/>
        </w:rPr>
        <w:t>egu zamkniętym</w:t>
      </w:r>
      <w:r w:rsidRPr="00DD1DFA">
        <w:rPr>
          <w:rStyle w:val="Odwoanieprzypisudolnego"/>
          <w:noProof/>
        </w:rPr>
        <w:footnoteReference w:id="6"/>
      </w:r>
      <w:r w:rsidRPr="00DD1DFA">
        <w:rPr>
          <w:noProof/>
        </w:rPr>
        <w:t xml:space="preserve"> oraz</w:t>
      </w:r>
      <w:r w:rsidR="00DD1DFA" w:rsidRPr="00DD1DFA">
        <w:rPr>
          <w:noProof/>
        </w:rPr>
        <w:t xml:space="preserve"> w</w:t>
      </w:r>
      <w:r w:rsidR="00DD1DFA">
        <w:rPr>
          <w:noProof/>
        </w:rPr>
        <w:t> </w:t>
      </w:r>
      <w:r w:rsidR="00DD1DFA" w:rsidRPr="00DD1DFA">
        <w:rPr>
          <w:noProof/>
        </w:rPr>
        <w:t>kom</w:t>
      </w:r>
      <w:r w:rsidRPr="00DD1DFA">
        <w:rPr>
          <w:noProof/>
        </w:rPr>
        <w:t>unikacie dotyczącym fali renowacji</w:t>
      </w:r>
      <w:r w:rsidRPr="00DD1DFA">
        <w:rPr>
          <w:rStyle w:val="Odwoanieprzypisudolnego"/>
          <w:noProof/>
        </w:rPr>
        <w:footnoteReference w:id="7"/>
      </w:r>
      <w:r w:rsidRPr="00DD1DFA">
        <w:rPr>
          <w:noProof/>
        </w:rPr>
        <w:t xml:space="preserve"> podkreślono rolę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jako elementu starań na rzecz energooszczędnych</w:t>
      </w:r>
      <w:r w:rsidR="00DD1DFA" w:rsidRPr="00DD1DFA">
        <w:rPr>
          <w:noProof/>
        </w:rPr>
        <w:t xml:space="preserve"> i</w:t>
      </w:r>
      <w:r w:rsidR="00DD1DFA">
        <w:rPr>
          <w:noProof/>
        </w:rPr>
        <w:t> </w:t>
      </w:r>
      <w:r w:rsidR="00DD1DFA" w:rsidRPr="00DD1DFA">
        <w:rPr>
          <w:noProof/>
        </w:rPr>
        <w:t>zas</w:t>
      </w:r>
      <w:r w:rsidRPr="00DD1DFA">
        <w:rPr>
          <w:noProof/>
        </w:rPr>
        <w:t>obooszczędnych budynków</w:t>
      </w:r>
      <w:r w:rsidR="00DD1DFA" w:rsidRPr="00DD1DFA">
        <w:rPr>
          <w:noProof/>
        </w:rPr>
        <w:t xml:space="preserve"> i</w:t>
      </w:r>
      <w:r w:rsidR="00DD1DFA">
        <w:rPr>
          <w:noProof/>
        </w:rPr>
        <w:t> </w:t>
      </w:r>
      <w:r w:rsidR="00DD1DFA" w:rsidRPr="00DD1DFA">
        <w:rPr>
          <w:noProof/>
        </w:rPr>
        <w:t>ren</w:t>
      </w:r>
      <w:r w:rsidRPr="00DD1DFA">
        <w:rPr>
          <w:noProof/>
        </w:rPr>
        <w:t>owacji oraz</w:t>
      </w:r>
      <w:r w:rsidR="00DD1DFA" w:rsidRPr="00DD1DFA">
        <w:rPr>
          <w:noProof/>
        </w:rPr>
        <w:t xml:space="preserve"> w</w:t>
      </w:r>
      <w:r w:rsidR="00DD1DFA">
        <w:rPr>
          <w:noProof/>
        </w:rPr>
        <w:t> </w:t>
      </w:r>
      <w:r w:rsidR="00DD1DFA" w:rsidRPr="00DD1DFA">
        <w:rPr>
          <w:noProof/>
        </w:rPr>
        <w:t>roz</w:t>
      </w:r>
      <w:r w:rsidRPr="00DD1DFA">
        <w:rPr>
          <w:noProof/>
        </w:rPr>
        <w:t>wiązywaniu kwestii zrównoważonego charakteru wyrobów budowlanych. We wniosku dotyczącym zmienionej dyrektywy</w:t>
      </w:r>
      <w:r w:rsidR="00DD1DFA" w:rsidRPr="00DD1DFA">
        <w:rPr>
          <w:noProof/>
        </w:rPr>
        <w:t xml:space="preserve"> w</w:t>
      </w:r>
      <w:r w:rsidR="00DD1DFA">
        <w:rPr>
          <w:noProof/>
        </w:rPr>
        <w:t> </w:t>
      </w:r>
      <w:r w:rsidR="00DD1DFA" w:rsidRPr="00DD1DFA">
        <w:rPr>
          <w:noProof/>
        </w:rPr>
        <w:t>spr</w:t>
      </w:r>
      <w:r w:rsidRPr="00DD1DFA">
        <w:rPr>
          <w:noProof/>
        </w:rPr>
        <w:t>awie charakterystyki energetycznej budynków</w:t>
      </w:r>
      <w:r w:rsidRPr="00DD1DFA">
        <w:rPr>
          <w:rStyle w:val="Odwoanieprzypisudolnego"/>
          <w:noProof/>
        </w:rPr>
        <w:footnoteReference w:id="8"/>
      </w:r>
      <w:r w:rsidRPr="00DD1DFA">
        <w:rPr>
          <w:noProof/>
        </w:rPr>
        <w:t xml:space="preserve"> podkreślono znaczenie emisji gazów cieplarnianych</w:t>
      </w:r>
      <w:r w:rsidR="00DD1DFA" w:rsidRPr="00DD1DFA">
        <w:rPr>
          <w:noProof/>
        </w:rPr>
        <w:t xml:space="preserve"> w</w:t>
      </w:r>
      <w:r w:rsidR="00DD1DFA">
        <w:rPr>
          <w:noProof/>
        </w:rPr>
        <w:t> </w:t>
      </w:r>
      <w:r w:rsidR="00DD1DFA" w:rsidRPr="00DD1DFA">
        <w:rPr>
          <w:noProof/>
        </w:rPr>
        <w:t>cyk</w:t>
      </w:r>
      <w:r w:rsidRPr="00DD1DFA">
        <w:rPr>
          <w:noProof/>
        </w:rPr>
        <w:t>lu życia budynków</w:t>
      </w:r>
      <w:r w:rsidR="00DD1DFA" w:rsidRPr="00DD1DFA">
        <w:rPr>
          <w:noProof/>
        </w:rPr>
        <w:t xml:space="preserve"> i</w:t>
      </w:r>
      <w:r w:rsidR="00DD1DFA">
        <w:rPr>
          <w:noProof/>
        </w:rPr>
        <w:t> </w:t>
      </w:r>
      <w:r w:rsidR="00DD1DFA" w:rsidRPr="00DD1DFA">
        <w:rPr>
          <w:noProof/>
        </w:rPr>
        <w:t>mat</w:t>
      </w:r>
      <w:r w:rsidRPr="00DD1DFA">
        <w:rPr>
          <w:noProof/>
        </w:rPr>
        <w:t>eriałów budowlanych do celów obliczania współczynnika globalnego ocieplenia dla nowych budynków od</w:t>
      </w:r>
      <w:r w:rsidR="00DD1DFA" w:rsidRPr="00DD1DFA">
        <w:rPr>
          <w:noProof/>
        </w:rPr>
        <w:t> </w:t>
      </w:r>
      <w:r w:rsidRPr="00DD1DFA">
        <w:rPr>
          <w:noProof/>
        </w:rPr>
        <w:t>2030</w:t>
      </w:r>
      <w:r w:rsidR="00DD1DFA" w:rsidRPr="00DD1DFA">
        <w:rPr>
          <w:noProof/>
        </w:rPr>
        <w:t> </w:t>
      </w:r>
      <w:r w:rsidRPr="00DD1DFA">
        <w:rPr>
          <w:noProof/>
        </w:rPr>
        <w:t>r</w:t>
      </w:r>
      <w:r w:rsidR="00DD1DFA" w:rsidRPr="00DD1DFA">
        <w:rPr>
          <w:noProof/>
        </w:rPr>
        <w:t>. W</w:t>
      </w:r>
      <w:r w:rsidR="00DD1DFA">
        <w:rPr>
          <w:noProof/>
        </w:rPr>
        <w:t> </w:t>
      </w:r>
      <w:r w:rsidR="00DD1DFA" w:rsidRPr="00DD1DFA">
        <w:rPr>
          <w:noProof/>
        </w:rPr>
        <w:t>str</w:t>
      </w:r>
      <w:r w:rsidRPr="00DD1DFA">
        <w:rPr>
          <w:noProof/>
        </w:rPr>
        <w:t>ategii leśnej UE</w:t>
      </w:r>
      <w:r w:rsidRPr="00DD1DFA">
        <w:rPr>
          <w:rStyle w:val="Odwoanieprzypisudolnego"/>
          <w:noProof/>
        </w:rPr>
        <w:footnoteReference w:id="9"/>
      </w:r>
      <w:r w:rsidRPr="00DD1DFA">
        <w:rPr>
          <w:noProof/>
        </w:rPr>
        <w:t xml:space="preserve"> oraz</w:t>
      </w:r>
      <w:r w:rsidR="00DD1DFA" w:rsidRPr="00DD1DFA">
        <w:rPr>
          <w:noProof/>
        </w:rPr>
        <w:t xml:space="preserve"> w</w:t>
      </w:r>
      <w:r w:rsidR="00DD1DFA">
        <w:rPr>
          <w:noProof/>
        </w:rPr>
        <w:t> </w:t>
      </w:r>
      <w:r w:rsidR="00DD1DFA" w:rsidRPr="00DD1DFA">
        <w:rPr>
          <w:noProof/>
        </w:rPr>
        <w:t>kom</w:t>
      </w:r>
      <w:r w:rsidRPr="00DD1DFA">
        <w:rPr>
          <w:noProof/>
        </w:rPr>
        <w:t>unikacie dotyczącym zrównoważonego obiegu węgla</w:t>
      </w:r>
      <w:r w:rsidRPr="00DD1DFA">
        <w:rPr>
          <w:rStyle w:val="Odwoanieprzypisudolnego"/>
          <w:noProof/>
        </w:rPr>
        <w:footnoteReference w:id="10"/>
      </w:r>
      <w:r w:rsidRPr="00DD1DFA">
        <w:rPr>
          <w:noProof/>
        </w:rPr>
        <w:t xml:space="preserve"> ogłoszono,</w:t>
      </w:r>
      <w:r w:rsidR="00DD1DFA" w:rsidRPr="00DD1DFA">
        <w:rPr>
          <w:noProof/>
        </w:rPr>
        <w:t xml:space="preserve"> w</w:t>
      </w:r>
      <w:r w:rsidR="00DD1DFA">
        <w:rPr>
          <w:noProof/>
        </w:rPr>
        <w:t> </w:t>
      </w:r>
      <w:r w:rsidR="00DD1DFA" w:rsidRPr="00DD1DFA">
        <w:rPr>
          <w:noProof/>
        </w:rPr>
        <w:t>kon</w:t>
      </w:r>
      <w:r w:rsidRPr="00DD1DFA">
        <w:rPr>
          <w:noProof/>
        </w:rPr>
        <w:t>tekście rewizji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opracowanie standardowej, solidnej</w:t>
      </w:r>
      <w:r w:rsidR="00DD1DFA" w:rsidRPr="00DD1DFA">
        <w:rPr>
          <w:noProof/>
        </w:rPr>
        <w:t xml:space="preserve"> i</w:t>
      </w:r>
      <w:r w:rsidR="00DD1DFA">
        <w:rPr>
          <w:noProof/>
        </w:rPr>
        <w:t> </w:t>
      </w:r>
      <w:r w:rsidR="00DD1DFA" w:rsidRPr="00DD1DFA">
        <w:rPr>
          <w:noProof/>
        </w:rPr>
        <w:t>prz</w:t>
      </w:r>
      <w:r w:rsidRPr="00DD1DFA">
        <w:rPr>
          <w:noProof/>
        </w:rPr>
        <w:t>ejrzystej metodyki ilościowego określania korzyści dla klimatu wynikających</w:t>
      </w:r>
      <w:r w:rsidR="00DD1DFA" w:rsidRPr="00DD1DFA">
        <w:rPr>
          <w:noProof/>
        </w:rPr>
        <w:t xml:space="preserve"> z</w:t>
      </w:r>
      <w:r w:rsidR="00DD1DFA">
        <w:rPr>
          <w:noProof/>
        </w:rPr>
        <w:t> </w:t>
      </w:r>
      <w:r w:rsidR="00DD1DFA" w:rsidRPr="00DD1DFA">
        <w:rPr>
          <w:noProof/>
        </w:rPr>
        <w:t>wyr</w:t>
      </w:r>
      <w:r w:rsidRPr="00DD1DFA">
        <w:rPr>
          <w:noProof/>
        </w:rPr>
        <w:t>obów budowlanych oraz wychwytywania</w:t>
      </w:r>
      <w:r w:rsidR="00DD1DFA" w:rsidRPr="00DD1DFA">
        <w:rPr>
          <w:noProof/>
        </w:rPr>
        <w:t xml:space="preserve"> i</w:t>
      </w:r>
      <w:r w:rsidR="00DD1DFA">
        <w:rPr>
          <w:noProof/>
        </w:rPr>
        <w:t> </w:t>
      </w:r>
      <w:r w:rsidR="00DD1DFA" w:rsidRPr="00DD1DFA">
        <w:rPr>
          <w:noProof/>
        </w:rPr>
        <w:t>uty</w:t>
      </w:r>
      <w:r w:rsidRPr="00DD1DFA">
        <w:rPr>
          <w:noProof/>
        </w:rPr>
        <w:t>lizacji dwutlenku węgla. Ponadto zarówno Parlament Europejski, jak</w:t>
      </w:r>
      <w:r w:rsidR="00DD1DFA" w:rsidRPr="00DD1DFA">
        <w:rPr>
          <w:noProof/>
        </w:rPr>
        <w:t xml:space="preserve"> i</w:t>
      </w:r>
      <w:r w:rsidR="00DD1DFA">
        <w:rPr>
          <w:noProof/>
        </w:rPr>
        <w:t> </w:t>
      </w:r>
      <w:r w:rsidR="00DD1DFA" w:rsidRPr="00DD1DFA">
        <w:rPr>
          <w:noProof/>
        </w:rPr>
        <w:t>Rad</w:t>
      </w:r>
      <w:r w:rsidRPr="00DD1DFA">
        <w:rPr>
          <w:noProof/>
        </w:rPr>
        <w:t>a wezwały do podjęcia działań promujących obieg zamknięty wyrobów budowlanych, do usunięcia barier na jednolitym rynku wyrobów budowlanych oraz do przyczynienia się do realizacji celów Europejskiego Zielonego Ładu</w:t>
      </w:r>
      <w:r w:rsidR="00DD1DFA" w:rsidRPr="00DD1DFA">
        <w:rPr>
          <w:noProof/>
        </w:rPr>
        <w:t xml:space="preserve"> i</w:t>
      </w:r>
      <w:r w:rsidR="00DD1DFA">
        <w:rPr>
          <w:noProof/>
        </w:rPr>
        <w:t> </w:t>
      </w:r>
      <w:r w:rsidR="00DD1DFA" w:rsidRPr="00DD1DFA">
        <w:rPr>
          <w:noProof/>
        </w:rPr>
        <w:t>Pla</w:t>
      </w:r>
      <w:r w:rsidRPr="00DD1DFA">
        <w:rPr>
          <w:noProof/>
        </w:rPr>
        <w:t>nu działania dotyczącego gospodarki</w:t>
      </w:r>
      <w:r w:rsidR="00DD1DFA" w:rsidRPr="00DD1DFA">
        <w:rPr>
          <w:noProof/>
        </w:rPr>
        <w:t xml:space="preserve"> o</w:t>
      </w:r>
      <w:r w:rsidR="00DD1DFA">
        <w:rPr>
          <w:noProof/>
        </w:rPr>
        <w:t> </w:t>
      </w:r>
      <w:r w:rsidR="00DD1DFA" w:rsidRPr="00DD1DFA">
        <w:rPr>
          <w:noProof/>
        </w:rPr>
        <w:t>obi</w:t>
      </w:r>
      <w:r w:rsidRPr="00DD1DFA">
        <w:rPr>
          <w:noProof/>
        </w:rPr>
        <w:t>egu zamkniętym</w:t>
      </w:r>
      <w:r w:rsidRPr="00DD1DFA">
        <w:rPr>
          <w:rStyle w:val="Odwoanieprzypisudolnego"/>
          <w:noProof/>
        </w:rPr>
        <w:footnoteReference w:id="11"/>
      </w:r>
      <w:r w:rsidRPr="00DD1DFA">
        <w:rPr>
          <w:noProof/>
        </w:rPr>
        <w:t>.</w:t>
      </w:r>
    </w:p>
    <w:p w14:paraId="16471F92" w14:textId="126BCAC1" w:rsidR="004E75DC" w:rsidRPr="00DD1DFA" w:rsidRDefault="004E75DC" w:rsidP="004E75DC">
      <w:pPr>
        <w:spacing w:before="0" w:after="240"/>
        <w:rPr>
          <w:rFonts w:eastAsia="Calibri"/>
          <w:noProof/>
        </w:rPr>
      </w:pPr>
      <w:r w:rsidRPr="00DD1DFA">
        <w:rPr>
          <w:noProof/>
        </w:rPr>
        <w:t>W związku</w:t>
      </w:r>
      <w:r w:rsidR="00DD1DFA" w:rsidRPr="00DD1DFA">
        <w:rPr>
          <w:noProof/>
        </w:rPr>
        <w:t xml:space="preserve"> z</w:t>
      </w:r>
      <w:r w:rsidR="00DD1DFA">
        <w:rPr>
          <w:noProof/>
        </w:rPr>
        <w:t> </w:t>
      </w:r>
      <w:r w:rsidR="00DD1DFA" w:rsidRPr="00DD1DFA">
        <w:rPr>
          <w:noProof/>
        </w:rPr>
        <w:t>tym</w:t>
      </w:r>
      <w:r w:rsidRPr="00DD1DFA">
        <w:rPr>
          <w:noProof/>
        </w:rPr>
        <w:t xml:space="preserve"> dwa ogólne cele rewizji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to: 1) stworzenie sprawnie funkcjonującego jednolitego rynku wyrobów budowlanych oraz 2) przyczynienie się do realizacji celów ekologicznej</w:t>
      </w:r>
      <w:r w:rsidR="00DD1DFA" w:rsidRPr="00DD1DFA">
        <w:rPr>
          <w:noProof/>
        </w:rPr>
        <w:t xml:space="preserve"> i</w:t>
      </w:r>
      <w:r w:rsidR="00DD1DFA">
        <w:rPr>
          <w:noProof/>
        </w:rPr>
        <w:t> </w:t>
      </w:r>
      <w:r w:rsidR="00DD1DFA" w:rsidRPr="00DD1DFA">
        <w:rPr>
          <w:noProof/>
        </w:rPr>
        <w:t>cyf</w:t>
      </w:r>
      <w:r w:rsidRPr="00DD1DFA">
        <w:rPr>
          <w:noProof/>
        </w:rPr>
        <w:t>rowej transformacji,</w:t>
      </w:r>
      <w:r w:rsidR="00DD1DFA" w:rsidRPr="00DD1DFA">
        <w:rPr>
          <w:noProof/>
        </w:rPr>
        <w:t xml:space="preserve"> w</w:t>
      </w:r>
      <w:r w:rsidR="00DD1DFA">
        <w:rPr>
          <w:noProof/>
        </w:rPr>
        <w:t> </w:t>
      </w:r>
      <w:r w:rsidR="00DD1DFA" w:rsidRPr="00DD1DFA">
        <w:rPr>
          <w:noProof/>
        </w:rPr>
        <w:t>szc</w:t>
      </w:r>
      <w:r w:rsidRPr="00DD1DFA">
        <w:rPr>
          <w:noProof/>
        </w:rPr>
        <w:t>zególności nowoczesnej, zasobooszczędnej</w:t>
      </w:r>
      <w:r w:rsidR="00DD1DFA" w:rsidRPr="00DD1DFA">
        <w:rPr>
          <w:noProof/>
        </w:rPr>
        <w:t xml:space="preserve"> i</w:t>
      </w:r>
      <w:r w:rsidR="00DD1DFA">
        <w:rPr>
          <w:noProof/>
        </w:rPr>
        <w:t> </w:t>
      </w:r>
      <w:r w:rsidR="00DD1DFA" w:rsidRPr="00DD1DFA">
        <w:rPr>
          <w:noProof/>
        </w:rPr>
        <w:t>kon</w:t>
      </w:r>
      <w:r w:rsidRPr="00DD1DFA">
        <w:rPr>
          <w:noProof/>
        </w:rPr>
        <w:t xml:space="preserve">kurencyjnej gospodarki. </w:t>
      </w:r>
    </w:p>
    <w:p w14:paraId="4192F0EA" w14:textId="07D85CDC" w:rsidR="004E75DC" w:rsidRPr="00DD1DFA" w:rsidRDefault="004E75DC" w:rsidP="004E75DC">
      <w:pPr>
        <w:spacing w:before="0" w:after="240"/>
        <w:rPr>
          <w:rFonts w:eastAsia="Calibri"/>
          <w:noProof/>
          <w:szCs w:val="24"/>
        </w:rPr>
      </w:pPr>
      <w:r w:rsidRPr="00DD1DFA">
        <w:rPr>
          <w:noProof/>
        </w:rPr>
        <w:t>Jest to inicjatywa</w:t>
      </w:r>
      <w:r w:rsidR="00DD1DFA" w:rsidRPr="00DD1DFA">
        <w:rPr>
          <w:noProof/>
        </w:rPr>
        <w:t xml:space="preserve"> w</w:t>
      </w:r>
      <w:r w:rsidR="00DD1DFA">
        <w:rPr>
          <w:noProof/>
        </w:rPr>
        <w:t> </w:t>
      </w:r>
      <w:r w:rsidR="00DD1DFA" w:rsidRPr="00DD1DFA">
        <w:rPr>
          <w:noProof/>
        </w:rPr>
        <w:t>ram</w:t>
      </w:r>
      <w:r w:rsidRPr="00DD1DFA">
        <w:rPr>
          <w:noProof/>
        </w:rPr>
        <w:t>ach programu sprawności</w:t>
      </w:r>
      <w:r w:rsidR="00DD1DFA" w:rsidRPr="00DD1DFA">
        <w:rPr>
          <w:noProof/>
        </w:rPr>
        <w:t xml:space="preserve"> i</w:t>
      </w:r>
      <w:r w:rsidR="00DD1DFA">
        <w:rPr>
          <w:noProof/>
        </w:rPr>
        <w:t> </w:t>
      </w:r>
      <w:r w:rsidR="00DD1DFA" w:rsidRPr="00DD1DFA">
        <w:rPr>
          <w:noProof/>
        </w:rPr>
        <w:t>wyd</w:t>
      </w:r>
      <w:r w:rsidRPr="00DD1DFA">
        <w:rPr>
          <w:noProof/>
        </w:rPr>
        <w:t>ajności regulacyjnej (REFIT), ponieważ wniosek jest zgodny</w:t>
      </w:r>
      <w:r w:rsidR="00DD1DFA" w:rsidRPr="00DD1DFA">
        <w:rPr>
          <w:noProof/>
        </w:rPr>
        <w:t xml:space="preserve"> z</w:t>
      </w:r>
      <w:r w:rsidR="00DD1DFA">
        <w:rPr>
          <w:noProof/>
        </w:rPr>
        <w:t> </w:t>
      </w:r>
      <w:r w:rsidR="00DD1DFA" w:rsidRPr="00DD1DFA">
        <w:rPr>
          <w:noProof/>
        </w:rPr>
        <w:t>cel</w:t>
      </w:r>
      <w:r w:rsidRPr="00DD1DFA">
        <w:rPr>
          <w:noProof/>
        </w:rPr>
        <w:t>ami programu REFIT, które polegają na uproszczeniu</w:t>
      </w:r>
      <w:r w:rsidR="00DD1DFA" w:rsidRPr="00DD1DFA">
        <w:rPr>
          <w:noProof/>
        </w:rPr>
        <w:t xml:space="preserve"> i</w:t>
      </w:r>
      <w:r w:rsidR="00DD1DFA">
        <w:rPr>
          <w:noProof/>
        </w:rPr>
        <w:t> </w:t>
      </w:r>
      <w:r w:rsidR="00DD1DFA" w:rsidRPr="00DD1DFA">
        <w:rPr>
          <w:noProof/>
        </w:rPr>
        <w:t>uki</w:t>
      </w:r>
      <w:r w:rsidRPr="00DD1DFA">
        <w:rPr>
          <w:noProof/>
        </w:rPr>
        <w:t>erunkowaniu prawa Unii oraz ułatwieniu jego przestrzegania</w:t>
      </w:r>
      <w:r w:rsidRPr="00DD1DFA">
        <w:rPr>
          <w:rStyle w:val="Odwoanieprzypisudolnego"/>
          <w:noProof/>
        </w:rPr>
        <w:footnoteReference w:id="12"/>
      </w:r>
      <w:r w:rsidRPr="00DD1DFA">
        <w:rPr>
          <w:noProof/>
        </w:rPr>
        <w:t xml:space="preserve">. </w:t>
      </w:r>
    </w:p>
    <w:p w14:paraId="3D3128C9" w14:textId="77777777" w:rsidR="004E75DC" w:rsidRPr="00DD1DFA" w:rsidRDefault="004E75DC" w:rsidP="004E75DC">
      <w:pPr>
        <w:spacing w:before="0" w:after="240"/>
        <w:rPr>
          <w:rFonts w:eastAsia="Calibri"/>
          <w:noProof/>
          <w:szCs w:val="24"/>
        </w:rPr>
      </w:pPr>
      <w:r w:rsidRPr="00DD1DFA">
        <w:rPr>
          <w:noProof/>
        </w:rPr>
        <w:t>Niniejszy wniosek ma na celu rozwiązanie następujących problemów:</w:t>
      </w:r>
    </w:p>
    <w:p w14:paraId="21F67074" w14:textId="2EC2F7ED" w:rsidR="004E75DC" w:rsidRPr="00DD1DFA" w:rsidRDefault="004E75DC" w:rsidP="004E75DC">
      <w:pPr>
        <w:spacing w:before="0" w:after="240"/>
        <w:rPr>
          <w:rFonts w:eastAsia="Calibri"/>
          <w:b/>
          <w:bCs/>
          <w:noProof/>
          <w:szCs w:val="24"/>
        </w:rPr>
      </w:pPr>
      <w:r w:rsidRPr="00DD1DFA">
        <w:rPr>
          <w:b/>
          <w:bCs/>
          <w:noProof/>
          <w:szCs w:val="24"/>
        </w:rPr>
        <w:t>Problem nr</w:t>
      </w:r>
      <w:r w:rsidR="00DD1DFA" w:rsidRPr="00DD1DFA">
        <w:rPr>
          <w:b/>
          <w:bCs/>
          <w:noProof/>
          <w:szCs w:val="24"/>
        </w:rPr>
        <w:t> </w:t>
      </w:r>
      <w:r w:rsidRPr="00DD1DFA">
        <w:rPr>
          <w:b/>
          <w:bCs/>
          <w:noProof/>
          <w:szCs w:val="24"/>
        </w:rPr>
        <w:t>1: Nie stworzono jednolitego rynku wyrobów budowlanych.</w:t>
      </w:r>
    </w:p>
    <w:p w14:paraId="0644C5EC" w14:textId="7EA2F38B" w:rsidR="004E75DC" w:rsidRPr="00DD1DFA" w:rsidRDefault="004E75DC" w:rsidP="004E75DC">
      <w:pPr>
        <w:spacing w:before="0" w:after="240"/>
        <w:rPr>
          <w:rFonts w:eastAsia="Calibri"/>
          <w:noProof/>
        </w:rPr>
      </w:pPr>
      <w:r w:rsidRPr="00DD1DFA">
        <w:rPr>
          <w:noProof/>
        </w:rPr>
        <w:t>Proces normalizacji, stanowiący istotę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nie przyniósł oczekiwanych rezultatów</w:t>
      </w:r>
      <w:r w:rsidR="00DD1DFA" w:rsidRPr="00DD1DFA">
        <w:rPr>
          <w:noProof/>
        </w:rPr>
        <w:t>. W</w:t>
      </w:r>
      <w:r w:rsidR="00DD1DFA">
        <w:rPr>
          <w:noProof/>
        </w:rPr>
        <w:t> </w:t>
      </w:r>
      <w:r w:rsidR="00DD1DFA" w:rsidRPr="00DD1DFA">
        <w:rPr>
          <w:noProof/>
        </w:rPr>
        <w:t>ost</w:t>
      </w:r>
      <w:r w:rsidRPr="00DD1DFA">
        <w:rPr>
          <w:noProof/>
        </w:rPr>
        <w:t>atnich latach projekty norm zharmonizowanych opracowane przez europejskie organizacje normalizacyjne rzadko mogły być przywoływane</w:t>
      </w:r>
      <w:r w:rsidR="00DD1DFA" w:rsidRPr="00DD1DFA">
        <w:rPr>
          <w:noProof/>
        </w:rPr>
        <w:t xml:space="preserve"> w</w:t>
      </w:r>
      <w:r w:rsidR="00DD1DFA">
        <w:rPr>
          <w:noProof/>
        </w:rPr>
        <w:t> </w:t>
      </w:r>
      <w:r w:rsidR="00DD1DFA" w:rsidRPr="00DD1DFA">
        <w:rPr>
          <w:noProof/>
        </w:rPr>
        <w:t>Dzi</w:t>
      </w:r>
      <w:r w:rsidRPr="00DD1DFA">
        <w:rPr>
          <w:noProof/>
        </w:rPr>
        <w:t>enniku Urzędowym, głównie ze względu na braki prawne. Brak przywoływania aktualnych norm zharmonizowanych dotyczących wyrobów budowlanych stanowi kluczowy czynnik zakłócający sprawne funkcjonowanie jednolitego rynku, stwarzający bariery handlowe oraz powodujący dodatkowe koszty</w:t>
      </w:r>
      <w:r w:rsidR="00DD1DFA" w:rsidRPr="00DD1DFA">
        <w:rPr>
          <w:noProof/>
        </w:rPr>
        <w:t xml:space="preserve"> i</w:t>
      </w:r>
      <w:r w:rsidR="00DD1DFA">
        <w:rPr>
          <w:noProof/>
        </w:rPr>
        <w:t> </w:t>
      </w:r>
      <w:r w:rsidR="00DD1DFA" w:rsidRPr="00DD1DFA">
        <w:rPr>
          <w:noProof/>
        </w:rPr>
        <w:t>obc</w:t>
      </w:r>
      <w:r w:rsidRPr="00DD1DFA">
        <w:rPr>
          <w:noProof/>
        </w:rPr>
        <w:t xml:space="preserve">iążenia administracyjne dla podmiotów </w:t>
      </w:r>
      <w:r w:rsidRPr="00DD1DFA">
        <w:rPr>
          <w:noProof/>
        </w:rPr>
        <w:lastRenderedPageBreak/>
        <w:t>gospodarczych. Przestarzałe normy zharmonizowane oznaczają również, że nie zawsze są one dostosowane do potrzeb rynku, ponieważ proces aktualizacji nie nadąża za zmianami</w:t>
      </w:r>
      <w:r w:rsidR="00DD1DFA" w:rsidRPr="00DD1DFA">
        <w:rPr>
          <w:noProof/>
        </w:rPr>
        <w:t xml:space="preserve"> w</w:t>
      </w:r>
      <w:r w:rsidR="00DD1DFA">
        <w:rPr>
          <w:noProof/>
        </w:rPr>
        <w:t> </w:t>
      </w:r>
      <w:r w:rsidR="00DD1DFA" w:rsidRPr="00DD1DFA">
        <w:rPr>
          <w:noProof/>
        </w:rPr>
        <w:t>sek</w:t>
      </w:r>
      <w:r w:rsidRPr="00DD1DFA">
        <w:rPr>
          <w:noProof/>
        </w:rPr>
        <w:t>torze. Ponadto obecna sytuacja nie pozwala na zaspokojenie potrzeb regulacyjnych państw członkowskich</w:t>
      </w:r>
      <w:r w:rsidR="00DD1DFA" w:rsidRPr="00DD1DFA">
        <w:rPr>
          <w:noProof/>
        </w:rPr>
        <w:t>. Z</w:t>
      </w:r>
      <w:r w:rsidR="00DD1DFA">
        <w:rPr>
          <w:noProof/>
        </w:rPr>
        <w:t> </w:t>
      </w:r>
      <w:r w:rsidR="00DD1DFA" w:rsidRPr="00DD1DFA">
        <w:rPr>
          <w:noProof/>
        </w:rPr>
        <w:t>pow</w:t>
      </w:r>
      <w:r w:rsidRPr="00DD1DFA">
        <w:rPr>
          <w:noProof/>
        </w:rPr>
        <w:t>odu tych niedociągnięć państwa członkowskie stosują krajowe znaki, certyfikaty</w:t>
      </w:r>
      <w:r w:rsidR="00DD1DFA" w:rsidRPr="00DD1DFA">
        <w:rPr>
          <w:noProof/>
        </w:rPr>
        <w:t xml:space="preserve"> i</w:t>
      </w:r>
      <w:r w:rsidR="00DD1DFA">
        <w:rPr>
          <w:noProof/>
        </w:rPr>
        <w:t> </w:t>
      </w:r>
      <w:r w:rsidR="00DD1DFA" w:rsidRPr="00DD1DFA">
        <w:rPr>
          <w:noProof/>
        </w:rPr>
        <w:t>hom</w:t>
      </w:r>
      <w:r w:rsidRPr="00DD1DFA">
        <w:rPr>
          <w:noProof/>
        </w:rPr>
        <w:t>ologacje. Stanowi to naruszenie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w:t>
      </w:r>
      <w:r w:rsidR="00DD1DFA" w:rsidRPr="00DD1DFA">
        <w:rPr>
          <w:noProof/>
        </w:rPr>
        <w:t xml:space="preserve"> i</w:t>
      </w:r>
      <w:r w:rsidR="00DD1DFA">
        <w:rPr>
          <w:noProof/>
        </w:rPr>
        <w:t> </w:t>
      </w:r>
      <w:r w:rsidR="00DD1DFA" w:rsidRPr="00DD1DFA">
        <w:rPr>
          <w:noProof/>
        </w:rPr>
        <w:t>jes</w:t>
      </w:r>
      <w:r w:rsidRPr="00DD1DFA">
        <w:rPr>
          <w:noProof/>
        </w:rPr>
        <w:t>t niezgodne</w:t>
      </w:r>
      <w:r w:rsidR="00DD1DFA" w:rsidRPr="00DD1DFA">
        <w:rPr>
          <w:noProof/>
        </w:rPr>
        <w:t xml:space="preserve"> z</w:t>
      </w:r>
      <w:r w:rsidR="00DD1DFA">
        <w:rPr>
          <w:noProof/>
        </w:rPr>
        <w:t> </w:t>
      </w:r>
      <w:r w:rsidR="00DD1DFA" w:rsidRPr="00DD1DFA">
        <w:rPr>
          <w:noProof/>
        </w:rPr>
        <w:t>orz</w:t>
      </w:r>
      <w:r w:rsidRPr="00DD1DFA">
        <w:rPr>
          <w:noProof/>
        </w:rPr>
        <w:t>ecznictwem Europejskiego Trybunału Sprawiedliwości. Ponadto, biorąc pod uwagę niezadawalające funkcjonowanie konwencjonalnej ścieżki normalizacji, stopniowo wzrasta obciążenie pracą</w:t>
      </w:r>
      <w:r w:rsidR="00DD1DFA" w:rsidRPr="00DD1DFA">
        <w:rPr>
          <w:noProof/>
        </w:rPr>
        <w:t xml:space="preserve"> w</w:t>
      </w:r>
      <w:r w:rsidR="00DD1DFA">
        <w:rPr>
          <w:noProof/>
        </w:rPr>
        <w:t> </w:t>
      </w:r>
      <w:r w:rsidR="00DD1DFA" w:rsidRPr="00DD1DFA">
        <w:rPr>
          <w:noProof/>
        </w:rPr>
        <w:t>zak</w:t>
      </w:r>
      <w:r w:rsidRPr="00DD1DFA">
        <w:rPr>
          <w:noProof/>
        </w:rPr>
        <w:t xml:space="preserve">resie alternatywnej ścieżki uzyskiwania oznakowania CE za pośrednictwem europejskich dokumentów oceny. Ten wzrost obciążenia pracą spowodował, że Komisja potrzebuje więcej czasu na przeprowadzenie ocen, co może nawet grozić paraliżem systemu. </w:t>
      </w:r>
    </w:p>
    <w:p w14:paraId="17698F8E" w14:textId="22F4FDC1" w:rsidR="004E75DC" w:rsidRPr="00DD1DFA" w:rsidRDefault="004E75DC" w:rsidP="004E75DC">
      <w:pPr>
        <w:keepNext/>
        <w:spacing w:before="0" w:after="240"/>
        <w:rPr>
          <w:rFonts w:eastAsia="Calibri"/>
          <w:b/>
          <w:bCs/>
          <w:noProof/>
          <w:szCs w:val="24"/>
        </w:rPr>
      </w:pPr>
      <w:r w:rsidRPr="00DD1DFA">
        <w:rPr>
          <w:b/>
          <w:bCs/>
          <w:noProof/>
          <w:szCs w:val="24"/>
        </w:rPr>
        <w:t>Problem nr</w:t>
      </w:r>
      <w:r w:rsidR="00DD1DFA" w:rsidRPr="00DD1DFA">
        <w:rPr>
          <w:b/>
          <w:bCs/>
          <w:noProof/>
          <w:szCs w:val="24"/>
        </w:rPr>
        <w:t> </w:t>
      </w:r>
      <w:r w:rsidRPr="00DD1DFA">
        <w:rPr>
          <w:b/>
          <w:bCs/>
          <w:noProof/>
          <w:szCs w:val="24"/>
        </w:rPr>
        <w:t>2: Wyzwania związane</w:t>
      </w:r>
      <w:r w:rsidR="00DD1DFA" w:rsidRPr="00DD1DFA">
        <w:rPr>
          <w:b/>
          <w:bCs/>
          <w:noProof/>
          <w:szCs w:val="24"/>
        </w:rPr>
        <w:t xml:space="preserve"> z</w:t>
      </w:r>
      <w:r w:rsidR="00DD1DFA">
        <w:rPr>
          <w:b/>
          <w:bCs/>
          <w:noProof/>
          <w:szCs w:val="24"/>
        </w:rPr>
        <w:t> </w:t>
      </w:r>
      <w:r w:rsidR="00DD1DFA" w:rsidRPr="00DD1DFA">
        <w:rPr>
          <w:b/>
          <w:bCs/>
          <w:noProof/>
          <w:szCs w:val="24"/>
        </w:rPr>
        <w:t>wdr</w:t>
      </w:r>
      <w:r w:rsidRPr="00DD1DFA">
        <w:rPr>
          <w:b/>
          <w:bCs/>
          <w:noProof/>
          <w:szCs w:val="24"/>
        </w:rPr>
        <w:t>ażaniem na poziomie krajowym.</w:t>
      </w:r>
    </w:p>
    <w:p w14:paraId="47B5037E" w14:textId="75161ACF" w:rsidR="004E75DC" w:rsidRPr="00DD1DFA" w:rsidRDefault="004E75DC" w:rsidP="004E75DC">
      <w:pPr>
        <w:spacing w:before="0" w:after="240"/>
        <w:rPr>
          <w:rFonts w:eastAsia="Calibri"/>
          <w:noProof/>
        </w:rPr>
      </w:pPr>
      <w:r w:rsidRPr="00DD1DFA">
        <w:rPr>
          <w:noProof/>
        </w:rPr>
        <w:t>Kwestie te również powodują większą złożoność ram prawnych</w:t>
      </w:r>
      <w:r w:rsidR="00DD1DFA" w:rsidRPr="00DD1DFA">
        <w:rPr>
          <w:noProof/>
        </w:rPr>
        <w:t xml:space="preserve"> i</w:t>
      </w:r>
      <w:r w:rsidR="00DD1DFA">
        <w:rPr>
          <w:noProof/>
        </w:rPr>
        <w:t> </w:t>
      </w:r>
      <w:r w:rsidR="00DD1DFA" w:rsidRPr="00DD1DFA">
        <w:rPr>
          <w:noProof/>
        </w:rPr>
        <w:t>prz</w:t>
      </w:r>
      <w:r w:rsidRPr="00DD1DFA">
        <w:rPr>
          <w:noProof/>
        </w:rPr>
        <w:t>yczyniają się do tego, że działania</w:t>
      </w:r>
      <w:r w:rsidR="00DD1DFA" w:rsidRPr="00DD1DFA">
        <w:rPr>
          <w:noProof/>
        </w:rPr>
        <w:t xml:space="preserve"> w</w:t>
      </w:r>
      <w:r w:rsidR="00DD1DFA">
        <w:rPr>
          <w:noProof/>
        </w:rPr>
        <w:t> </w:t>
      </w:r>
      <w:r w:rsidR="00DD1DFA" w:rsidRPr="00DD1DFA">
        <w:rPr>
          <w:noProof/>
        </w:rPr>
        <w:t>zak</w:t>
      </w:r>
      <w:r w:rsidRPr="00DD1DFA">
        <w:rPr>
          <w:noProof/>
        </w:rPr>
        <w:t>resie nadzoru rynku są bardzo zróżnicowane (pod względem jakości</w:t>
      </w:r>
      <w:r w:rsidR="00DD1DFA" w:rsidRPr="00DD1DFA">
        <w:rPr>
          <w:noProof/>
        </w:rPr>
        <w:t xml:space="preserve"> i</w:t>
      </w:r>
      <w:r w:rsidR="00DD1DFA">
        <w:rPr>
          <w:noProof/>
        </w:rPr>
        <w:t> </w:t>
      </w:r>
      <w:r w:rsidR="00DD1DFA" w:rsidRPr="00DD1DFA">
        <w:rPr>
          <w:noProof/>
        </w:rPr>
        <w:t>sku</w:t>
      </w:r>
      <w:r w:rsidRPr="00DD1DFA">
        <w:rPr>
          <w:noProof/>
        </w:rPr>
        <w:t>teczności)</w:t>
      </w:r>
      <w:r w:rsidR="00DD1DFA" w:rsidRPr="00DD1DFA">
        <w:rPr>
          <w:noProof/>
        </w:rPr>
        <w:t xml:space="preserve"> w</w:t>
      </w:r>
      <w:r w:rsidR="00DD1DFA">
        <w:rPr>
          <w:noProof/>
        </w:rPr>
        <w:t> </w:t>
      </w:r>
      <w:r w:rsidR="00DD1DFA" w:rsidRPr="00DD1DFA">
        <w:rPr>
          <w:noProof/>
        </w:rPr>
        <w:t>pos</w:t>
      </w:r>
      <w:r w:rsidRPr="00DD1DFA">
        <w:rPr>
          <w:noProof/>
        </w:rPr>
        <w:t>zczególnych państwach członkowskich. Ogólnie rzecz biorąc, nieskuteczny nadzór rynku</w:t>
      </w:r>
      <w:r w:rsidR="00DD1DFA" w:rsidRPr="00DD1DFA">
        <w:rPr>
          <w:noProof/>
        </w:rPr>
        <w:t xml:space="preserve"> i</w:t>
      </w:r>
      <w:r w:rsidR="00DD1DFA">
        <w:rPr>
          <w:noProof/>
        </w:rPr>
        <w:t> </w:t>
      </w:r>
      <w:r w:rsidR="00DD1DFA" w:rsidRPr="00DD1DFA">
        <w:rPr>
          <w:noProof/>
        </w:rPr>
        <w:t>nie</w:t>
      </w:r>
      <w:r w:rsidRPr="00DD1DFA">
        <w:rPr>
          <w:noProof/>
        </w:rPr>
        <w:t>skuteczne egzekwowanie przepisów ograniczają zaufanie do ram prawnych,</w:t>
      </w:r>
      <w:r w:rsidR="00DD1DFA" w:rsidRPr="00DD1DFA">
        <w:rPr>
          <w:noProof/>
        </w:rPr>
        <w:t xml:space="preserve"> a</w:t>
      </w:r>
      <w:r w:rsidR="00DD1DFA">
        <w:rPr>
          <w:noProof/>
        </w:rPr>
        <w:t> </w:t>
      </w:r>
      <w:r w:rsidR="00DD1DFA" w:rsidRPr="00DD1DFA">
        <w:rPr>
          <w:noProof/>
        </w:rPr>
        <w:t>tym</w:t>
      </w:r>
      <w:r w:rsidRPr="00DD1DFA">
        <w:rPr>
          <w:noProof/>
        </w:rPr>
        <w:t xml:space="preserve"> samym zniechęcają przedsiębiorstwa do przestrzegania przepisów.</w:t>
      </w:r>
    </w:p>
    <w:p w14:paraId="0653C880" w14:textId="10DB0547" w:rsidR="004E75DC" w:rsidRPr="00DD1DFA" w:rsidRDefault="004E75DC" w:rsidP="004E75DC">
      <w:pPr>
        <w:spacing w:before="0" w:after="240"/>
        <w:rPr>
          <w:rFonts w:eastAsia="Calibri"/>
          <w:noProof/>
        </w:rPr>
      </w:pPr>
      <w:r w:rsidRPr="00DD1DFA">
        <w:rPr>
          <w:noProof/>
        </w:rPr>
        <w:t>W sprawozdaniu</w:t>
      </w:r>
      <w:r w:rsidR="00DD1DFA" w:rsidRPr="00DD1DFA">
        <w:rPr>
          <w:noProof/>
        </w:rPr>
        <w:t xml:space="preserve"> z</w:t>
      </w:r>
      <w:r w:rsidR="00DD1DFA">
        <w:rPr>
          <w:noProof/>
        </w:rPr>
        <w:t> </w:t>
      </w:r>
      <w:r w:rsidR="00DD1DFA" w:rsidRPr="00DD1DFA">
        <w:rPr>
          <w:noProof/>
        </w:rPr>
        <w:t>wdr</w:t>
      </w:r>
      <w:r w:rsidRPr="00DD1DFA">
        <w:rPr>
          <w:noProof/>
        </w:rPr>
        <w:t>ażania zidentyfikowano niedociągnięcia związane</w:t>
      </w:r>
      <w:r w:rsidR="00DD1DFA" w:rsidRPr="00DD1DFA">
        <w:rPr>
          <w:noProof/>
        </w:rPr>
        <w:t xml:space="preserve"> z</w:t>
      </w:r>
      <w:r w:rsidR="00DD1DFA">
        <w:rPr>
          <w:noProof/>
        </w:rPr>
        <w:t> </w:t>
      </w:r>
      <w:r w:rsidR="00DD1DFA" w:rsidRPr="00DD1DFA">
        <w:rPr>
          <w:noProof/>
        </w:rPr>
        <w:t>fun</w:t>
      </w:r>
      <w:r w:rsidRPr="00DD1DFA">
        <w:rPr>
          <w:noProof/>
        </w:rPr>
        <w:t>kcjonowaniem jednostek notyfikowanych, co wskazuje, że odpowiednie przepisy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powinny być bardziej precyzyjne, np. dotyczące wymogów dla tych jednostek (art.</w:t>
      </w:r>
      <w:r w:rsidR="00DD1DFA" w:rsidRPr="00DD1DFA">
        <w:rPr>
          <w:noProof/>
        </w:rPr>
        <w:t> </w:t>
      </w:r>
      <w:r w:rsidRPr="00DD1DFA">
        <w:rPr>
          <w:noProof/>
        </w:rPr>
        <w:t>43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obowiązków operacyjnych tych jednostek (art.</w:t>
      </w:r>
      <w:r w:rsidR="00DD1DFA" w:rsidRPr="00DD1DFA">
        <w:rPr>
          <w:noProof/>
        </w:rPr>
        <w:t> </w:t>
      </w:r>
      <w:r w:rsidRPr="00DD1DFA">
        <w:rPr>
          <w:noProof/>
        </w:rPr>
        <w:t>52) o</w:t>
      </w:r>
      <w:r w:rsidR="00F6156E" w:rsidRPr="00DD1DFA">
        <w:rPr>
          <w:noProof/>
        </w:rPr>
        <w:t>raz ich koordynacji (art.</w:t>
      </w:r>
      <w:r w:rsidR="00DD1DFA" w:rsidRPr="00DD1DFA">
        <w:rPr>
          <w:noProof/>
        </w:rPr>
        <w:t> </w:t>
      </w:r>
      <w:r w:rsidR="00F6156E" w:rsidRPr="00DD1DFA">
        <w:rPr>
          <w:noProof/>
        </w:rPr>
        <w:t>55).</w:t>
      </w:r>
    </w:p>
    <w:p w14:paraId="573F942A" w14:textId="5DC81D0B" w:rsidR="004E75DC" w:rsidRPr="00DD1DFA" w:rsidRDefault="004E75DC" w:rsidP="004E75DC">
      <w:pPr>
        <w:spacing w:before="0" w:after="240"/>
        <w:rPr>
          <w:rFonts w:eastAsia="Calibri"/>
          <w:b/>
          <w:bCs/>
          <w:noProof/>
          <w:szCs w:val="24"/>
        </w:rPr>
      </w:pPr>
      <w:r w:rsidRPr="00DD1DFA">
        <w:rPr>
          <w:b/>
          <w:bCs/>
          <w:noProof/>
          <w:szCs w:val="24"/>
        </w:rPr>
        <w:t>Problem nr</w:t>
      </w:r>
      <w:r w:rsidR="00DD1DFA" w:rsidRPr="00DD1DFA">
        <w:rPr>
          <w:b/>
          <w:bCs/>
          <w:noProof/>
          <w:szCs w:val="24"/>
        </w:rPr>
        <w:t> </w:t>
      </w:r>
      <w:r w:rsidRPr="00DD1DFA">
        <w:rPr>
          <w:b/>
          <w:bCs/>
          <w:noProof/>
          <w:szCs w:val="24"/>
        </w:rPr>
        <w:t>3: Złożoność ram prawnych / nie dokonano ich uproszczenia.</w:t>
      </w:r>
    </w:p>
    <w:p w14:paraId="3D23FBE8" w14:textId="3480679C" w:rsidR="004E75DC" w:rsidRPr="00DD1DFA" w:rsidRDefault="004E75DC" w:rsidP="004E75DC">
      <w:pPr>
        <w:spacing w:before="0" w:after="240"/>
        <w:rPr>
          <w:rFonts w:eastAsia="Calibri"/>
          <w:noProof/>
        </w:rPr>
      </w:pPr>
      <w:r w:rsidRPr="00DD1DFA">
        <w:rPr>
          <w:noProof/>
        </w:rPr>
        <w:t>Zharmonizowane specyfikacje techniczne zapewniają wspólny język techniczny dotyczący sposobów badania</w:t>
      </w:r>
      <w:r w:rsidR="00DD1DFA" w:rsidRPr="00DD1DFA">
        <w:rPr>
          <w:noProof/>
        </w:rPr>
        <w:t xml:space="preserve"> i</w:t>
      </w:r>
      <w:r w:rsidR="00DD1DFA">
        <w:rPr>
          <w:noProof/>
        </w:rPr>
        <w:t> </w:t>
      </w:r>
      <w:r w:rsidR="00DD1DFA" w:rsidRPr="00DD1DFA">
        <w:rPr>
          <w:noProof/>
        </w:rPr>
        <w:t>inf</w:t>
      </w:r>
      <w:r w:rsidRPr="00DD1DFA">
        <w:rPr>
          <w:noProof/>
        </w:rPr>
        <w:t>ormowania</w:t>
      </w:r>
      <w:r w:rsidR="00DD1DFA" w:rsidRPr="00DD1DFA">
        <w:rPr>
          <w:noProof/>
        </w:rPr>
        <w:t xml:space="preserve"> o</w:t>
      </w:r>
      <w:r w:rsidR="00DD1DFA">
        <w:rPr>
          <w:noProof/>
        </w:rPr>
        <w:t> </w:t>
      </w:r>
      <w:r w:rsidR="00DD1DFA" w:rsidRPr="00DD1DFA">
        <w:rPr>
          <w:noProof/>
        </w:rPr>
        <w:t>wła</w:t>
      </w:r>
      <w:r w:rsidRPr="00DD1DFA">
        <w:rPr>
          <w:noProof/>
        </w:rPr>
        <w:t>ściwościach użytkowych wyrobów budowlanych (np.</w:t>
      </w:r>
      <w:r w:rsidR="00DD1DFA" w:rsidRPr="00DD1DFA">
        <w:rPr>
          <w:noProof/>
        </w:rPr>
        <w:t xml:space="preserve"> z</w:t>
      </w:r>
      <w:r w:rsidR="00DD1DFA">
        <w:rPr>
          <w:noProof/>
        </w:rPr>
        <w:t> </w:t>
      </w:r>
      <w:r w:rsidR="00DD1DFA" w:rsidRPr="00DD1DFA">
        <w:rPr>
          <w:noProof/>
        </w:rPr>
        <w:t>zak</w:t>
      </w:r>
      <w:r w:rsidRPr="00DD1DFA">
        <w:rPr>
          <w:noProof/>
        </w:rPr>
        <w:t>resie reakcji na ogień, przewodnictwa cieplnego właściwego lub izolacyjności akustycznej). Oznakowanie CE zgodnie</w:t>
      </w:r>
      <w:r w:rsidR="00DD1DFA" w:rsidRPr="00DD1DFA">
        <w:rPr>
          <w:noProof/>
        </w:rPr>
        <w:t xml:space="preserve"> z</w:t>
      </w:r>
      <w:r w:rsidR="00DD1DFA">
        <w:rPr>
          <w:noProof/>
        </w:rPr>
        <w:t> </w:t>
      </w:r>
      <w:r w:rsidR="00DD1DFA" w:rsidRPr="00DD1DFA">
        <w:rPr>
          <w:noProof/>
        </w:rPr>
        <w:t>roz</w:t>
      </w:r>
      <w:r w:rsidRPr="00DD1DFA">
        <w:rPr>
          <w:noProof/>
        </w:rPr>
        <w:t>porządzeniem</w:t>
      </w:r>
      <w:r w:rsidR="00DD1DFA" w:rsidRPr="00DD1DFA">
        <w:rPr>
          <w:noProof/>
        </w:rPr>
        <w:t xml:space="preserve"> w</w:t>
      </w:r>
      <w:r w:rsidR="00DD1DFA">
        <w:rPr>
          <w:noProof/>
        </w:rPr>
        <w:t> </w:t>
      </w:r>
      <w:r w:rsidR="00DD1DFA" w:rsidRPr="00DD1DFA">
        <w:rPr>
          <w:noProof/>
        </w:rPr>
        <w:t>spr</w:t>
      </w:r>
      <w:r w:rsidRPr="00DD1DFA">
        <w:rPr>
          <w:noProof/>
        </w:rPr>
        <w:t>awie wyrobów budowlanych jest związane</w:t>
      </w:r>
      <w:r w:rsidR="00DD1DFA" w:rsidRPr="00DD1DFA">
        <w:rPr>
          <w:noProof/>
        </w:rPr>
        <w:t xml:space="preserve"> z</w:t>
      </w:r>
      <w:r w:rsidR="00DD1DFA">
        <w:rPr>
          <w:noProof/>
        </w:rPr>
        <w:t> </w:t>
      </w:r>
      <w:r w:rsidR="00DD1DFA" w:rsidRPr="00DD1DFA">
        <w:rPr>
          <w:noProof/>
        </w:rPr>
        <w:t>oce</w:t>
      </w:r>
      <w:r w:rsidRPr="00DD1DFA">
        <w:rPr>
          <w:noProof/>
        </w:rPr>
        <w:t>ną właściwości użytkowych wyrobu budowlanego,</w:t>
      </w:r>
      <w:r w:rsidR="00DD1DFA" w:rsidRPr="00DD1DFA">
        <w:rPr>
          <w:noProof/>
        </w:rPr>
        <w:t xml:space="preserve"> a</w:t>
      </w:r>
      <w:r w:rsidR="00DD1DFA">
        <w:rPr>
          <w:noProof/>
        </w:rPr>
        <w:t> </w:t>
      </w:r>
      <w:r w:rsidR="00DD1DFA" w:rsidRPr="00DD1DFA">
        <w:rPr>
          <w:noProof/>
        </w:rPr>
        <w:t>nie z</w:t>
      </w:r>
      <w:r w:rsidR="00DD1DFA">
        <w:rPr>
          <w:noProof/>
        </w:rPr>
        <w:t> </w:t>
      </w:r>
      <w:r w:rsidR="00DD1DFA" w:rsidRPr="00DD1DFA">
        <w:rPr>
          <w:noProof/>
        </w:rPr>
        <w:t>jeg</w:t>
      </w:r>
      <w:r w:rsidRPr="00DD1DFA">
        <w:rPr>
          <w:noProof/>
        </w:rPr>
        <w:t>o zgodnością</w:t>
      </w:r>
      <w:r w:rsidR="00DD1DFA" w:rsidRPr="00DD1DFA">
        <w:rPr>
          <w:noProof/>
        </w:rPr>
        <w:t xml:space="preserve"> z</w:t>
      </w:r>
      <w:r w:rsidR="00DD1DFA">
        <w:rPr>
          <w:noProof/>
        </w:rPr>
        <w:t> </w:t>
      </w:r>
      <w:r w:rsidR="00DD1DFA" w:rsidRPr="00DD1DFA">
        <w:rPr>
          <w:noProof/>
        </w:rPr>
        <w:t>wym</w:t>
      </w:r>
      <w:r w:rsidRPr="00DD1DFA">
        <w:rPr>
          <w:noProof/>
        </w:rPr>
        <w:t>ogami dotyczącymi wyrobów, gdyż te nie są określone</w:t>
      </w:r>
      <w:r w:rsidR="00DD1DFA" w:rsidRPr="00DD1DFA">
        <w:rPr>
          <w:noProof/>
        </w:rPr>
        <w:t xml:space="preserve"> w</w:t>
      </w:r>
      <w:r w:rsidR="00DD1DFA">
        <w:rPr>
          <w:noProof/>
        </w:rPr>
        <w:t> </w:t>
      </w:r>
      <w:r w:rsidR="00DD1DFA" w:rsidRPr="00DD1DFA">
        <w:rPr>
          <w:noProof/>
        </w:rPr>
        <w:t>roz</w:t>
      </w:r>
      <w:r w:rsidRPr="00DD1DFA">
        <w:rPr>
          <w:noProof/>
        </w:rPr>
        <w:t>porządzeniu</w:t>
      </w:r>
      <w:r w:rsidR="00DD1DFA" w:rsidRPr="00DD1DFA">
        <w:rPr>
          <w:noProof/>
        </w:rPr>
        <w:t xml:space="preserve"> w</w:t>
      </w:r>
      <w:r w:rsidR="00DD1DFA">
        <w:rPr>
          <w:noProof/>
        </w:rPr>
        <w:t> </w:t>
      </w:r>
      <w:r w:rsidR="00DD1DFA" w:rsidRPr="00DD1DFA">
        <w:rPr>
          <w:noProof/>
        </w:rPr>
        <w:t>spr</w:t>
      </w:r>
      <w:r w:rsidRPr="00DD1DFA">
        <w:rPr>
          <w:noProof/>
        </w:rPr>
        <w:t>awie wyrobów budowlanych. Ponieważ jest to sytuacja wyjątkowa</w:t>
      </w:r>
      <w:r w:rsidR="00DD1DFA" w:rsidRPr="00DD1DFA">
        <w:rPr>
          <w:noProof/>
        </w:rPr>
        <w:t xml:space="preserve"> w</w:t>
      </w:r>
      <w:r w:rsidR="00DD1DFA">
        <w:rPr>
          <w:noProof/>
        </w:rPr>
        <w:t> </w:t>
      </w:r>
      <w:r w:rsidR="00DD1DFA" w:rsidRPr="00DD1DFA">
        <w:rPr>
          <w:noProof/>
        </w:rPr>
        <w:t>por</w:t>
      </w:r>
      <w:r w:rsidRPr="00DD1DFA">
        <w:rPr>
          <w:noProof/>
        </w:rPr>
        <w:t>ównaniu</w:t>
      </w:r>
      <w:r w:rsidR="00DD1DFA" w:rsidRPr="00DD1DFA">
        <w:rPr>
          <w:noProof/>
        </w:rPr>
        <w:t xml:space="preserve"> z</w:t>
      </w:r>
      <w:r w:rsidR="00DD1DFA">
        <w:rPr>
          <w:noProof/>
        </w:rPr>
        <w:t> </w:t>
      </w:r>
      <w:r w:rsidR="00DD1DFA" w:rsidRPr="00DD1DFA">
        <w:rPr>
          <w:noProof/>
        </w:rPr>
        <w:t>inn</w:t>
      </w:r>
      <w:r w:rsidRPr="00DD1DFA">
        <w:rPr>
          <w:noProof/>
        </w:rPr>
        <w:t>ymi przepisami nowych ram prawnych, znaczenie oznakowania CE jest często błędnie rozumiane</w:t>
      </w:r>
      <w:r w:rsidR="00DD1DFA" w:rsidRPr="00DD1DFA">
        <w:rPr>
          <w:noProof/>
        </w:rPr>
        <w:t xml:space="preserve"> i</w:t>
      </w:r>
      <w:r w:rsidR="00DD1DFA">
        <w:rPr>
          <w:noProof/>
        </w:rPr>
        <w:t> </w:t>
      </w:r>
      <w:r w:rsidR="00DD1DFA" w:rsidRPr="00DD1DFA">
        <w:rPr>
          <w:noProof/>
        </w:rPr>
        <w:t>int</w:t>
      </w:r>
      <w:r w:rsidRPr="00DD1DFA">
        <w:rPr>
          <w:noProof/>
        </w:rPr>
        <w:t xml:space="preserve">erpretowane. </w:t>
      </w:r>
    </w:p>
    <w:p w14:paraId="2883B54B" w14:textId="0359FBA0" w:rsidR="004E75DC" w:rsidRPr="00DD1DFA" w:rsidRDefault="004E75DC" w:rsidP="004E75DC">
      <w:pPr>
        <w:spacing w:before="0" w:after="240"/>
        <w:rPr>
          <w:noProof/>
          <w:szCs w:val="24"/>
        </w:rPr>
      </w:pPr>
      <w:r w:rsidRPr="00DD1DFA">
        <w:rPr>
          <w:noProof/>
        </w:rPr>
        <w:t>Inne przepisy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są niewystarczająco jasne albo nakładają się na siebie</w:t>
      </w:r>
      <w:r w:rsidR="00DD1DFA" w:rsidRPr="00DD1DFA">
        <w:rPr>
          <w:noProof/>
        </w:rPr>
        <w:t xml:space="preserve"> w</w:t>
      </w:r>
      <w:r w:rsidR="00DD1DFA">
        <w:rPr>
          <w:noProof/>
        </w:rPr>
        <w:t> </w:t>
      </w:r>
      <w:r w:rsidR="00DD1DFA" w:rsidRPr="00DD1DFA">
        <w:rPr>
          <w:noProof/>
        </w:rPr>
        <w:t>obr</w:t>
      </w:r>
      <w:r w:rsidRPr="00DD1DFA">
        <w:rPr>
          <w:noProof/>
        </w:rPr>
        <w:t>ębie samych ram prawnych (np. pokrywanie się informacji wymaganych</w:t>
      </w:r>
      <w:r w:rsidR="00DD1DFA" w:rsidRPr="00DD1DFA">
        <w:rPr>
          <w:noProof/>
        </w:rPr>
        <w:t xml:space="preserve"> w</w:t>
      </w:r>
      <w:r w:rsidR="00DD1DFA">
        <w:rPr>
          <w:noProof/>
        </w:rPr>
        <w:t> </w:t>
      </w:r>
      <w:r w:rsidR="00DD1DFA" w:rsidRPr="00DD1DFA">
        <w:rPr>
          <w:noProof/>
        </w:rPr>
        <w:t>dek</w:t>
      </w:r>
      <w:r w:rsidRPr="00DD1DFA">
        <w:rPr>
          <w:noProof/>
        </w:rPr>
        <w:t>laracji właściwości użytkowych</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ozn</w:t>
      </w:r>
      <w:r w:rsidRPr="00DD1DFA">
        <w:rPr>
          <w:noProof/>
        </w:rPr>
        <w:t>akowaniu CE) lub między rozporządzeniem</w:t>
      </w:r>
      <w:r w:rsidR="00DD1DFA" w:rsidRPr="00DD1DFA">
        <w:rPr>
          <w:noProof/>
        </w:rPr>
        <w:t xml:space="preserve"> w</w:t>
      </w:r>
      <w:r w:rsidR="00DD1DFA">
        <w:rPr>
          <w:noProof/>
        </w:rPr>
        <w:t> </w:t>
      </w:r>
      <w:r w:rsidR="00DD1DFA" w:rsidRPr="00DD1DFA">
        <w:rPr>
          <w:noProof/>
        </w:rPr>
        <w:t>spr</w:t>
      </w:r>
      <w:r w:rsidRPr="00DD1DFA">
        <w:rPr>
          <w:noProof/>
        </w:rPr>
        <w:t>awie wyrobów budowlanych</w:t>
      </w:r>
      <w:r w:rsidR="00DD1DFA" w:rsidRPr="00DD1DFA">
        <w:rPr>
          <w:noProof/>
        </w:rPr>
        <w:t xml:space="preserve"> a</w:t>
      </w:r>
      <w:r w:rsidR="00DD1DFA">
        <w:rPr>
          <w:noProof/>
        </w:rPr>
        <w:t> </w:t>
      </w:r>
      <w:r w:rsidR="00DD1DFA" w:rsidRPr="00DD1DFA">
        <w:rPr>
          <w:noProof/>
        </w:rPr>
        <w:t>inn</w:t>
      </w:r>
      <w:r w:rsidRPr="00DD1DFA">
        <w:rPr>
          <w:noProof/>
        </w:rPr>
        <w:t>ymi przepisami UE (potencjalnie równoległe drogi do uzyskania oznakowania CE dla niektórych wyrobów budowlanych na podstawie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w:t>
      </w:r>
      <w:r w:rsidR="00DD1DFA" w:rsidRPr="00DD1DFA">
        <w:rPr>
          <w:noProof/>
        </w:rPr>
        <w:t xml:space="preserve"> i</w:t>
      </w:r>
      <w:r w:rsidR="00DD1DFA">
        <w:rPr>
          <w:noProof/>
        </w:rPr>
        <w:t> </w:t>
      </w:r>
      <w:r w:rsidR="00DD1DFA" w:rsidRPr="00DD1DFA">
        <w:rPr>
          <w:noProof/>
        </w:rPr>
        <w:t>dyr</w:t>
      </w:r>
      <w:r w:rsidRPr="00DD1DFA">
        <w:rPr>
          <w:noProof/>
        </w:rPr>
        <w:t>ektywy</w:t>
      </w:r>
      <w:r w:rsidR="00DD1DFA" w:rsidRPr="00DD1DFA">
        <w:rPr>
          <w:noProof/>
        </w:rPr>
        <w:t xml:space="preserve"> w</w:t>
      </w:r>
      <w:r w:rsidR="00DD1DFA">
        <w:rPr>
          <w:noProof/>
        </w:rPr>
        <w:t> </w:t>
      </w:r>
      <w:r w:rsidR="00DD1DFA" w:rsidRPr="00DD1DFA">
        <w:rPr>
          <w:noProof/>
        </w:rPr>
        <w:t>spr</w:t>
      </w:r>
      <w:r w:rsidRPr="00DD1DFA">
        <w:rPr>
          <w:noProof/>
        </w:rPr>
        <w:t>awie ekoprojektu</w:t>
      </w:r>
      <w:r w:rsidRPr="00DD1DFA">
        <w:rPr>
          <w:rStyle w:val="Odwoanieprzypisudolnego"/>
          <w:noProof/>
        </w:rPr>
        <w:footnoteReference w:id="13"/>
      </w:r>
      <w:r w:rsidRPr="00DD1DFA">
        <w:rPr>
          <w:noProof/>
        </w:rPr>
        <w:t>). Ponadto wprowadzanie przepisów upraszczających zawartych</w:t>
      </w:r>
      <w:r w:rsidR="00DD1DFA" w:rsidRPr="00DD1DFA">
        <w:rPr>
          <w:noProof/>
        </w:rPr>
        <w:t xml:space="preserve"> w</w:t>
      </w:r>
      <w:r w:rsidR="00DD1DFA">
        <w:rPr>
          <w:noProof/>
        </w:rPr>
        <w:t> </w:t>
      </w:r>
      <w:r w:rsidR="00DD1DFA" w:rsidRPr="00DD1DFA">
        <w:rPr>
          <w:noProof/>
        </w:rPr>
        <w:t>roz</w:t>
      </w:r>
      <w:r w:rsidRPr="00DD1DFA">
        <w:rPr>
          <w:noProof/>
        </w:rPr>
        <w:t>porządzeniu</w:t>
      </w:r>
      <w:r w:rsidR="00DD1DFA" w:rsidRPr="00DD1DFA">
        <w:rPr>
          <w:noProof/>
        </w:rPr>
        <w:t xml:space="preserve"> w</w:t>
      </w:r>
      <w:r w:rsidR="00DD1DFA">
        <w:rPr>
          <w:noProof/>
        </w:rPr>
        <w:t> </w:t>
      </w:r>
      <w:r w:rsidR="00DD1DFA" w:rsidRPr="00DD1DFA">
        <w:rPr>
          <w:noProof/>
        </w:rPr>
        <w:t>spr</w:t>
      </w:r>
      <w:r w:rsidRPr="00DD1DFA">
        <w:rPr>
          <w:noProof/>
        </w:rPr>
        <w:t>awie wspólnych przepisów, skierowanych głównie do MŚP</w:t>
      </w:r>
      <w:r w:rsidRPr="00DD1DFA">
        <w:rPr>
          <w:rStyle w:val="Odwoanieprzypisudolnego"/>
          <w:noProof/>
        </w:rPr>
        <w:footnoteReference w:id="14"/>
      </w:r>
      <w:r w:rsidRPr="00DD1DFA">
        <w:rPr>
          <w:noProof/>
        </w:rPr>
        <w:t xml:space="preserve">, było </w:t>
      </w:r>
      <w:r w:rsidRPr="00DD1DFA">
        <w:rPr>
          <w:noProof/>
        </w:rPr>
        <w:lastRenderedPageBreak/>
        <w:t>ograniczone ze względu na brak wiedzy</w:t>
      </w:r>
      <w:r w:rsidR="00DD1DFA" w:rsidRPr="00DD1DFA">
        <w:rPr>
          <w:noProof/>
        </w:rPr>
        <w:t xml:space="preserve"> o</w:t>
      </w:r>
      <w:r w:rsidR="00DD1DFA">
        <w:rPr>
          <w:noProof/>
        </w:rPr>
        <w:t> </w:t>
      </w:r>
      <w:r w:rsidR="00DD1DFA" w:rsidRPr="00DD1DFA">
        <w:rPr>
          <w:noProof/>
        </w:rPr>
        <w:t>tyc</w:t>
      </w:r>
      <w:r w:rsidRPr="00DD1DFA">
        <w:rPr>
          <w:noProof/>
        </w:rPr>
        <w:t>h przepisach</w:t>
      </w:r>
      <w:r w:rsidR="00DD1DFA" w:rsidRPr="00DD1DFA">
        <w:rPr>
          <w:noProof/>
        </w:rPr>
        <w:t xml:space="preserve"> i</w:t>
      </w:r>
      <w:r w:rsidR="00DD1DFA">
        <w:rPr>
          <w:noProof/>
        </w:rPr>
        <w:t> </w:t>
      </w:r>
      <w:r w:rsidR="00DD1DFA" w:rsidRPr="00DD1DFA">
        <w:rPr>
          <w:noProof/>
        </w:rPr>
        <w:t>bra</w:t>
      </w:r>
      <w:r w:rsidRPr="00DD1DFA">
        <w:rPr>
          <w:noProof/>
        </w:rPr>
        <w:t>k jasności tych przepisów. Największe obciążenia administracyjne spoczywają na najmniejszych przedsiębiorstwach. Pokrywanie się przepisów</w:t>
      </w:r>
      <w:r w:rsidR="00DD1DFA" w:rsidRPr="00DD1DFA">
        <w:rPr>
          <w:noProof/>
        </w:rPr>
        <w:t xml:space="preserve"> i</w:t>
      </w:r>
      <w:r w:rsidR="00DD1DFA">
        <w:rPr>
          <w:noProof/>
        </w:rPr>
        <w:t> </w:t>
      </w:r>
      <w:r w:rsidR="00DD1DFA" w:rsidRPr="00DD1DFA">
        <w:rPr>
          <w:noProof/>
        </w:rPr>
        <w:t>ich</w:t>
      </w:r>
      <w:r w:rsidRPr="00DD1DFA">
        <w:rPr>
          <w:noProof/>
        </w:rPr>
        <w:t xml:space="preserve"> niespójność prowadzi do nieefektywności. </w:t>
      </w:r>
    </w:p>
    <w:p w14:paraId="5FCED90F" w14:textId="5C0F8711" w:rsidR="004E75DC" w:rsidRPr="00DD1DFA" w:rsidRDefault="004E75DC" w:rsidP="004E75DC">
      <w:pPr>
        <w:spacing w:before="0" w:after="240"/>
        <w:rPr>
          <w:rFonts w:eastAsia="Calibri"/>
          <w:noProof/>
        </w:rPr>
      </w:pPr>
      <w:r w:rsidRPr="00DD1DFA">
        <w:rPr>
          <w:noProof/>
        </w:rPr>
        <w:t>Ponadto nie istnieją przepisy szczegółowe dotyczące udostępniania informacji</w:t>
      </w:r>
      <w:r w:rsidR="00DD1DFA" w:rsidRPr="00DD1DFA">
        <w:rPr>
          <w:noProof/>
        </w:rPr>
        <w:t xml:space="preserve"> w</w:t>
      </w:r>
      <w:r w:rsidR="00DD1DFA">
        <w:rPr>
          <w:noProof/>
        </w:rPr>
        <w:t> </w:t>
      </w:r>
      <w:r w:rsidR="00DD1DFA" w:rsidRPr="00DD1DFA">
        <w:rPr>
          <w:noProof/>
        </w:rPr>
        <w:t>for</w:t>
      </w:r>
      <w:r w:rsidRPr="00DD1DFA">
        <w:rPr>
          <w:noProof/>
        </w:rPr>
        <w:t>macie cyfrowym. Stanie się to wyzwaniem, zwłaszcza że wiarygodne informacje</w:t>
      </w:r>
      <w:r w:rsidR="00DD1DFA" w:rsidRPr="00DD1DFA">
        <w:rPr>
          <w:noProof/>
        </w:rPr>
        <w:t xml:space="preserve"> o</w:t>
      </w:r>
      <w:r w:rsidR="00DD1DFA">
        <w:rPr>
          <w:noProof/>
        </w:rPr>
        <w:t> </w:t>
      </w:r>
      <w:r w:rsidR="00DD1DFA" w:rsidRPr="00DD1DFA">
        <w:rPr>
          <w:noProof/>
        </w:rPr>
        <w:t>wyr</w:t>
      </w:r>
      <w:r w:rsidRPr="00DD1DFA">
        <w:rPr>
          <w:noProof/>
        </w:rPr>
        <w:t>obie, od momentu jego wyprodukowania do montażu</w:t>
      </w:r>
      <w:r w:rsidR="00DD1DFA" w:rsidRPr="00DD1DFA">
        <w:rPr>
          <w:noProof/>
        </w:rPr>
        <w:t xml:space="preserve"> w</w:t>
      </w:r>
      <w:r w:rsidR="00DD1DFA">
        <w:rPr>
          <w:noProof/>
        </w:rPr>
        <w:t> </w:t>
      </w:r>
      <w:r w:rsidR="00DD1DFA" w:rsidRPr="00DD1DFA">
        <w:rPr>
          <w:noProof/>
        </w:rPr>
        <w:t>bud</w:t>
      </w:r>
      <w:r w:rsidRPr="00DD1DFA">
        <w:rPr>
          <w:noProof/>
        </w:rPr>
        <w:t>ynku</w:t>
      </w:r>
      <w:r w:rsidR="00DD1DFA" w:rsidRPr="00DD1DFA">
        <w:rPr>
          <w:noProof/>
        </w:rPr>
        <w:t xml:space="preserve"> i</w:t>
      </w:r>
      <w:r w:rsidR="00DD1DFA">
        <w:rPr>
          <w:noProof/>
        </w:rPr>
        <w:t> </w:t>
      </w:r>
      <w:r w:rsidR="00DD1DFA" w:rsidRPr="00DD1DFA">
        <w:rPr>
          <w:noProof/>
        </w:rPr>
        <w:t>roz</w:t>
      </w:r>
      <w:r w:rsidRPr="00DD1DFA">
        <w:rPr>
          <w:noProof/>
        </w:rPr>
        <w:t>biórki, będą niezbędne</w:t>
      </w:r>
      <w:r w:rsidR="00DD1DFA" w:rsidRPr="00DD1DFA">
        <w:rPr>
          <w:noProof/>
        </w:rPr>
        <w:t xml:space="preserve"> w</w:t>
      </w:r>
      <w:r w:rsidR="00DD1DFA">
        <w:rPr>
          <w:noProof/>
        </w:rPr>
        <w:t> </w:t>
      </w:r>
      <w:r w:rsidR="00DD1DFA" w:rsidRPr="00DD1DFA">
        <w:rPr>
          <w:noProof/>
        </w:rPr>
        <w:t>kon</w:t>
      </w:r>
      <w:r w:rsidRPr="00DD1DFA">
        <w:rPr>
          <w:noProof/>
        </w:rPr>
        <w:t>tekście cyfrowych dzienników budynków</w:t>
      </w:r>
      <w:r w:rsidRPr="00DD1DFA">
        <w:rPr>
          <w:rStyle w:val="Odwoanieprzypisudolnego"/>
          <w:noProof/>
        </w:rPr>
        <w:footnoteReference w:id="15"/>
      </w:r>
      <w:r w:rsidRPr="00DD1DFA">
        <w:rPr>
          <w:noProof/>
        </w:rPr>
        <w:t>, unijnych ram zrównoważonego budownictwa</w:t>
      </w:r>
      <w:r w:rsidRPr="00DD1DFA">
        <w:rPr>
          <w:rStyle w:val="Odwoanieprzypisudolnego"/>
          <w:noProof/>
        </w:rPr>
        <w:footnoteReference w:id="16"/>
      </w:r>
      <w:r w:rsidRPr="00DD1DFA">
        <w:rPr>
          <w:noProof/>
        </w:rPr>
        <w:t xml:space="preserve"> lub innych narzędzi służących do oceny</w:t>
      </w:r>
      <w:r w:rsidR="00DD1DFA" w:rsidRPr="00DD1DFA">
        <w:rPr>
          <w:noProof/>
        </w:rPr>
        <w:t xml:space="preserve"> i</w:t>
      </w:r>
      <w:r w:rsidR="00DD1DFA">
        <w:rPr>
          <w:noProof/>
        </w:rPr>
        <w:t> </w:t>
      </w:r>
      <w:r w:rsidR="00DD1DFA" w:rsidRPr="00DD1DFA">
        <w:rPr>
          <w:noProof/>
        </w:rPr>
        <w:t>spr</w:t>
      </w:r>
      <w:r w:rsidRPr="00DD1DFA">
        <w:rPr>
          <w:noProof/>
        </w:rPr>
        <w:t xml:space="preserve">awozdawczości na temat efektywności budynków pod względem zrównoważonego rozwoju. </w:t>
      </w:r>
    </w:p>
    <w:p w14:paraId="1D69F3FC" w14:textId="47FC6939" w:rsidR="004E75DC" w:rsidRPr="00DD1DFA" w:rsidRDefault="004E75DC" w:rsidP="004E75DC">
      <w:pPr>
        <w:spacing w:before="0" w:after="240"/>
        <w:rPr>
          <w:rFonts w:eastAsia="Calibri"/>
          <w:b/>
          <w:bCs/>
          <w:noProof/>
          <w:szCs w:val="24"/>
        </w:rPr>
      </w:pPr>
      <w:r w:rsidRPr="00DD1DFA">
        <w:rPr>
          <w:b/>
          <w:bCs/>
          <w:noProof/>
        </w:rPr>
        <w:t>Problem nr</w:t>
      </w:r>
      <w:r w:rsidR="00DD1DFA" w:rsidRPr="00DD1DFA">
        <w:rPr>
          <w:b/>
          <w:bCs/>
          <w:noProof/>
        </w:rPr>
        <w:t> </w:t>
      </w:r>
      <w:r w:rsidRPr="00DD1DFA">
        <w:rPr>
          <w:b/>
          <w:bCs/>
          <w:noProof/>
        </w:rPr>
        <w:t>4: Za pomocą rozporządzenia</w:t>
      </w:r>
      <w:r w:rsidR="00DD1DFA" w:rsidRPr="00DD1DFA">
        <w:rPr>
          <w:b/>
          <w:bCs/>
          <w:noProof/>
        </w:rPr>
        <w:t xml:space="preserve"> w</w:t>
      </w:r>
      <w:r w:rsidR="00DD1DFA">
        <w:rPr>
          <w:b/>
          <w:bCs/>
          <w:noProof/>
        </w:rPr>
        <w:t> </w:t>
      </w:r>
      <w:r w:rsidR="00DD1DFA" w:rsidRPr="00DD1DFA">
        <w:rPr>
          <w:b/>
          <w:bCs/>
          <w:noProof/>
        </w:rPr>
        <w:t>spr</w:t>
      </w:r>
      <w:r w:rsidRPr="00DD1DFA">
        <w:rPr>
          <w:b/>
          <w:bCs/>
          <w:noProof/>
        </w:rPr>
        <w:t>awie wyrobów budowlanych nie można zrealizować szerszych priorytetów politycznych, takich jak ekologiczna</w:t>
      </w:r>
      <w:r w:rsidR="00DD1DFA" w:rsidRPr="00DD1DFA">
        <w:rPr>
          <w:b/>
          <w:bCs/>
          <w:noProof/>
        </w:rPr>
        <w:t xml:space="preserve"> i</w:t>
      </w:r>
      <w:r w:rsidR="00DD1DFA">
        <w:rPr>
          <w:b/>
          <w:bCs/>
          <w:noProof/>
        </w:rPr>
        <w:t> </w:t>
      </w:r>
      <w:r w:rsidR="00DD1DFA" w:rsidRPr="00DD1DFA">
        <w:rPr>
          <w:b/>
          <w:bCs/>
          <w:noProof/>
        </w:rPr>
        <w:t>cyf</w:t>
      </w:r>
      <w:r w:rsidRPr="00DD1DFA">
        <w:rPr>
          <w:b/>
          <w:bCs/>
          <w:noProof/>
        </w:rPr>
        <w:t>rowa transformacja oraz bezpieczeństwo wyrobów.</w:t>
      </w:r>
    </w:p>
    <w:p w14:paraId="04C1D4BB" w14:textId="7B66403B" w:rsidR="004E75DC" w:rsidRPr="00DD1DFA" w:rsidRDefault="004E75DC" w:rsidP="004E75DC">
      <w:pPr>
        <w:spacing w:before="0" w:after="240"/>
        <w:rPr>
          <w:rFonts w:eastAsia="Times New Roman"/>
          <w:noProof/>
        </w:rPr>
      </w:pPr>
      <w:r w:rsidRPr="00DD1DFA">
        <w:rPr>
          <w:noProof/>
        </w:rPr>
        <w:t>Dostępne zharmonizowane metody oceny właściwości użytkowych wyrobów budowlanych obejmują tylko niektóre elementy związane</w:t>
      </w:r>
      <w:r w:rsidR="00DD1DFA" w:rsidRPr="00DD1DFA">
        <w:rPr>
          <w:noProof/>
        </w:rPr>
        <w:t xml:space="preserve"> z</w:t>
      </w:r>
      <w:r w:rsidR="00DD1DFA">
        <w:rPr>
          <w:noProof/>
        </w:rPr>
        <w:t> </w:t>
      </w:r>
      <w:r w:rsidR="00DD1DFA" w:rsidRPr="00DD1DFA">
        <w:rPr>
          <w:noProof/>
        </w:rPr>
        <w:t>wpł</w:t>
      </w:r>
      <w:r w:rsidRPr="00DD1DFA">
        <w:rPr>
          <w:noProof/>
        </w:rPr>
        <w:t>ywem na środowisko, takie jak zanieczyszczenie, ale nie zostały one ustalone</w:t>
      </w:r>
      <w:r w:rsidR="00DD1DFA" w:rsidRPr="00DD1DFA">
        <w:rPr>
          <w:noProof/>
        </w:rPr>
        <w:t xml:space="preserve"> w</w:t>
      </w:r>
      <w:r w:rsidR="00DD1DFA">
        <w:rPr>
          <w:noProof/>
        </w:rPr>
        <w:t> </w:t>
      </w:r>
      <w:r w:rsidR="00DD1DFA" w:rsidRPr="00DD1DFA">
        <w:rPr>
          <w:noProof/>
        </w:rPr>
        <w:t>odn</w:t>
      </w:r>
      <w:r w:rsidRPr="00DD1DFA">
        <w:rPr>
          <w:noProof/>
        </w:rPr>
        <w:t>iesieniu do zrównoważonego wykorzystania zasobów naturalnych. Ponadto rozporządzenie</w:t>
      </w:r>
      <w:r w:rsidR="00DD1DFA" w:rsidRPr="00DD1DFA">
        <w:rPr>
          <w:noProof/>
        </w:rPr>
        <w:t xml:space="preserve"> w</w:t>
      </w:r>
      <w:r w:rsidR="00DD1DFA">
        <w:rPr>
          <w:noProof/>
        </w:rPr>
        <w:t> </w:t>
      </w:r>
      <w:r w:rsidR="00DD1DFA" w:rsidRPr="00DD1DFA">
        <w:rPr>
          <w:noProof/>
        </w:rPr>
        <w:t>spr</w:t>
      </w:r>
      <w:r w:rsidRPr="00DD1DFA">
        <w:rPr>
          <w:noProof/>
        </w:rPr>
        <w:t>awie wyrobów budowlanych nie pozwala na ustanowienie</w:t>
      </w:r>
      <w:r w:rsidR="00DD1DFA" w:rsidRPr="00DD1DFA">
        <w:rPr>
          <w:noProof/>
        </w:rPr>
        <w:t xml:space="preserve"> w</w:t>
      </w:r>
      <w:r w:rsidR="00DD1DFA">
        <w:rPr>
          <w:noProof/>
        </w:rPr>
        <w:t> </w:t>
      </w:r>
      <w:r w:rsidR="00DD1DFA" w:rsidRPr="00DD1DFA">
        <w:rPr>
          <w:noProof/>
        </w:rPr>
        <w:t>odn</w:t>
      </w:r>
      <w:r w:rsidRPr="00DD1DFA">
        <w:rPr>
          <w:noProof/>
        </w:rPr>
        <w:t>iesieniu do wyrobów budowlanych wymogów</w:t>
      </w:r>
      <w:r w:rsidR="00DD1DFA" w:rsidRPr="00DD1DFA">
        <w:rPr>
          <w:noProof/>
        </w:rPr>
        <w:t xml:space="preserve"> w</w:t>
      </w:r>
      <w:r w:rsidR="00DD1DFA">
        <w:rPr>
          <w:noProof/>
        </w:rPr>
        <w:t> </w:t>
      </w:r>
      <w:r w:rsidR="00DD1DFA" w:rsidRPr="00DD1DFA">
        <w:rPr>
          <w:noProof/>
        </w:rPr>
        <w:t>zak</w:t>
      </w:r>
      <w:r w:rsidRPr="00DD1DFA">
        <w:rPr>
          <w:noProof/>
        </w:rPr>
        <w:t>resie ochrony środowiska, funkcjonalności</w:t>
      </w:r>
      <w:r w:rsidR="00DD1DFA" w:rsidRPr="00DD1DFA">
        <w:rPr>
          <w:noProof/>
        </w:rPr>
        <w:t xml:space="preserve"> i</w:t>
      </w:r>
      <w:r w:rsidR="00DD1DFA">
        <w:rPr>
          <w:noProof/>
        </w:rPr>
        <w:t> </w:t>
      </w:r>
      <w:r w:rsidR="00DD1DFA" w:rsidRPr="00DD1DFA">
        <w:rPr>
          <w:noProof/>
        </w:rPr>
        <w:t>bez</w:t>
      </w:r>
      <w:r w:rsidRPr="00DD1DFA">
        <w:rPr>
          <w:noProof/>
        </w:rPr>
        <w:t>pieczeństwa, co utrudnia rozwiązywanie problemów niezwiązanych</w:t>
      </w:r>
      <w:r w:rsidR="00DD1DFA" w:rsidRPr="00DD1DFA">
        <w:rPr>
          <w:noProof/>
        </w:rPr>
        <w:t xml:space="preserve"> z</w:t>
      </w:r>
      <w:r w:rsidR="00DD1DFA">
        <w:rPr>
          <w:noProof/>
        </w:rPr>
        <w:t> </w:t>
      </w:r>
      <w:r w:rsidR="00DD1DFA" w:rsidRPr="00DD1DFA">
        <w:rPr>
          <w:noProof/>
        </w:rPr>
        <w:t>wła</w:t>
      </w:r>
      <w:r w:rsidRPr="00DD1DFA">
        <w:rPr>
          <w:noProof/>
        </w:rPr>
        <w:t>ściwościami użytkowymi. Aby jednak pobudzić zachęty</w:t>
      </w:r>
      <w:r w:rsidR="00DD1DFA" w:rsidRPr="00DD1DFA">
        <w:rPr>
          <w:noProof/>
        </w:rPr>
        <w:t xml:space="preserve"> i</w:t>
      </w:r>
      <w:r w:rsidR="00DD1DFA">
        <w:rPr>
          <w:noProof/>
        </w:rPr>
        <w:t> </w:t>
      </w:r>
      <w:r w:rsidR="00DD1DFA" w:rsidRPr="00DD1DFA">
        <w:rPr>
          <w:noProof/>
        </w:rPr>
        <w:t>pop</w:t>
      </w:r>
      <w:r w:rsidRPr="00DD1DFA">
        <w:rPr>
          <w:noProof/>
        </w:rPr>
        <w:t>yt na niskoemisyjne</w:t>
      </w:r>
      <w:r w:rsidR="00DD1DFA" w:rsidRPr="00DD1DFA">
        <w:rPr>
          <w:noProof/>
        </w:rPr>
        <w:t xml:space="preserve"> i</w:t>
      </w:r>
      <w:r w:rsidR="00DD1DFA">
        <w:rPr>
          <w:noProof/>
        </w:rPr>
        <w:t> </w:t>
      </w:r>
      <w:r w:rsidR="00DD1DFA" w:rsidRPr="00DD1DFA">
        <w:rPr>
          <w:noProof/>
        </w:rPr>
        <w:t>skł</w:t>
      </w:r>
      <w:r w:rsidRPr="00DD1DFA">
        <w:rPr>
          <w:noProof/>
        </w:rPr>
        <w:t>adujące dwutlenek węgla wyroby budowlane, potrzebne są spójne</w:t>
      </w:r>
      <w:r w:rsidR="00DD1DFA" w:rsidRPr="00DD1DFA">
        <w:rPr>
          <w:noProof/>
        </w:rPr>
        <w:t xml:space="preserve"> i</w:t>
      </w:r>
      <w:r w:rsidR="00DD1DFA">
        <w:rPr>
          <w:noProof/>
        </w:rPr>
        <w:t> </w:t>
      </w:r>
      <w:r w:rsidR="00DD1DFA" w:rsidRPr="00DD1DFA">
        <w:rPr>
          <w:noProof/>
        </w:rPr>
        <w:t>prz</w:t>
      </w:r>
      <w:r w:rsidRPr="00DD1DFA">
        <w:rPr>
          <w:noProof/>
        </w:rPr>
        <w:t>ejrzyste informacje na temat wpływu wyrobów budowlanych na klimat, środowisko</w:t>
      </w:r>
      <w:r w:rsidR="00DD1DFA" w:rsidRPr="00DD1DFA">
        <w:rPr>
          <w:noProof/>
        </w:rPr>
        <w:t xml:space="preserve"> i</w:t>
      </w:r>
      <w:r w:rsidR="00DD1DFA">
        <w:rPr>
          <w:noProof/>
        </w:rPr>
        <w:t> </w:t>
      </w:r>
      <w:r w:rsidR="00DD1DFA" w:rsidRPr="00DD1DFA">
        <w:rPr>
          <w:noProof/>
        </w:rPr>
        <w:t>zró</w:t>
      </w:r>
      <w:r w:rsidRPr="00DD1DFA">
        <w:rPr>
          <w:noProof/>
        </w:rPr>
        <w:t>wnoważony rozwój,</w:t>
      </w:r>
      <w:r w:rsidR="00DD1DFA" w:rsidRPr="00DD1DFA">
        <w:rPr>
          <w:noProof/>
        </w:rPr>
        <w:t xml:space="preserve"> a</w:t>
      </w:r>
      <w:r w:rsidR="00DD1DFA">
        <w:rPr>
          <w:noProof/>
        </w:rPr>
        <w:t> </w:t>
      </w:r>
      <w:r w:rsidR="00DD1DFA" w:rsidRPr="00DD1DFA">
        <w:rPr>
          <w:noProof/>
        </w:rPr>
        <w:t>tak</w:t>
      </w:r>
      <w:r w:rsidRPr="00DD1DFA">
        <w:rPr>
          <w:noProof/>
        </w:rPr>
        <w:t>że możliwość regulowania nieodłącznych cech wyrobów, takich jak trwałość lub możliwość naprawy. Wzmocnienie obiegu zamkniętego wyrobów budowlanych wzmocni również odporność UE</w:t>
      </w:r>
      <w:r w:rsidR="00DD1DFA" w:rsidRPr="00DD1DFA">
        <w:rPr>
          <w:noProof/>
        </w:rPr>
        <w:t xml:space="preserve"> w</w:t>
      </w:r>
      <w:r w:rsidR="00DD1DFA">
        <w:rPr>
          <w:noProof/>
        </w:rPr>
        <w:t> </w:t>
      </w:r>
      <w:r w:rsidR="00DD1DFA" w:rsidRPr="00DD1DFA">
        <w:rPr>
          <w:noProof/>
        </w:rPr>
        <w:t>zak</w:t>
      </w:r>
      <w:r w:rsidRPr="00DD1DFA">
        <w:rPr>
          <w:noProof/>
        </w:rPr>
        <w:t>resie dostępu do materiałów budowlanych</w:t>
      </w:r>
      <w:r w:rsidRPr="00DD1DFA">
        <w:rPr>
          <w:rStyle w:val="Odwoanieprzypisudolnego"/>
          <w:noProof/>
        </w:rPr>
        <w:footnoteReference w:id="17"/>
      </w:r>
      <w:r w:rsidRPr="00DD1DFA">
        <w:rPr>
          <w:noProof/>
        </w:rPr>
        <w:t>.</w:t>
      </w:r>
      <w:r w:rsidRPr="00DD1DFA">
        <w:rPr>
          <w:noProof/>
          <w:color w:val="1F497D"/>
        </w:rPr>
        <w:t xml:space="preserve"> </w:t>
      </w:r>
      <w:r w:rsidRPr="00DD1DFA">
        <w:rPr>
          <w:noProof/>
        </w:rPr>
        <w:t>Ponadto informacje cyfrowe dotyczące wyrobów budowlanych nie są dostępne</w:t>
      </w:r>
      <w:r w:rsidR="00DD1DFA" w:rsidRPr="00DD1DFA">
        <w:rPr>
          <w:noProof/>
        </w:rPr>
        <w:t xml:space="preserve"> w</w:t>
      </w:r>
      <w:r w:rsidR="00DD1DFA">
        <w:rPr>
          <w:noProof/>
        </w:rPr>
        <w:t> </w:t>
      </w:r>
      <w:r w:rsidR="00DD1DFA" w:rsidRPr="00DD1DFA">
        <w:rPr>
          <w:noProof/>
        </w:rPr>
        <w:t>sto</w:t>
      </w:r>
      <w:r w:rsidRPr="00DD1DFA">
        <w:rPr>
          <w:noProof/>
        </w:rPr>
        <w:t>pniu wystarczającym do realizacji celów obiegu zamkniętego</w:t>
      </w:r>
      <w:r w:rsidR="00DD1DFA" w:rsidRPr="00DD1DFA">
        <w:rPr>
          <w:noProof/>
        </w:rPr>
        <w:t xml:space="preserve"> i</w:t>
      </w:r>
      <w:r w:rsidR="00DD1DFA">
        <w:rPr>
          <w:noProof/>
        </w:rPr>
        <w:t> </w:t>
      </w:r>
      <w:r w:rsidR="00DD1DFA" w:rsidRPr="00DD1DFA">
        <w:rPr>
          <w:noProof/>
        </w:rPr>
        <w:t>zró</w:t>
      </w:r>
      <w:r w:rsidRPr="00DD1DFA">
        <w:rPr>
          <w:noProof/>
        </w:rPr>
        <w:t>wnoważonego rozwoju oraz do zapewnienia informacji wymaganych przez inne powiązane przepisy (np. dyrektywę</w:t>
      </w:r>
      <w:r w:rsidR="00DD1DFA" w:rsidRPr="00DD1DFA">
        <w:rPr>
          <w:noProof/>
        </w:rPr>
        <w:t xml:space="preserve"> w</w:t>
      </w:r>
      <w:r w:rsidR="00DD1DFA">
        <w:rPr>
          <w:noProof/>
        </w:rPr>
        <w:t> </w:t>
      </w:r>
      <w:r w:rsidR="00DD1DFA" w:rsidRPr="00DD1DFA">
        <w:rPr>
          <w:noProof/>
        </w:rPr>
        <w:t>spr</w:t>
      </w:r>
      <w:r w:rsidRPr="00DD1DFA">
        <w:rPr>
          <w:noProof/>
        </w:rPr>
        <w:t>awie charakterystyki energetycznej budynków lub rozporządzenie</w:t>
      </w:r>
      <w:r w:rsidR="00DD1DFA" w:rsidRPr="00DD1DFA">
        <w:rPr>
          <w:noProof/>
        </w:rPr>
        <w:t xml:space="preserve"> w</w:t>
      </w:r>
      <w:r w:rsidR="00DD1DFA">
        <w:rPr>
          <w:noProof/>
        </w:rPr>
        <w:t> </w:t>
      </w:r>
      <w:r w:rsidR="00DD1DFA" w:rsidRPr="00DD1DFA">
        <w:rPr>
          <w:noProof/>
        </w:rPr>
        <w:t>spr</w:t>
      </w:r>
      <w:r w:rsidRPr="00DD1DFA">
        <w:rPr>
          <w:noProof/>
        </w:rPr>
        <w:t xml:space="preserve">awie ekoprojektu dla zrównoważonych produktów). </w:t>
      </w:r>
    </w:p>
    <w:p w14:paraId="1B0AB6AB" w14:textId="51CAC3C0" w:rsidR="004E75DC" w:rsidRPr="00DD1DFA" w:rsidRDefault="004E75DC" w:rsidP="004E75DC">
      <w:pPr>
        <w:spacing w:before="0" w:after="240"/>
        <w:rPr>
          <w:rFonts w:eastAsia="Times New Roman"/>
          <w:noProof/>
        </w:rPr>
      </w:pPr>
      <w:r w:rsidRPr="00DD1DFA">
        <w:rPr>
          <w:noProof/>
        </w:rPr>
        <w:t>Rozporządzenie</w:t>
      </w:r>
      <w:r w:rsidR="00DD1DFA" w:rsidRPr="00DD1DFA">
        <w:rPr>
          <w:noProof/>
        </w:rPr>
        <w:t xml:space="preserve"> w</w:t>
      </w:r>
      <w:r w:rsidR="00DD1DFA">
        <w:rPr>
          <w:noProof/>
        </w:rPr>
        <w:t> </w:t>
      </w:r>
      <w:r w:rsidR="00DD1DFA" w:rsidRPr="00DD1DFA">
        <w:rPr>
          <w:noProof/>
        </w:rPr>
        <w:t>spr</w:t>
      </w:r>
      <w:r w:rsidRPr="00DD1DFA">
        <w:rPr>
          <w:noProof/>
        </w:rPr>
        <w:t>awie wyrobów budowlanych znacznie ogranicza możliwości sektora pod względem deklarowania</w:t>
      </w:r>
      <w:r w:rsidR="00DD1DFA" w:rsidRPr="00DD1DFA">
        <w:rPr>
          <w:noProof/>
        </w:rPr>
        <w:t xml:space="preserve"> w</w:t>
      </w:r>
      <w:r w:rsidR="00DD1DFA">
        <w:rPr>
          <w:noProof/>
        </w:rPr>
        <w:t> </w:t>
      </w:r>
      <w:r w:rsidR="00DD1DFA" w:rsidRPr="00DD1DFA">
        <w:rPr>
          <w:noProof/>
        </w:rPr>
        <w:t>spo</w:t>
      </w:r>
      <w:r w:rsidRPr="00DD1DFA">
        <w:rPr>
          <w:noProof/>
        </w:rPr>
        <w:t>sób spójny</w:t>
      </w:r>
      <w:r w:rsidR="00DD1DFA" w:rsidRPr="00DD1DFA">
        <w:rPr>
          <w:noProof/>
        </w:rPr>
        <w:t xml:space="preserve"> i</w:t>
      </w:r>
      <w:r w:rsidR="00DD1DFA">
        <w:rPr>
          <w:noProof/>
        </w:rPr>
        <w:t> </w:t>
      </w:r>
      <w:r w:rsidR="00DD1DFA" w:rsidRPr="00DD1DFA">
        <w:rPr>
          <w:noProof/>
        </w:rPr>
        <w:t>zha</w:t>
      </w:r>
      <w:r w:rsidRPr="00DD1DFA">
        <w:rPr>
          <w:noProof/>
        </w:rPr>
        <w:t>rmonizowany właściwości użytkowych jego wyrobów oraz różnicowania produktów ze względu na kontekst klimatu, środowiska</w:t>
      </w:r>
      <w:r w:rsidR="00DD1DFA" w:rsidRPr="00DD1DFA">
        <w:rPr>
          <w:noProof/>
        </w:rPr>
        <w:t xml:space="preserve"> i</w:t>
      </w:r>
      <w:r w:rsidR="00DD1DFA">
        <w:rPr>
          <w:noProof/>
        </w:rPr>
        <w:t> </w:t>
      </w:r>
      <w:r w:rsidR="00DD1DFA" w:rsidRPr="00DD1DFA">
        <w:rPr>
          <w:noProof/>
        </w:rPr>
        <w:t>efe</w:t>
      </w:r>
      <w:r w:rsidRPr="00DD1DFA">
        <w:rPr>
          <w:noProof/>
        </w:rPr>
        <w:t>ktywności pod względem zrównoważonego rozwoju. Znacznie ograniczono</w:t>
      </w:r>
      <w:r w:rsidR="00DD1DFA" w:rsidRPr="00DD1DFA">
        <w:rPr>
          <w:noProof/>
        </w:rPr>
        <w:t xml:space="preserve"> w</w:t>
      </w:r>
      <w:r w:rsidR="00DD1DFA">
        <w:rPr>
          <w:noProof/>
        </w:rPr>
        <w:t> </w:t>
      </w:r>
      <w:r w:rsidR="00DD1DFA" w:rsidRPr="00DD1DFA">
        <w:rPr>
          <w:noProof/>
        </w:rPr>
        <w:t>nim</w:t>
      </w:r>
      <w:r w:rsidRPr="00DD1DFA">
        <w:rPr>
          <w:noProof/>
        </w:rPr>
        <w:t xml:space="preserve"> również możliwości państw członkowskich</w:t>
      </w:r>
      <w:r w:rsidR="00DD1DFA" w:rsidRPr="00DD1DFA">
        <w:rPr>
          <w:noProof/>
        </w:rPr>
        <w:t xml:space="preserve"> w</w:t>
      </w:r>
      <w:r w:rsidR="00DD1DFA">
        <w:rPr>
          <w:noProof/>
        </w:rPr>
        <w:t> </w:t>
      </w:r>
      <w:r w:rsidR="00DD1DFA" w:rsidRPr="00DD1DFA">
        <w:rPr>
          <w:noProof/>
        </w:rPr>
        <w:t>zak</w:t>
      </w:r>
      <w:r w:rsidRPr="00DD1DFA">
        <w:rPr>
          <w:noProof/>
        </w:rPr>
        <w:t>resie określania krajowych wymogów dotyczących budynków lub uwzględniania</w:t>
      </w:r>
      <w:r w:rsidR="00DD1DFA" w:rsidRPr="00DD1DFA">
        <w:rPr>
          <w:noProof/>
        </w:rPr>
        <w:t xml:space="preserve"> w</w:t>
      </w:r>
      <w:r w:rsidR="00DD1DFA">
        <w:rPr>
          <w:noProof/>
        </w:rPr>
        <w:t> </w:t>
      </w:r>
      <w:r w:rsidR="00DD1DFA" w:rsidRPr="00DD1DFA">
        <w:rPr>
          <w:noProof/>
        </w:rPr>
        <w:t>zam</w:t>
      </w:r>
      <w:r w:rsidRPr="00DD1DFA">
        <w:rPr>
          <w:noProof/>
        </w:rPr>
        <w:t xml:space="preserve">ówieniach publicznych kryteriów dotyczących celów zrównoważonego rozwoju bez uszczerbku dla funkcjonowania jednolitego rynku. </w:t>
      </w:r>
    </w:p>
    <w:p w14:paraId="050E8276" w14:textId="33755F4B" w:rsidR="00AA79E1" w:rsidRPr="00DD1DFA" w:rsidRDefault="00AA79E1" w:rsidP="00AA79E1">
      <w:pPr>
        <w:pStyle w:val="ManualHeading2"/>
        <w:rPr>
          <w:rFonts w:eastAsia="Arial Unicode MS"/>
          <w:noProof/>
          <w:color w:val="000000"/>
          <w:bdr w:val="none" w:sz="0" w:space="0" w:color="auto" w:frame="1"/>
        </w:rPr>
      </w:pPr>
      <w:r w:rsidRPr="00DD1DFA">
        <w:rPr>
          <w:noProof/>
          <w:color w:val="000000"/>
          <w:bdr w:val="none" w:sz="0" w:space="0" w:color="auto" w:frame="1"/>
        </w:rPr>
        <w:lastRenderedPageBreak/>
        <w:t>•</w:t>
      </w:r>
      <w:r w:rsidRPr="00DD1DFA">
        <w:rPr>
          <w:noProof/>
        </w:rPr>
        <w:tab/>
        <w:t>Spójność</w:t>
      </w:r>
      <w:r w:rsidR="00DD1DFA" w:rsidRPr="00DD1DFA">
        <w:rPr>
          <w:noProof/>
        </w:rPr>
        <w:t xml:space="preserve"> z</w:t>
      </w:r>
      <w:r w:rsidR="00DD1DFA">
        <w:rPr>
          <w:noProof/>
        </w:rPr>
        <w:t> </w:t>
      </w:r>
      <w:r w:rsidR="00DD1DFA" w:rsidRPr="00DD1DFA">
        <w:rPr>
          <w:noProof/>
        </w:rPr>
        <w:t>prz</w:t>
      </w:r>
      <w:r w:rsidRPr="00DD1DFA">
        <w:rPr>
          <w:noProof/>
        </w:rPr>
        <w:t>episami obowiązującymi</w:t>
      </w:r>
      <w:r w:rsidR="00DD1DFA" w:rsidRPr="00DD1DFA">
        <w:rPr>
          <w:noProof/>
        </w:rPr>
        <w:t xml:space="preserve"> w</w:t>
      </w:r>
      <w:r w:rsidR="00DD1DFA">
        <w:rPr>
          <w:noProof/>
        </w:rPr>
        <w:t> </w:t>
      </w:r>
      <w:r w:rsidR="00DD1DFA" w:rsidRPr="00DD1DFA">
        <w:rPr>
          <w:noProof/>
        </w:rPr>
        <w:t>tej</w:t>
      </w:r>
      <w:r w:rsidRPr="00DD1DFA">
        <w:rPr>
          <w:noProof/>
        </w:rPr>
        <w:t xml:space="preserve"> dziedzinie polityki</w:t>
      </w:r>
    </w:p>
    <w:p w14:paraId="18AF8F29" w14:textId="764DF7EA" w:rsidR="004E75DC" w:rsidRPr="00DD1DFA" w:rsidRDefault="004E75DC" w:rsidP="004E75DC">
      <w:pPr>
        <w:rPr>
          <w:noProof/>
        </w:rPr>
      </w:pPr>
      <w:r w:rsidRPr="00DD1DFA">
        <w:rPr>
          <w:noProof/>
        </w:rPr>
        <w:t>Inicjatywa ta jest zgodna</w:t>
      </w:r>
      <w:r w:rsidR="00DD1DFA" w:rsidRPr="00DD1DFA">
        <w:rPr>
          <w:noProof/>
        </w:rPr>
        <w:t xml:space="preserve"> z</w:t>
      </w:r>
      <w:r w:rsidR="00DD1DFA">
        <w:rPr>
          <w:noProof/>
        </w:rPr>
        <w:t> </w:t>
      </w:r>
      <w:r w:rsidR="00DD1DFA" w:rsidRPr="00DD1DFA">
        <w:rPr>
          <w:noProof/>
        </w:rPr>
        <w:t>zas</w:t>
      </w:r>
      <w:r w:rsidRPr="00DD1DFA">
        <w:rPr>
          <w:noProof/>
        </w:rPr>
        <w:t>adą „nie czyń poważnych szkód”, ponieważ przyczynia się do realizacji celów transformacji ekologicznej</w:t>
      </w:r>
      <w:r w:rsidR="00DD1DFA" w:rsidRPr="00DD1DFA">
        <w:rPr>
          <w:noProof/>
        </w:rPr>
        <w:t xml:space="preserve"> w</w:t>
      </w:r>
      <w:r w:rsidR="00DD1DFA">
        <w:rPr>
          <w:noProof/>
        </w:rPr>
        <w:t> </w:t>
      </w:r>
      <w:r w:rsidR="00DD1DFA" w:rsidRPr="00DD1DFA">
        <w:rPr>
          <w:noProof/>
        </w:rPr>
        <w:t>ram</w:t>
      </w:r>
      <w:r w:rsidRPr="00DD1DFA">
        <w:rPr>
          <w:noProof/>
        </w:rPr>
        <w:t>ach Europejskiego Zielonego Ładu (w szczególności fali renowacji) oraz Planu działania dotyczącego gospodarki</w:t>
      </w:r>
      <w:r w:rsidR="00DD1DFA" w:rsidRPr="00DD1DFA">
        <w:rPr>
          <w:noProof/>
        </w:rPr>
        <w:t xml:space="preserve"> o</w:t>
      </w:r>
      <w:r w:rsidR="00DD1DFA">
        <w:rPr>
          <w:noProof/>
        </w:rPr>
        <w:t> </w:t>
      </w:r>
      <w:r w:rsidR="00DD1DFA" w:rsidRPr="00DD1DFA">
        <w:rPr>
          <w:noProof/>
        </w:rPr>
        <w:t>obi</w:t>
      </w:r>
      <w:r w:rsidRPr="00DD1DFA">
        <w:rPr>
          <w:noProof/>
        </w:rPr>
        <w:t>egu zamkniętym. Promuje bardziej ekologiczną produkcję, ponowne użycie, regenerację</w:t>
      </w:r>
      <w:r w:rsidR="00DD1DFA" w:rsidRPr="00DD1DFA">
        <w:rPr>
          <w:noProof/>
        </w:rPr>
        <w:t xml:space="preserve"> i</w:t>
      </w:r>
      <w:r w:rsidR="00DD1DFA">
        <w:rPr>
          <w:noProof/>
        </w:rPr>
        <w:t> </w:t>
      </w:r>
      <w:r w:rsidR="00DD1DFA" w:rsidRPr="00DD1DFA">
        <w:rPr>
          <w:noProof/>
        </w:rPr>
        <w:t>rec</w:t>
      </w:r>
      <w:r w:rsidRPr="00DD1DFA">
        <w:rPr>
          <w:noProof/>
        </w:rPr>
        <w:t>ykling wyrobów budowlanych. Inicjatywa zapewnia przystosowanie się do zmiany klimatu. Stanowi ona wsparcie dla rewizji dyrektywy</w:t>
      </w:r>
      <w:r w:rsidR="00DD1DFA" w:rsidRPr="00DD1DFA">
        <w:rPr>
          <w:noProof/>
        </w:rPr>
        <w:t xml:space="preserve"> w</w:t>
      </w:r>
      <w:r w:rsidR="00DD1DFA">
        <w:rPr>
          <w:noProof/>
        </w:rPr>
        <w:t> </w:t>
      </w:r>
      <w:r w:rsidR="00DD1DFA" w:rsidRPr="00DD1DFA">
        <w:rPr>
          <w:noProof/>
        </w:rPr>
        <w:t>spr</w:t>
      </w:r>
      <w:r w:rsidRPr="00DD1DFA">
        <w:rPr>
          <w:noProof/>
        </w:rPr>
        <w:t>awie charakterystyki energetycznej budynków dzięki dostarczaniu informacji na temat efektywności środowiskowej wyrobów budowlanych, co ułatwia obliczanie charakterystyki energetycznej budynków, ich współczynnika globalnego ocieplenia oraz możliwości pochłaniania dwutlenku węgla związanego ze składowaniem dwutlenku węgla.</w:t>
      </w:r>
    </w:p>
    <w:p w14:paraId="2213C467" w14:textId="5CCE696A" w:rsidR="004E75DC" w:rsidRPr="00DD1DFA" w:rsidRDefault="004E75DC" w:rsidP="004E75DC">
      <w:pPr>
        <w:rPr>
          <w:noProof/>
        </w:rPr>
      </w:pPr>
      <w:r w:rsidRPr="00DD1DFA">
        <w:rPr>
          <w:noProof/>
        </w:rPr>
        <w:t>W Planie działania dotyczącym gospodarki</w:t>
      </w:r>
      <w:r w:rsidR="00DD1DFA" w:rsidRPr="00DD1DFA">
        <w:rPr>
          <w:noProof/>
        </w:rPr>
        <w:t xml:space="preserve"> o</w:t>
      </w:r>
      <w:r w:rsidR="00DD1DFA">
        <w:rPr>
          <w:noProof/>
        </w:rPr>
        <w:t> </w:t>
      </w:r>
      <w:r w:rsidR="00DD1DFA" w:rsidRPr="00DD1DFA">
        <w:rPr>
          <w:noProof/>
        </w:rPr>
        <w:t>obi</w:t>
      </w:r>
      <w:r w:rsidRPr="00DD1DFA">
        <w:rPr>
          <w:noProof/>
        </w:rPr>
        <w:t>egu zamkniętym ogłoszono inicjatywę dotyczącą zrównoważonych produktów, której celem jest dostosowanie produktów do gospodarki neutralnej dla klimatu, zasobooszczędnej</w:t>
      </w:r>
      <w:r w:rsidR="00DD1DFA" w:rsidRPr="00DD1DFA">
        <w:rPr>
          <w:noProof/>
        </w:rPr>
        <w:t xml:space="preserve"> i</w:t>
      </w:r>
      <w:r w:rsidR="00DD1DFA">
        <w:rPr>
          <w:noProof/>
        </w:rPr>
        <w:t> </w:t>
      </w:r>
      <w:r w:rsidR="00DD1DFA" w:rsidRPr="00DD1DFA">
        <w:rPr>
          <w:noProof/>
        </w:rPr>
        <w:t>o</w:t>
      </w:r>
      <w:r w:rsidR="00DD1DFA">
        <w:rPr>
          <w:noProof/>
        </w:rPr>
        <w:t> </w:t>
      </w:r>
      <w:r w:rsidR="00DD1DFA" w:rsidRPr="00DD1DFA">
        <w:rPr>
          <w:noProof/>
        </w:rPr>
        <w:t>obi</w:t>
      </w:r>
      <w:r w:rsidRPr="00DD1DFA">
        <w:rPr>
          <w:noProof/>
        </w:rPr>
        <w:t>egu zamkniętym,</w:t>
      </w:r>
      <w:r w:rsidR="00DD1DFA" w:rsidRPr="00DD1DFA">
        <w:rPr>
          <w:noProof/>
        </w:rPr>
        <w:t xml:space="preserve"> w</w:t>
      </w:r>
      <w:r w:rsidR="00DD1DFA">
        <w:rPr>
          <w:noProof/>
        </w:rPr>
        <w:t> </w:t>
      </w:r>
      <w:r w:rsidR="00DD1DFA" w:rsidRPr="00DD1DFA">
        <w:rPr>
          <w:noProof/>
        </w:rPr>
        <w:t>szc</w:t>
      </w:r>
      <w:r w:rsidRPr="00DD1DFA">
        <w:rPr>
          <w:noProof/>
        </w:rPr>
        <w:t>zególności wraz</w:t>
      </w:r>
      <w:r w:rsidR="00DD1DFA" w:rsidRPr="00DD1DFA">
        <w:rPr>
          <w:noProof/>
        </w:rPr>
        <w:t xml:space="preserve"> z</w:t>
      </w:r>
      <w:r w:rsidR="00DD1DFA">
        <w:rPr>
          <w:noProof/>
        </w:rPr>
        <w:t> </w:t>
      </w:r>
      <w:r w:rsidR="00DD1DFA" w:rsidRPr="00DD1DFA">
        <w:rPr>
          <w:noProof/>
        </w:rPr>
        <w:t>prz</w:t>
      </w:r>
      <w:r w:rsidRPr="00DD1DFA">
        <w:rPr>
          <w:noProof/>
        </w:rPr>
        <w:t>yjęciem rozporządzenia</w:t>
      </w:r>
      <w:r w:rsidR="00DD1DFA" w:rsidRPr="00DD1DFA">
        <w:rPr>
          <w:noProof/>
        </w:rPr>
        <w:t xml:space="preserve"> w</w:t>
      </w:r>
      <w:r w:rsidR="00DD1DFA">
        <w:rPr>
          <w:noProof/>
        </w:rPr>
        <w:t> </w:t>
      </w:r>
      <w:r w:rsidR="00DD1DFA" w:rsidRPr="00DD1DFA">
        <w:rPr>
          <w:noProof/>
        </w:rPr>
        <w:t>spr</w:t>
      </w:r>
      <w:r w:rsidRPr="00DD1DFA">
        <w:rPr>
          <w:noProof/>
        </w:rPr>
        <w:t>awie ekoprojektu dla zrównoważonych produktów</w:t>
      </w:r>
      <w:r w:rsidR="00DD1DFA" w:rsidRPr="00DD1DFA">
        <w:rPr>
          <w:noProof/>
        </w:rPr>
        <w:t>. W</w:t>
      </w:r>
      <w:r w:rsidR="00DD1DFA">
        <w:rPr>
          <w:noProof/>
        </w:rPr>
        <w:t> </w:t>
      </w:r>
      <w:r w:rsidR="00DD1DFA" w:rsidRPr="00DD1DFA">
        <w:rPr>
          <w:noProof/>
        </w:rPr>
        <w:t>prz</w:t>
      </w:r>
      <w:r w:rsidRPr="00DD1DFA">
        <w:rPr>
          <w:noProof/>
        </w:rPr>
        <w:t>ypadku gdy przepisy UE dotyczące określonych wyrobów, takie jak niniejszy wniosek, regulują aspekty zrównoważoności środowiskowej</w:t>
      </w:r>
      <w:r w:rsidR="00DD1DFA" w:rsidRPr="00DD1DFA">
        <w:rPr>
          <w:noProof/>
        </w:rPr>
        <w:t xml:space="preserve"> i</w:t>
      </w:r>
      <w:r w:rsidR="00DD1DFA">
        <w:rPr>
          <w:noProof/>
        </w:rPr>
        <w:t> </w:t>
      </w:r>
      <w:r w:rsidR="00DD1DFA" w:rsidRPr="00DD1DFA">
        <w:rPr>
          <w:noProof/>
        </w:rPr>
        <w:t>kli</w:t>
      </w:r>
      <w:r w:rsidRPr="00DD1DFA">
        <w:rPr>
          <w:noProof/>
        </w:rPr>
        <w:t>matycznej wyrobów, dalszy rozwój polityki</w:t>
      </w:r>
      <w:r w:rsidR="00DD1DFA" w:rsidRPr="00DD1DFA">
        <w:rPr>
          <w:noProof/>
        </w:rPr>
        <w:t xml:space="preserve"> i</w:t>
      </w:r>
      <w:r w:rsidR="00DD1DFA">
        <w:rPr>
          <w:noProof/>
        </w:rPr>
        <w:t> </w:t>
      </w:r>
      <w:r w:rsidR="00DD1DFA" w:rsidRPr="00DD1DFA">
        <w:rPr>
          <w:noProof/>
        </w:rPr>
        <w:t>pra</w:t>
      </w:r>
      <w:r w:rsidRPr="00DD1DFA">
        <w:rPr>
          <w:noProof/>
        </w:rPr>
        <w:t>wodawstwa powinien pozostać</w:t>
      </w:r>
      <w:r w:rsidR="00DD1DFA" w:rsidRPr="00DD1DFA">
        <w:rPr>
          <w:noProof/>
        </w:rPr>
        <w:t xml:space="preserve"> w</w:t>
      </w:r>
      <w:r w:rsidR="00DD1DFA">
        <w:rPr>
          <w:noProof/>
        </w:rPr>
        <w:t> </w:t>
      </w:r>
      <w:r w:rsidR="00DD1DFA" w:rsidRPr="00DD1DFA">
        <w:rPr>
          <w:noProof/>
        </w:rPr>
        <w:t>ram</w:t>
      </w:r>
      <w:r w:rsidRPr="00DD1DFA">
        <w:rPr>
          <w:noProof/>
        </w:rPr>
        <w:t>ach specjalnego instrumentu</w:t>
      </w:r>
      <w:r w:rsidR="00DD1DFA" w:rsidRPr="00DD1DFA">
        <w:rPr>
          <w:noProof/>
        </w:rPr>
        <w:t xml:space="preserve"> o</w:t>
      </w:r>
      <w:r w:rsidR="00DD1DFA">
        <w:rPr>
          <w:noProof/>
        </w:rPr>
        <w:t> </w:t>
      </w:r>
      <w:r w:rsidR="00DD1DFA" w:rsidRPr="00DD1DFA">
        <w:rPr>
          <w:noProof/>
        </w:rPr>
        <w:t>tak</w:t>
      </w:r>
      <w:r w:rsidRPr="00DD1DFA">
        <w:rPr>
          <w:noProof/>
        </w:rPr>
        <w:t>im samym poziomie restrykcyjności jak rozporządzenie</w:t>
      </w:r>
      <w:r w:rsidR="00DD1DFA" w:rsidRPr="00DD1DFA">
        <w:rPr>
          <w:noProof/>
        </w:rPr>
        <w:t xml:space="preserve"> w</w:t>
      </w:r>
      <w:r w:rsidR="00DD1DFA">
        <w:rPr>
          <w:noProof/>
        </w:rPr>
        <w:t> </w:t>
      </w:r>
      <w:r w:rsidR="00DD1DFA" w:rsidRPr="00DD1DFA">
        <w:rPr>
          <w:noProof/>
        </w:rPr>
        <w:t>spr</w:t>
      </w:r>
      <w:r w:rsidRPr="00DD1DFA">
        <w:rPr>
          <w:noProof/>
        </w:rPr>
        <w:t>awie ekoprojektu dla zrównoważonych produktów. Przyczynia się to do większej spójności przepisów UE dotyczących określonych wyrobów</w:t>
      </w:r>
      <w:r w:rsidR="00DD1DFA" w:rsidRPr="00DD1DFA">
        <w:rPr>
          <w:noProof/>
        </w:rPr>
        <w:t xml:space="preserve"> i</w:t>
      </w:r>
      <w:r w:rsidR="00DD1DFA">
        <w:rPr>
          <w:noProof/>
        </w:rPr>
        <w:t> </w:t>
      </w:r>
      <w:r w:rsidR="00DD1DFA" w:rsidRPr="00DD1DFA">
        <w:rPr>
          <w:noProof/>
        </w:rPr>
        <w:t>poz</w:t>
      </w:r>
      <w:r w:rsidRPr="00DD1DFA">
        <w:rPr>
          <w:noProof/>
        </w:rPr>
        <w:t>wala uniknąć obciążeń administracyjnych dla podmiotów gospodarczych, które</w:t>
      </w:r>
      <w:r w:rsidR="00DD1DFA" w:rsidRPr="00DD1DFA">
        <w:rPr>
          <w:noProof/>
        </w:rPr>
        <w:t xml:space="preserve"> w</w:t>
      </w:r>
      <w:r w:rsidR="00DD1DFA">
        <w:rPr>
          <w:noProof/>
        </w:rPr>
        <w:t> </w:t>
      </w:r>
      <w:r w:rsidR="00DD1DFA" w:rsidRPr="00DD1DFA">
        <w:rPr>
          <w:noProof/>
        </w:rPr>
        <w:t>prz</w:t>
      </w:r>
      <w:r w:rsidRPr="00DD1DFA">
        <w:rPr>
          <w:noProof/>
        </w:rPr>
        <w:t>eciwnym razie musiałyby spełniać wymogi określone</w:t>
      </w:r>
      <w:r w:rsidR="00DD1DFA" w:rsidRPr="00DD1DFA">
        <w:rPr>
          <w:noProof/>
        </w:rPr>
        <w:t xml:space="preserve"> w</w:t>
      </w:r>
      <w:r w:rsidR="00DD1DFA">
        <w:rPr>
          <w:noProof/>
        </w:rPr>
        <w:t> </w:t>
      </w:r>
      <w:r w:rsidR="00DD1DFA" w:rsidRPr="00DD1DFA">
        <w:rPr>
          <w:noProof/>
        </w:rPr>
        <w:t>róż</w:t>
      </w:r>
      <w:r w:rsidRPr="00DD1DFA">
        <w:rPr>
          <w:noProof/>
        </w:rPr>
        <w:t>nych aktach prawnych UE.</w:t>
      </w:r>
    </w:p>
    <w:p w14:paraId="6B627935" w14:textId="0415DA74" w:rsidR="004E75DC" w:rsidRPr="00DD1DFA" w:rsidRDefault="004E75DC" w:rsidP="004E75DC">
      <w:pPr>
        <w:rPr>
          <w:noProof/>
        </w:rPr>
      </w:pPr>
      <w:r w:rsidRPr="00DD1DFA">
        <w:rPr>
          <w:noProof/>
        </w:rPr>
        <w:t>W związku</w:t>
      </w:r>
      <w:r w:rsidR="00DD1DFA" w:rsidRPr="00DD1DFA">
        <w:rPr>
          <w:noProof/>
        </w:rPr>
        <w:t xml:space="preserve"> z</w:t>
      </w:r>
      <w:r w:rsidR="00DD1DFA">
        <w:rPr>
          <w:noProof/>
        </w:rPr>
        <w:t> </w:t>
      </w:r>
      <w:r w:rsidR="00DD1DFA" w:rsidRPr="00DD1DFA">
        <w:rPr>
          <w:noProof/>
        </w:rPr>
        <w:t>tym</w:t>
      </w:r>
      <w:r w:rsidRPr="00DD1DFA">
        <w:rPr>
          <w:noProof/>
        </w:rPr>
        <w:t>, uwzględniając silne powiązania między strukturalnymi właściwościami użytkowymi wyrobów budowlanych</w:t>
      </w:r>
      <w:r w:rsidR="00DD1DFA" w:rsidRPr="00DD1DFA">
        <w:rPr>
          <w:noProof/>
        </w:rPr>
        <w:t xml:space="preserve"> a</w:t>
      </w:r>
      <w:r w:rsidR="00DD1DFA">
        <w:rPr>
          <w:noProof/>
        </w:rPr>
        <w:t> </w:t>
      </w:r>
      <w:r w:rsidR="00DD1DFA" w:rsidRPr="00DD1DFA">
        <w:rPr>
          <w:noProof/>
        </w:rPr>
        <w:t>ich</w:t>
      </w:r>
      <w:r w:rsidRPr="00DD1DFA">
        <w:rPr>
          <w:noProof/>
        </w:rPr>
        <w:t xml:space="preserve"> efektywnością środowiskową, uwzględniając aspekty dotyczące zdrowia</w:t>
      </w:r>
      <w:r w:rsidR="00DD1DFA" w:rsidRPr="00DD1DFA">
        <w:rPr>
          <w:noProof/>
        </w:rPr>
        <w:t xml:space="preserve"> i</w:t>
      </w:r>
      <w:r w:rsidR="00DD1DFA">
        <w:rPr>
          <w:noProof/>
        </w:rPr>
        <w:t> </w:t>
      </w:r>
      <w:r w:rsidR="00DD1DFA" w:rsidRPr="00DD1DFA">
        <w:rPr>
          <w:noProof/>
        </w:rPr>
        <w:t>bez</w:t>
      </w:r>
      <w:r w:rsidRPr="00DD1DFA">
        <w:rPr>
          <w:noProof/>
        </w:rPr>
        <w:t>pieczeństwa,</w:t>
      </w:r>
      <w:r w:rsidR="00DD1DFA" w:rsidRPr="00DD1DFA">
        <w:rPr>
          <w:noProof/>
        </w:rPr>
        <w:t xml:space="preserve"> w</w:t>
      </w:r>
      <w:r w:rsidR="00DD1DFA">
        <w:rPr>
          <w:noProof/>
        </w:rPr>
        <w:t> </w:t>
      </w:r>
      <w:r w:rsidR="00DD1DFA" w:rsidRPr="00DD1DFA">
        <w:rPr>
          <w:noProof/>
        </w:rPr>
        <w:t>nin</w:t>
      </w:r>
      <w:r w:rsidRPr="00DD1DFA">
        <w:rPr>
          <w:noProof/>
        </w:rPr>
        <w:t>iejszym wniosku ustanawia się wymogi</w:t>
      </w:r>
      <w:r w:rsidR="00DD1DFA" w:rsidRPr="00DD1DFA">
        <w:rPr>
          <w:noProof/>
        </w:rPr>
        <w:t xml:space="preserve"> w</w:t>
      </w:r>
      <w:r w:rsidR="00DD1DFA">
        <w:rPr>
          <w:noProof/>
        </w:rPr>
        <w:t> </w:t>
      </w:r>
      <w:r w:rsidR="00DD1DFA" w:rsidRPr="00DD1DFA">
        <w:rPr>
          <w:noProof/>
        </w:rPr>
        <w:t>zak</w:t>
      </w:r>
      <w:r w:rsidRPr="00DD1DFA">
        <w:rPr>
          <w:noProof/>
        </w:rPr>
        <w:t>resie zrównoważonego rozwoju</w:t>
      </w:r>
      <w:r w:rsidR="00DD1DFA" w:rsidRPr="00DD1DFA">
        <w:rPr>
          <w:noProof/>
        </w:rPr>
        <w:t xml:space="preserve"> w</w:t>
      </w:r>
      <w:r w:rsidR="00DD1DFA">
        <w:rPr>
          <w:noProof/>
        </w:rPr>
        <w:t> </w:t>
      </w:r>
      <w:r w:rsidR="00DD1DFA" w:rsidRPr="00DD1DFA">
        <w:rPr>
          <w:noProof/>
        </w:rPr>
        <w:t>odn</w:t>
      </w:r>
      <w:r w:rsidRPr="00DD1DFA">
        <w:rPr>
          <w:noProof/>
        </w:rPr>
        <w:t>iesieniu do wyrobów budowlanych. Szczególne okoliczności mogą jednak uzasadniać ukierunkowaną interwencję</w:t>
      </w:r>
      <w:r w:rsidR="00DD1DFA" w:rsidRPr="00DD1DFA">
        <w:rPr>
          <w:noProof/>
        </w:rPr>
        <w:t xml:space="preserve"> w</w:t>
      </w:r>
      <w:r w:rsidR="00DD1DFA">
        <w:rPr>
          <w:noProof/>
        </w:rPr>
        <w:t> </w:t>
      </w:r>
      <w:r w:rsidR="00DD1DFA" w:rsidRPr="00DD1DFA">
        <w:rPr>
          <w:noProof/>
        </w:rPr>
        <w:t>zak</w:t>
      </w:r>
      <w:r w:rsidRPr="00DD1DFA">
        <w:rPr>
          <w:noProof/>
        </w:rPr>
        <w:t>resie wyrobów budowlanych</w:t>
      </w:r>
      <w:r w:rsidR="00DD1DFA" w:rsidRPr="00DD1DFA">
        <w:rPr>
          <w:noProof/>
        </w:rPr>
        <w:t xml:space="preserve"> w</w:t>
      </w:r>
      <w:r w:rsidR="00DD1DFA">
        <w:rPr>
          <w:noProof/>
        </w:rPr>
        <w:t> </w:t>
      </w:r>
      <w:r w:rsidR="00DD1DFA" w:rsidRPr="00DD1DFA">
        <w:rPr>
          <w:noProof/>
        </w:rPr>
        <w:t>ram</w:t>
      </w:r>
      <w:r w:rsidRPr="00DD1DFA">
        <w:rPr>
          <w:noProof/>
        </w:rPr>
        <w:t>ach rozporządzenia</w:t>
      </w:r>
      <w:r w:rsidR="00DD1DFA" w:rsidRPr="00DD1DFA">
        <w:rPr>
          <w:noProof/>
        </w:rPr>
        <w:t xml:space="preserve"> w</w:t>
      </w:r>
      <w:r w:rsidR="00DD1DFA">
        <w:rPr>
          <w:noProof/>
        </w:rPr>
        <w:t> </w:t>
      </w:r>
      <w:r w:rsidR="00DD1DFA" w:rsidRPr="00DD1DFA">
        <w:rPr>
          <w:noProof/>
        </w:rPr>
        <w:t>spr</w:t>
      </w:r>
      <w:r w:rsidRPr="00DD1DFA">
        <w:rPr>
          <w:noProof/>
        </w:rPr>
        <w:t>awie ekoprojektu dla zrównoważonych produktów. Będzie to miało miejsce na przykład</w:t>
      </w:r>
      <w:r w:rsidR="00DD1DFA" w:rsidRPr="00DD1DFA">
        <w:rPr>
          <w:noProof/>
        </w:rPr>
        <w:t xml:space="preserve"> w</w:t>
      </w:r>
      <w:r w:rsidR="00DD1DFA">
        <w:rPr>
          <w:noProof/>
        </w:rPr>
        <w:t> </w:t>
      </w:r>
      <w:r w:rsidR="00DD1DFA" w:rsidRPr="00DD1DFA">
        <w:rPr>
          <w:noProof/>
        </w:rPr>
        <w:t>prz</w:t>
      </w:r>
      <w:r w:rsidRPr="00DD1DFA">
        <w:rPr>
          <w:noProof/>
        </w:rPr>
        <w:t>ypadku wyrobów budowlanych związanych</w:t>
      </w:r>
      <w:r w:rsidR="00DD1DFA" w:rsidRPr="00DD1DFA">
        <w:rPr>
          <w:noProof/>
        </w:rPr>
        <w:t xml:space="preserve"> z</w:t>
      </w:r>
      <w:r w:rsidR="00DD1DFA">
        <w:rPr>
          <w:noProof/>
        </w:rPr>
        <w:t> </w:t>
      </w:r>
      <w:r w:rsidR="00DD1DFA" w:rsidRPr="00DD1DFA">
        <w:rPr>
          <w:noProof/>
        </w:rPr>
        <w:t>ene</w:t>
      </w:r>
      <w:r w:rsidRPr="00DD1DFA">
        <w:rPr>
          <w:noProof/>
        </w:rPr>
        <w:t>rgią, które są już regulowane na mocy obowiązującej dyrektywy</w:t>
      </w:r>
      <w:r w:rsidR="00DD1DFA" w:rsidRPr="00DD1DFA">
        <w:rPr>
          <w:noProof/>
        </w:rPr>
        <w:t xml:space="preserve"> w</w:t>
      </w:r>
      <w:r w:rsidR="00DD1DFA">
        <w:rPr>
          <w:noProof/>
        </w:rPr>
        <w:t> </w:t>
      </w:r>
      <w:r w:rsidR="00DD1DFA" w:rsidRPr="00DD1DFA">
        <w:rPr>
          <w:noProof/>
        </w:rPr>
        <w:t>spr</w:t>
      </w:r>
      <w:r w:rsidRPr="00DD1DFA">
        <w:rPr>
          <w:noProof/>
        </w:rPr>
        <w:t>awie ekoprojektu, takich jak piece na paliwo stałe.</w:t>
      </w:r>
    </w:p>
    <w:p w14:paraId="3BD0E5A2" w14:textId="72D9A107" w:rsidR="004E75DC" w:rsidRPr="00DD1DFA" w:rsidRDefault="004E75DC" w:rsidP="004E75DC">
      <w:pPr>
        <w:spacing w:before="0" w:after="240"/>
        <w:rPr>
          <w:rFonts w:eastAsia="Times New Roman"/>
          <w:noProof/>
        </w:rPr>
      </w:pPr>
      <w:r w:rsidRPr="00DD1DFA">
        <w:rPr>
          <w:noProof/>
        </w:rPr>
        <w:t>W komunikacie „Nowa strategia przemysłowa dla Europy”</w:t>
      </w:r>
      <w:r w:rsidRPr="00DD1DFA">
        <w:rPr>
          <w:rStyle w:val="Odwoanieprzypisudolnego"/>
          <w:rFonts w:eastAsia="Times New Roman"/>
          <w:noProof/>
        </w:rPr>
        <w:footnoteReference w:id="18"/>
      </w:r>
      <w:r w:rsidR="00DD1DFA" w:rsidRPr="00DD1DFA">
        <w:rPr>
          <w:noProof/>
        </w:rPr>
        <w:t xml:space="preserve"> z</w:t>
      </w:r>
      <w:r w:rsidR="00DD1DFA">
        <w:rPr>
          <w:noProof/>
        </w:rPr>
        <w:t> </w:t>
      </w:r>
      <w:r w:rsidR="00DD1DFA" w:rsidRPr="00DD1DFA">
        <w:rPr>
          <w:noProof/>
        </w:rPr>
        <w:t>mar</w:t>
      </w:r>
      <w:r w:rsidRPr="00DD1DFA">
        <w:rPr>
          <w:noProof/>
        </w:rPr>
        <w:t>ca 2020</w:t>
      </w:r>
      <w:r w:rsidR="00DD1DFA" w:rsidRPr="00DD1DFA">
        <w:rPr>
          <w:noProof/>
        </w:rPr>
        <w:t> </w:t>
      </w:r>
      <w:r w:rsidRPr="00DD1DFA">
        <w:rPr>
          <w:noProof/>
        </w:rPr>
        <w:t>r. przedstawiono plan, zgodnie</w:t>
      </w:r>
      <w:r w:rsidR="00DD1DFA" w:rsidRPr="00DD1DFA">
        <w:rPr>
          <w:noProof/>
        </w:rPr>
        <w:t xml:space="preserve"> z</w:t>
      </w:r>
      <w:r w:rsidR="00DD1DFA">
        <w:rPr>
          <w:noProof/>
        </w:rPr>
        <w:t> </w:t>
      </w:r>
      <w:r w:rsidR="00DD1DFA" w:rsidRPr="00DD1DFA">
        <w:rPr>
          <w:noProof/>
        </w:rPr>
        <w:t>któ</w:t>
      </w:r>
      <w:r w:rsidRPr="00DD1DFA">
        <w:rPr>
          <w:noProof/>
        </w:rPr>
        <w:t>rym przemysł UE ma stać się liderem</w:t>
      </w:r>
      <w:r w:rsidR="00DD1DFA" w:rsidRPr="00DD1DFA">
        <w:rPr>
          <w:noProof/>
        </w:rPr>
        <w:t xml:space="preserve"> w</w:t>
      </w:r>
      <w:r w:rsidR="00DD1DFA">
        <w:rPr>
          <w:noProof/>
        </w:rPr>
        <w:t> </w:t>
      </w:r>
      <w:r w:rsidR="00DD1DFA" w:rsidRPr="00DD1DFA">
        <w:rPr>
          <w:noProof/>
        </w:rPr>
        <w:t>dwo</w:t>
      </w:r>
      <w:r w:rsidRPr="00DD1DFA">
        <w:rPr>
          <w:noProof/>
        </w:rPr>
        <w:t>jakiej transformacji – ekologicznej</w:t>
      </w:r>
      <w:r w:rsidR="00DD1DFA" w:rsidRPr="00DD1DFA">
        <w:rPr>
          <w:noProof/>
        </w:rPr>
        <w:t xml:space="preserve"> i</w:t>
      </w:r>
      <w:r w:rsidR="00DD1DFA">
        <w:rPr>
          <w:noProof/>
        </w:rPr>
        <w:t> </w:t>
      </w:r>
      <w:r w:rsidR="00DD1DFA" w:rsidRPr="00DD1DFA">
        <w:rPr>
          <w:noProof/>
        </w:rPr>
        <w:t>cyf</w:t>
      </w:r>
      <w:r w:rsidRPr="00DD1DFA">
        <w:rPr>
          <w:noProof/>
        </w:rPr>
        <w:t>rowej, wykorzystując potencjał swoich tradycji, przedsiębiorstw</w:t>
      </w:r>
      <w:r w:rsidR="00DD1DFA" w:rsidRPr="00DD1DFA">
        <w:rPr>
          <w:noProof/>
        </w:rPr>
        <w:t xml:space="preserve"> i</w:t>
      </w:r>
      <w:r w:rsidR="00DD1DFA">
        <w:rPr>
          <w:noProof/>
        </w:rPr>
        <w:t> </w:t>
      </w:r>
      <w:r w:rsidR="00DD1DFA" w:rsidRPr="00DD1DFA">
        <w:rPr>
          <w:noProof/>
        </w:rPr>
        <w:t>lud</w:t>
      </w:r>
      <w:r w:rsidRPr="00DD1DFA">
        <w:rPr>
          <w:noProof/>
        </w:rPr>
        <w:t>zi</w:t>
      </w:r>
      <w:r w:rsidR="00DD1DFA" w:rsidRPr="00DD1DFA">
        <w:rPr>
          <w:noProof/>
        </w:rPr>
        <w:t xml:space="preserve"> w</w:t>
      </w:r>
      <w:r w:rsidR="00DD1DFA">
        <w:rPr>
          <w:noProof/>
        </w:rPr>
        <w:t> </w:t>
      </w:r>
      <w:r w:rsidR="00DD1DFA" w:rsidRPr="00DD1DFA">
        <w:rPr>
          <w:noProof/>
        </w:rPr>
        <w:t>cel</w:t>
      </w:r>
      <w:r w:rsidRPr="00DD1DFA">
        <w:rPr>
          <w:noProof/>
        </w:rPr>
        <w:t>u zwiększenia konkurencyjności. Aby zrealizować te cele, opracowano podejście oparte na ekosystemie przemysłowym, które pozwoli lepiej połączyć potrzeby</w:t>
      </w:r>
      <w:r w:rsidR="00DD1DFA" w:rsidRPr="00DD1DFA">
        <w:rPr>
          <w:noProof/>
        </w:rPr>
        <w:t xml:space="preserve"> i</w:t>
      </w:r>
      <w:r w:rsidR="00DD1DFA">
        <w:rPr>
          <w:noProof/>
        </w:rPr>
        <w:t> </w:t>
      </w:r>
      <w:r w:rsidR="00DD1DFA" w:rsidRPr="00DD1DFA">
        <w:rPr>
          <w:noProof/>
        </w:rPr>
        <w:t>wes</w:t>
      </w:r>
      <w:r w:rsidRPr="00DD1DFA">
        <w:rPr>
          <w:noProof/>
        </w:rPr>
        <w:t>przeć kluczowych uczestników każdego łańcucha wartości</w:t>
      </w:r>
      <w:r w:rsidR="00DD1DFA" w:rsidRPr="00DD1DFA">
        <w:rPr>
          <w:noProof/>
        </w:rPr>
        <w:t>. W</w:t>
      </w:r>
      <w:r w:rsidR="00DD1DFA">
        <w:rPr>
          <w:noProof/>
        </w:rPr>
        <w:t> </w:t>
      </w:r>
      <w:r w:rsidR="00DD1DFA" w:rsidRPr="00DD1DFA">
        <w:rPr>
          <w:noProof/>
        </w:rPr>
        <w:t>kom</w:t>
      </w:r>
      <w:r w:rsidRPr="00DD1DFA">
        <w:rPr>
          <w:noProof/>
        </w:rPr>
        <w:t>unikacie aktualizującym nową strategię przemysłową</w:t>
      </w:r>
      <w:r w:rsidR="00DD1DFA" w:rsidRPr="00DD1DFA">
        <w:rPr>
          <w:noProof/>
        </w:rPr>
        <w:t xml:space="preserve"> z</w:t>
      </w:r>
      <w:r w:rsidR="00DD1DFA">
        <w:rPr>
          <w:noProof/>
        </w:rPr>
        <w:t> </w:t>
      </w:r>
      <w:r w:rsidR="00DD1DFA" w:rsidRPr="00DD1DFA">
        <w:rPr>
          <w:noProof/>
        </w:rPr>
        <w:t>2</w:t>
      </w:r>
      <w:r w:rsidRPr="00DD1DFA">
        <w:rPr>
          <w:noProof/>
        </w:rPr>
        <w:t>020</w:t>
      </w:r>
      <w:r w:rsidR="00DD1DFA" w:rsidRPr="00DD1DFA">
        <w:rPr>
          <w:noProof/>
        </w:rPr>
        <w:t> </w:t>
      </w:r>
      <w:r w:rsidRPr="00DD1DFA">
        <w:rPr>
          <w:noProof/>
        </w:rPr>
        <w:t>r.</w:t>
      </w:r>
      <w:r w:rsidRPr="00DD1DFA">
        <w:rPr>
          <w:rStyle w:val="Odwoanieprzypisudolnego"/>
          <w:rFonts w:eastAsia="Times New Roman"/>
          <w:noProof/>
        </w:rPr>
        <w:footnoteReference w:id="19"/>
      </w:r>
      <w:r w:rsidRPr="00DD1DFA">
        <w:rPr>
          <w:noProof/>
        </w:rPr>
        <w:t xml:space="preserve"> wskazano sektor budowlany jako jeden</w:t>
      </w:r>
      <w:r w:rsidR="00DD1DFA" w:rsidRPr="00DD1DFA">
        <w:rPr>
          <w:noProof/>
        </w:rPr>
        <w:t xml:space="preserve"> z</w:t>
      </w:r>
      <w:r w:rsidR="00DD1DFA">
        <w:rPr>
          <w:noProof/>
        </w:rPr>
        <w:t> </w:t>
      </w:r>
      <w:r w:rsidR="00DD1DFA" w:rsidRPr="00DD1DFA">
        <w:rPr>
          <w:noProof/>
        </w:rPr>
        <w:t>pri</w:t>
      </w:r>
      <w:r w:rsidRPr="00DD1DFA">
        <w:rPr>
          <w:noProof/>
        </w:rPr>
        <w:t>orytetowych ekosystemów, które stoją przed najważniejszymi wyzwaniami związanymi</w:t>
      </w:r>
      <w:r w:rsidR="00DD1DFA" w:rsidRPr="00DD1DFA">
        <w:rPr>
          <w:noProof/>
        </w:rPr>
        <w:t xml:space="preserve"> z</w:t>
      </w:r>
      <w:r w:rsidR="00DD1DFA">
        <w:rPr>
          <w:noProof/>
        </w:rPr>
        <w:t> </w:t>
      </w:r>
      <w:r w:rsidR="00DD1DFA" w:rsidRPr="00DD1DFA">
        <w:rPr>
          <w:noProof/>
        </w:rPr>
        <w:t>rea</w:t>
      </w:r>
      <w:r w:rsidRPr="00DD1DFA">
        <w:rPr>
          <w:noProof/>
        </w:rPr>
        <w:t>lizacją celów klimatycznych</w:t>
      </w:r>
      <w:r w:rsidR="00DD1DFA" w:rsidRPr="00DD1DFA">
        <w:rPr>
          <w:noProof/>
        </w:rPr>
        <w:t xml:space="preserve"> i</w:t>
      </w:r>
      <w:r w:rsidR="00DD1DFA">
        <w:rPr>
          <w:noProof/>
        </w:rPr>
        <w:t> </w:t>
      </w:r>
      <w:r w:rsidR="00DD1DFA" w:rsidRPr="00DD1DFA">
        <w:rPr>
          <w:noProof/>
        </w:rPr>
        <w:t>zró</w:t>
      </w:r>
      <w:r w:rsidRPr="00DD1DFA">
        <w:rPr>
          <w:noProof/>
        </w:rPr>
        <w:t>wnoważonego rozwoju oraz</w:t>
      </w:r>
      <w:r w:rsidR="00DD1DFA" w:rsidRPr="00DD1DFA">
        <w:rPr>
          <w:noProof/>
        </w:rPr>
        <w:t xml:space="preserve"> z</w:t>
      </w:r>
      <w:r w:rsidR="00DD1DFA">
        <w:rPr>
          <w:noProof/>
        </w:rPr>
        <w:t> </w:t>
      </w:r>
      <w:r w:rsidR="00DD1DFA" w:rsidRPr="00DD1DFA">
        <w:rPr>
          <w:noProof/>
        </w:rPr>
        <w:t>tra</w:t>
      </w:r>
      <w:r w:rsidRPr="00DD1DFA">
        <w:rPr>
          <w:noProof/>
        </w:rPr>
        <w:t>nsformacją cyfrową,</w:t>
      </w:r>
      <w:r w:rsidR="00DD1DFA" w:rsidRPr="00DD1DFA">
        <w:rPr>
          <w:noProof/>
        </w:rPr>
        <w:t xml:space="preserve"> i</w:t>
      </w:r>
      <w:r w:rsidR="00DD1DFA">
        <w:rPr>
          <w:noProof/>
        </w:rPr>
        <w:t> </w:t>
      </w:r>
      <w:r w:rsidR="00DD1DFA" w:rsidRPr="00DD1DFA">
        <w:rPr>
          <w:noProof/>
        </w:rPr>
        <w:t>któ</w:t>
      </w:r>
      <w:r w:rsidRPr="00DD1DFA">
        <w:rPr>
          <w:noProof/>
        </w:rPr>
        <w:t>rych konkurencyjność od tego zależy</w:t>
      </w:r>
      <w:r w:rsidR="00DD1DFA" w:rsidRPr="00DD1DFA">
        <w:rPr>
          <w:noProof/>
        </w:rPr>
        <w:t>. W</w:t>
      </w:r>
      <w:r w:rsidR="00DD1DFA">
        <w:rPr>
          <w:noProof/>
        </w:rPr>
        <w:t> </w:t>
      </w:r>
      <w:r w:rsidR="00DD1DFA" w:rsidRPr="00DD1DFA">
        <w:rPr>
          <w:noProof/>
        </w:rPr>
        <w:t>ram</w:t>
      </w:r>
      <w:r w:rsidRPr="00DD1DFA">
        <w:rPr>
          <w:noProof/>
        </w:rPr>
        <w:t>ach zaktualizowanej strategii przemysłowej Komisja opracowuje ścieżkę przejściową dla ekosystemu sektora budowlanego</w:t>
      </w:r>
      <w:r w:rsidR="00DD1DFA" w:rsidRPr="00DD1DFA">
        <w:rPr>
          <w:noProof/>
        </w:rPr>
        <w:t xml:space="preserve"> w</w:t>
      </w:r>
      <w:r w:rsidR="00DD1DFA">
        <w:rPr>
          <w:noProof/>
        </w:rPr>
        <w:t> </w:t>
      </w:r>
      <w:r w:rsidR="00DD1DFA" w:rsidRPr="00DD1DFA">
        <w:rPr>
          <w:noProof/>
        </w:rPr>
        <w:t>ram</w:t>
      </w:r>
      <w:r w:rsidRPr="00DD1DFA">
        <w:rPr>
          <w:noProof/>
        </w:rPr>
        <w:t>ach procesu współtworzenia</w:t>
      </w:r>
      <w:r w:rsidR="00DD1DFA" w:rsidRPr="00DD1DFA">
        <w:rPr>
          <w:noProof/>
        </w:rPr>
        <w:t xml:space="preserve"> z</w:t>
      </w:r>
      <w:r w:rsidR="00DD1DFA">
        <w:rPr>
          <w:noProof/>
        </w:rPr>
        <w:t> </w:t>
      </w:r>
      <w:r w:rsidR="00DD1DFA" w:rsidRPr="00DD1DFA">
        <w:rPr>
          <w:noProof/>
        </w:rPr>
        <w:t>udz</w:t>
      </w:r>
      <w:r w:rsidRPr="00DD1DFA">
        <w:rPr>
          <w:noProof/>
        </w:rPr>
        <w:t>iałem samego sektora, zainteresowanych stron</w:t>
      </w:r>
      <w:r w:rsidR="00DD1DFA" w:rsidRPr="00DD1DFA">
        <w:rPr>
          <w:noProof/>
        </w:rPr>
        <w:t xml:space="preserve"> i</w:t>
      </w:r>
      <w:r w:rsidR="00DD1DFA">
        <w:rPr>
          <w:noProof/>
        </w:rPr>
        <w:t> </w:t>
      </w:r>
      <w:r w:rsidR="00DD1DFA" w:rsidRPr="00DD1DFA">
        <w:rPr>
          <w:noProof/>
        </w:rPr>
        <w:t>pań</w:t>
      </w:r>
      <w:r w:rsidRPr="00DD1DFA">
        <w:rPr>
          <w:noProof/>
        </w:rPr>
        <w:t>stw członkowskich</w:t>
      </w:r>
      <w:r w:rsidR="00DD1DFA" w:rsidRPr="00DD1DFA">
        <w:rPr>
          <w:noProof/>
        </w:rPr>
        <w:t>. W</w:t>
      </w:r>
      <w:r w:rsidR="00DD1DFA">
        <w:rPr>
          <w:noProof/>
        </w:rPr>
        <w:t> </w:t>
      </w:r>
      <w:r w:rsidR="00DD1DFA" w:rsidRPr="00DD1DFA">
        <w:rPr>
          <w:noProof/>
        </w:rPr>
        <w:t>ram</w:t>
      </w:r>
      <w:r w:rsidRPr="00DD1DFA">
        <w:rPr>
          <w:noProof/>
        </w:rPr>
        <w:t>ach tych prac Komisja opublikowała 15 grudnia 2021</w:t>
      </w:r>
      <w:r w:rsidR="00DD1DFA" w:rsidRPr="00DD1DFA">
        <w:rPr>
          <w:noProof/>
        </w:rPr>
        <w:t> </w:t>
      </w:r>
      <w:r w:rsidRPr="00DD1DFA">
        <w:rPr>
          <w:noProof/>
        </w:rPr>
        <w:t>r. dokument roboczy służb Komisji</w:t>
      </w:r>
      <w:r w:rsidRPr="00DD1DFA">
        <w:rPr>
          <w:rStyle w:val="Odwoanieprzypisudolnego"/>
          <w:rFonts w:eastAsia="Times New Roman"/>
          <w:noProof/>
        </w:rPr>
        <w:footnoteReference w:id="20"/>
      </w:r>
      <w:r w:rsidRPr="00DD1DFA">
        <w:rPr>
          <w:noProof/>
        </w:rPr>
        <w:t>,</w:t>
      </w:r>
      <w:r w:rsidR="00DD1DFA" w:rsidRPr="00DD1DFA">
        <w:rPr>
          <w:noProof/>
        </w:rPr>
        <w:t xml:space="preserve"> w</w:t>
      </w:r>
      <w:r w:rsidR="00DD1DFA">
        <w:rPr>
          <w:noProof/>
        </w:rPr>
        <w:t> </w:t>
      </w:r>
      <w:r w:rsidR="00DD1DFA" w:rsidRPr="00DD1DFA">
        <w:rPr>
          <w:noProof/>
        </w:rPr>
        <w:t>któ</w:t>
      </w:r>
      <w:r w:rsidRPr="00DD1DFA">
        <w:rPr>
          <w:noProof/>
        </w:rPr>
        <w:t>rym zaproponowano scenariusze, dzięki którym budownictwo stanie się bardziej ekologiczne, cyfrowe</w:t>
      </w:r>
      <w:r w:rsidR="00DD1DFA" w:rsidRPr="00DD1DFA">
        <w:rPr>
          <w:noProof/>
        </w:rPr>
        <w:t xml:space="preserve"> i</w:t>
      </w:r>
      <w:r w:rsidR="00DD1DFA">
        <w:rPr>
          <w:noProof/>
        </w:rPr>
        <w:t> </w:t>
      </w:r>
      <w:r w:rsidR="00DD1DFA" w:rsidRPr="00DD1DFA">
        <w:rPr>
          <w:noProof/>
        </w:rPr>
        <w:t>odp</w:t>
      </w:r>
      <w:r w:rsidRPr="00DD1DFA">
        <w:rPr>
          <w:noProof/>
        </w:rPr>
        <w:t>orne. Dostosowane do przyszłych wyzwań ramy wspomagające</w:t>
      </w:r>
      <w:r w:rsidR="00DD1DFA" w:rsidRPr="00DD1DFA">
        <w:rPr>
          <w:noProof/>
        </w:rPr>
        <w:t xml:space="preserve"> i</w:t>
      </w:r>
      <w:r w:rsidR="00DD1DFA">
        <w:rPr>
          <w:noProof/>
        </w:rPr>
        <w:t> </w:t>
      </w:r>
      <w:r w:rsidR="00DD1DFA" w:rsidRPr="00DD1DFA">
        <w:rPr>
          <w:noProof/>
        </w:rPr>
        <w:t>pra</w:t>
      </w:r>
      <w:r w:rsidRPr="00DD1DFA">
        <w:rPr>
          <w:noProof/>
        </w:rPr>
        <w:t>wne, które sprzyjają inwestycjom</w:t>
      </w:r>
      <w:r w:rsidR="00DD1DFA" w:rsidRPr="00DD1DFA">
        <w:rPr>
          <w:noProof/>
        </w:rPr>
        <w:t xml:space="preserve"> i</w:t>
      </w:r>
      <w:r w:rsidR="00DD1DFA">
        <w:rPr>
          <w:noProof/>
        </w:rPr>
        <w:t> </w:t>
      </w:r>
      <w:r w:rsidR="00DD1DFA" w:rsidRPr="00DD1DFA">
        <w:rPr>
          <w:noProof/>
        </w:rPr>
        <w:t>bud</w:t>
      </w:r>
      <w:r w:rsidRPr="00DD1DFA">
        <w:rPr>
          <w:noProof/>
        </w:rPr>
        <w:t>owaniu zaufania, mają kluczowe znaczenie dla odporności ekosystemu i są warunkiem koniecznym do przeprowadzenia dwojakiej transformacji.</w:t>
      </w:r>
    </w:p>
    <w:p w14:paraId="58064999" w14:textId="34AD61F7" w:rsidR="004E75DC" w:rsidRPr="00DD1DFA" w:rsidRDefault="004E75DC" w:rsidP="004E75DC">
      <w:pPr>
        <w:spacing w:before="0" w:after="240"/>
        <w:rPr>
          <w:rFonts w:eastAsia="Times New Roman"/>
          <w:bCs/>
          <w:noProof/>
        </w:rPr>
      </w:pPr>
      <w:r w:rsidRPr="00DD1DFA">
        <w:rPr>
          <w:noProof/>
        </w:rPr>
        <w:t>W strategii MŚP na rzecz zrównoważonej</w:t>
      </w:r>
      <w:r w:rsidR="00DD1DFA" w:rsidRPr="00DD1DFA">
        <w:rPr>
          <w:noProof/>
        </w:rPr>
        <w:t xml:space="preserve"> i</w:t>
      </w:r>
      <w:r w:rsidR="00DD1DFA">
        <w:rPr>
          <w:noProof/>
        </w:rPr>
        <w:t> </w:t>
      </w:r>
      <w:r w:rsidR="00DD1DFA" w:rsidRPr="00DD1DFA">
        <w:rPr>
          <w:noProof/>
        </w:rPr>
        <w:t>cyf</w:t>
      </w:r>
      <w:r w:rsidRPr="00DD1DFA">
        <w:rPr>
          <w:noProof/>
        </w:rPr>
        <w:t>rowej Europy</w:t>
      </w:r>
      <w:r w:rsidRPr="00DD1DFA">
        <w:rPr>
          <w:rStyle w:val="Odwoanieprzypisudolnego"/>
          <w:rFonts w:eastAsia="Times New Roman"/>
          <w:noProof/>
        </w:rPr>
        <w:footnoteReference w:id="21"/>
      </w:r>
      <w:r w:rsidRPr="00DD1DFA">
        <w:rPr>
          <w:noProof/>
        </w:rPr>
        <w:t xml:space="preserve"> podkreślono istotną rolę MŚP</w:t>
      </w:r>
      <w:r w:rsidR="00DD1DFA" w:rsidRPr="00DD1DFA">
        <w:rPr>
          <w:noProof/>
        </w:rPr>
        <w:t xml:space="preserve"> w</w:t>
      </w:r>
      <w:r w:rsidR="00DD1DFA">
        <w:rPr>
          <w:noProof/>
        </w:rPr>
        <w:t> </w:t>
      </w:r>
      <w:r w:rsidR="00DD1DFA" w:rsidRPr="00DD1DFA">
        <w:rPr>
          <w:noProof/>
        </w:rPr>
        <w:t>sty</w:t>
      </w:r>
      <w:r w:rsidRPr="00DD1DFA">
        <w:rPr>
          <w:noProof/>
        </w:rPr>
        <w:t>mulowaniu transformacji ekologicznej</w:t>
      </w:r>
      <w:r w:rsidR="00DD1DFA" w:rsidRPr="00DD1DFA">
        <w:rPr>
          <w:noProof/>
        </w:rPr>
        <w:t xml:space="preserve"> i</w:t>
      </w:r>
      <w:r w:rsidR="00DD1DFA">
        <w:rPr>
          <w:noProof/>
        </w:rPr>
        <w:t> </w:t>
      </w:r>
      <w:r w:rsidR="00DD1DFA" w:rsidRPr="00DD1DFA">
        <w:rPr>
          <w:noProof/>
        </w:rPr>
        <w:t>pot</w:t>
      </w:r>
      <w:r w:rsidRPr="00DD1DFA">
        <w:rPr>
          <w:noProof/>
        </w:rPr>
        <w:t>wierdzono potrzebę wyposażenia MŚP</w:t>
      </w:r>
      <w:r w:rsidR="00DD1DFA" w:rsidRPr="00DD1DFA">
        <w:rPr>
          <w:noProof/>
        </w:rPr>
        <w:t xml:space="preserve"> w</w:t>
      </w:r>
      <w:r w:rsidR="00DD1DFA">
        <w:rPr>
          <w:noProof/>
        </w:rPr>
        <w:t> </w:t>
      </w:r>
      <w:r w:rsidR="00DD1DFA" w:rsidRPr="00DD1DFA">
        <w:rPr>
          <w:noProof/>
        </w:rPr>
        <w:t>ins</w:t>
      </w:r>
      <w:r w:rsidRPr="00DD1DFA">
        <w:rPr>
          <w:noProof/>
        </w:rPr>
        <w:t>trumenty pozwalające zrozumieć</w:t>
      </w:r>
      <w:r w:rsidR="00DD1DFA" w:rsidRPr="00DD1DFA">
        <w:rPr>
          <w:noProof/>
        </w:rPr>
        <w:t xml:space="preserve"> i</w:t>
      </w:r>
      <w:r w:rsidR="00DD1DFA">
        <w:rPr>
          <w:noProof/>
        </w:rPr>
        <w:t> </w:t>
      </w:r>
      <w:r w:rsidR="00DD1DFA" w:rsidRPr="00DD1DFA">
        <w:rPr>
          <w:noProof/>
        </w:rPr>
        <w:t>ogr</w:t>
      </w:r>
      <w:r w:rsidRPr="00DD1DFA">
        <w:rPr>
          <w:noProof/>
        </w:rPr>
        <w:t>aniczyć ryzyka środowiskowe,</w:t>
      </w:r>
      <w:r w:rsidR="00DD1DFA" w:rsidRPr="00DD1DFA">
        <w:rPr>
          <w:noProof/>
        </w:rPr>
        <w:t xml:space="preserve"> w</w:t>
      </w:r>
      <w:r w:rsidR="00DD1DFA">
        <w:rPr>
          <w:noProof/>
        </w:rPr>
        <w:t> </w:t>
      </w:r>
      <w:r w:rsidR="00DD1DFA" w:rsidRPr="00DD1DFA">
        <w:rPr>
          <w:noProof/>
        </w:rPr>
        <w:t>tym w</w:t>
      </w:r>
      <w:r w:rsidR="00DD1DFA">
        <w:rPr>
          <w:noProof/>
        </w:rPr>
        <w:t> </w:t>
      </w:r>
      <w:r w:rsidR="00DD1DFA" w:rsidRPr="00DD1DFA">
        <w:rPr>
          <w:noProof/>
        </w:rPr>
        <w:t>sek</w:t>
      </w:r>
      <w:r w:rsidRPr="00DD1DFA">
        <w:rPr>
          <w:noProof/>
        </w:rPr>
        <w:t>torze budowlanym.</w:t>
      </w:r>
    </w:p>
    <w:p w14:paraId="044252F2" w14:textId="48969868" w:rsidR="00AA79E1" w:rsidRPr="00DD1DFA" w:rsidRDefault="004E75DC" w:rsidP="004E75DC">
      <w:pPr>
        <w:spacing w:before="0" w:after="240"/>
        <w:rPr>
          <w:rFonts w:eastAsia="Times New Roman"/>
          <w:noProof/>
        </w:rPr>
      </w:pPr>
      <w:r w:rsidRPr="00DD1DFA">
        <w:rPr>
          <w:noProof/>
        </w:rPr>
        <w:t>W dokumencie „Unijna strategia</w:t>
      </w:r>
      <w:r w:rsidR="00DD1DFA" w:rsidRPr="00DD1DFA">
        <w:rPr>
          <w:noProof/>
        </w:rPr>
        <w:t xml:space="preserve"> w</w:t>
      </w:r>
      <w:r w:rsidR="00DD1DFA">
        <w:rPr>
          <w:noProof/>
        </w:rPr>
        <w:t> </w:t>
      </w:r>
      <w:r w:rsidR="00DD1DFA" w:rsidRPr="00DD1DFA">
        <w:rPr>
          <w:noProof/>
        </w:rPr>
        <w:t>spr</w:t>
      </w:r>
      <w:r w:rsidRPr="00DD1DFA">
        <w:rPr>
          <w:noProof/>
        </w:rPr>
        <w:t>awie normalizacji: Ustanowienie światowych norm na rzecz odpornego, ekologicznego</w:t>
      </w:r>
      <w:r w:rsidR="00DD1DFA" w:rsidRPr="00DD1DFA">
        <w:rPr>
          <w:noProof/>
        </w:rPr>
        <w:t xml:space="preserve"> i</w:t>
      </w:r>
      <w:r w:rsidR="00DD1DFA">
        <w:rPr>
          <w:noProof/>
        </w:rPr>
        <w:t> </w:t>
      </w:r>
      <w:r w:rsidR="00DD1DFA" w:rsidRPr="00DD1DFA">
        <w:rPr>
          <w:noProof/>
        </w:rPr>
        <w:t>cyf</w:t>
      </w:r>
      <w:r w:rsidRPr="00DD1DFA">
        <w:rPr>
          <w:noProof/>
        </w:rPr>
        <w:t>rowego jednolitego rynku UE”</w:t>
      </w:r>
      <w:r w:rsidRPr="00DD1DFA">
        <w:rPr>
          <w:rStyle w:val="Odwoanieprzypisudolnego"/>
          <w:rFonts w:eastAsia="Times New Roman"/>
          <w:noProof/>
        </w:rPr>
        <w:footnoteReference w:id="22"/>
      </w:r>
      <w:r w:rsidRPr="00DD1DFA">
        <w:rPr>
          <w:noProof/>
        </w:rPr>
        <w:t xml:space="preserve"> wskazano sektor budowlany jako jeden</w:t>
      </w:r>
      <w:r w:rsidR="00DD1DFA" w:rsidRPr="00DD1DFA">
        <w:rPr>
          <w:noProof/>
        </w:rPr>
        <w:t xml:space="preserve"> z</w:t>
      </w:r>
      <w:r w:rsidR="00DD1DFA">
        <w:rPr>
          <w:noProof/>
        </w:rPr>
        <w:t> </w:t>
      </w:r>
      <w:r w:rsidR="00DD1DFA" w:rsidRPr="00DD1DFA">
        <w:rPr>
          <w:noProof/>
        </w:rPr>
        <w:t>naj</w:t>
      </w:r>
      <w:r w:rsidRPr="00DD1DFA">
        <w:rPr>
          <w:noProof/>
        </w:rPr>
        <w:t>istotniejszych obszarów,</w:t>
      </w:r>
      <w:r w:rsidR="00DD1DFA" w:rsidRPr="00DD1DFA">
        <w:rPr>
          <w:noProof/>
        </w:rPr>
        <w:t xml:space="preserve"> w</w:t>
      </w:r>
      <w:r w:rsidR="00DD1DFA">
        <w:rPr>
          <w:noProof/>
        </w:rPr>
        <w:t> </w:t>
      </w:r>
      <w:r w:rsidR="00DD1DFA" w:rsidRPr="00DD1DFA">
        <w:rPr>
          <w:noProof/>
        </w:rPr>
        <w:t>któ</w:t>
      </w:r>
      <w:r w:rsidRPr="00DD1DFA">
        <w:rPr>
          <w:noProof/>
        </w:rPr>
        <w:t>rych normy zharmonizowane mogłyby przyczynić się do poprawy konkurencyjności</w:t>
      </w:r>
      <w:r w:rsidR="00DD1DFA" w:rsidRPr="00DD1DFA">
        <w:rPr>
          <w:noProof/>
        </w:rPr>
        <w:t xml:space="preserve"> i</w:t>
      </w:r>
      <w:r w:rsidR="00DD1DFA">
        <w:rPr>
          <w:noProof/>
        </w:rPr>
        <w:t> </w:t>
      </w:r>
      <w:r w:rsidR="00DD1DFA" w:rsidRPr="00DD1DFA">
        <w:rPr>
          <w:noProof/>
        </w:rPr>
        <w:t>ogr</w:t>
      </w:r>
      <w:r w:rsidRPr="00DD1DFA">
        <w:rPr>
          <w:noProof/>
        </w:rPr>
        <w:t>aniczyć bariery rynkowe.</w:t>
      </w:r>
    </w:p>
    <w:p w14:paraId="7F74B1A7" w14:textId="77777777" w:rsidR="00AA79E1" w:rsidRPr="00DD1DFA" w:rsidRDefault="00AA79E1" w:rsidP="00AA79E1">
      <w:pPr>
        <w:pStyle w:val="ManualHeading1"/>
        <w:rPr>
          <w:rFonts w:eastAsia="Calibri"/>
          <w:noProof/>
        </w:rPr>
      </w:pPr>
      <w:r w:rsidRPr="00DD1DFA">
        <w:rPr>
          <w:noProof/>
        </w:rPr>
        <w:t>2.</w:t>
      </w:r>
      <w:r w:rsidRPr="00DD1DFA">
        <w:rPr>
          <w:noProof/>
        </w:rPr>
        <w:tab/>
        <w:t>PODSTAWA PRAWNA, POMOCNICZOŚĆ I PROPORCJONALNOŚĆ</w:t>
      </w:r>
    </w:p>
    <w:p w14:paraId="3AD04629" w14:textId="77777777" w:rsidR="00AA79E1" w:rsidRPr="00DD1DFA" w:rsidRDefault="00AA79E1" w:rsidP="00AA79E1">
      <w:pPr>
        <w:pStyle w:val="ManualHeading2"/>
        <w:rPr>
          <w:rFonts w:eastAsia="Calibri"/>
          <w:noProof/>
          <w:bdr w:val="none" w:sz="0" w:space="0" w:color="auto" w:frame="1"/>
        </w:rPr>
      </w:pPr>
      <w:r w:rsidRPr="00DD1DFA">
        <w:rPr>
          <w:noProof/>
          <w:bdr w:val="none" w:sz="0" w:space="0" w:color="auto" w:frame="1"/>
        </w:rPr>
        <w:t>•</w:t>
      </w:r>
      <w:r w:rsidRPr="00DD1DFA">
        <w:rPr>
          <w:noProof/>
        </w:rPr>
        <w:tab/>
      </w:r>
      <w:r w:rsidRPr="00DD1DFA">
        <w:rPr>
          <w:noProof/>
          <w:bdr w:val="none" w:sz="0" w:space="0" w:color="auto" w:frame="1"/>
        </w:rPr>
        <w:t>Podstawa prawna</w:t>
      </w:r>
    </w:p>
    <w:p w14:paraId="63205B59" w14:textId="771EF2C9" w:rsidR="00AA79E1" w:rsidRPr="00DD1DFA" w:rsidRDefault="004E75DC" w:rsidP="00AA79E1">
      <w:pPr>
        <w:rPr>
          <w:noProof/>
        </w:rPr>
      </w:pPr>
      <w:r w:rsidRPr="00DD1DFA">
        <w:rPr>
          <w:noProof/>
        </w:rPr>
        <w:t xml:space="preserve">Wniosek sporządzono na podstawie </w:t>
      </w:r>
      <w:r w:rsidRPr="00DD1DFA">
        <w:rPr>
          <w:b/>
          <w:bCs/>
          <w:noProof/>
        </w:rPr>
        <w:t>art.</w:t>
      </w:r>
      <w:r w:rsidR="00DD1DFA" w:rsidRPr="00DD1DFA">
        <w:rPr>
          <w:b/>
          <w:bCs/>
          <w:noProof/>
        </w:rPr>
        <w:t> </w:t>
      </w:r>
      <w:r w:rsidRPr="00DD1DFA">
        <w:rPr>
          <w:b/>
          <w:bCs/>
          <w:noProof/>
        </w:rPr>
        <w:t>114 Traktatu</w:t>
      </w:r>
      <w:r w:rsidR="00DD1DFA" w:rsidRPr="00DD1DFA">
        <w:rPr>
          <w:b/>
          <w:bCs/>
          <w:noProof/>
        </w:rPr>
        <w:t xml:space="preserve"> o</w:t>
      </w:r>
      <w:r w:rsidR="00DD1DFA">
        <w:rPr>
          <w:b/>
          <w:bCs/>
          <w:noProof/>
        </w:rPr>
        <w:t> </w:t>
      </w:r>
      <w:r w:rsidR="00DD1DFA" w:rsidRPr="00DD1DFA">
        <w:rPr>
          <w:b/>
          <w:bCs/>
          <w:noProof/>
        </w:rPr>
        <w:t>fun</w:t>
      </w:r>
      <w:r w:rsidRPr="00DD1DFA">
        <w:rPr>
          <w:b/>
          <w:bCs/>
          <w:noProof/>
        </w:rPr>
        <w:t>kcjonowaniu Unii Europejskiej</w:t>
      </w:r>
      <w:r w:rsidRPr="00DD1DFA">
        <w:rPr>
          <w:noProof/>
        </w:rPr>
        <w:t xml:space="preserve"> (TFEU), ponieważ głównym celem rozporządzenia jest usunięcie przeszkód</w:t>
      </w:r>
      <w:r w:rsidR="00DD1DFA" w:rsidRPr="00DD1DFA">
        <w:rPr>
          <w:noProof/>
        </w:rPr>
        <w:t xml:space="preserve"> w</w:t>
      </w:r>
      <w:r w:rsidR="00DD1DFA">
        <w:rPr>
          <w:noProof/>
        </w:rPr>
        <w:t> </w:t>
      </w:r>
      <w:r w:rsidR="00DD1DFA" w:rsidRPr="00DD1DFA">
        <w:rPr>
          <w:noProof/>
        </w:rPr>
        <w:t>obr</w:t>
      </w:r>
      <w:r w:rsidRPr="00DD1DFA">
        <w:rPr>
          <w:noProof/>
        </w:rPr>
        <w:t>ocie wyrobami budowlanymi na jednolitym rynku.</w:t>
      </w:r>
    </w:p>
    <w:p w14:paraId="6B5D57F8" w14:textId="77777777" w:rsidR="00AA79E1" w:rsidRPr="00DD1DFA" w:rsidRDefault="00AA79E1" w:rsidP="00AA79E1">
      <w:pPr>
        <w:pStyle w:val="ManualHeading2"/>
        <w:rPr>
          <w:rFonts w:eastAsia="Arial Unicode MS"/>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Pomocniczość (w przypadku kompetencji niewyłącznych)</w:t>
      </w:r>
    </w:p>
    <w:p w14:paraId="7704C1D9" w14:textId="0B7EA72E" w:rsidR="004E75DC" w:rsidRPr="00DD1DFA" w:rsidRDefault="004E75DC" w:rsidP="004E75DC">
      <w:pPr>
        <w:rPr>
          <w:noProof/>
        </w:rPr>
      </w:pPr>
      <w:r w:rsidRPr="00DD1DFA">
        <w:rPr>
          <w:noProof/>
        </w:rPr>
        <w:t>Bez rozporządzenia UE niedociągnięć</w:t>
      </w:r>
      <w:r w:rsidR="00DD1DFA" w:rsidRPr="00DD1DFA">
        <w:rPr>
          <w:noProof/>
        </w:rPr>
        <w:t xml:space="preserve"> w</w:t>
      </w:r>
      <w:r w:rsidR="00DD1DFA">
        <w:rPr>
          <w:noProof/>
        </w:rPr>
        <w:t> </w:t>
      </w:r>
      <w:r w:rsidR="00DD1DFA" w:rsidRPr="00DD1DFA">
        <w:rPr>
          <w:noProof/>
        </w:rPr>
        <w:t>roz</w:t>
      </w:r>
      <w:r w:rsidRPr="00DD1DFA">
        <w:rPr>
          <w:noProof/>
        </w:rPr>
        <w:t>porządzeniu</w:t>
      </w:r>
      <w:r w:rsidR="00DD1DFA" w:rsidRPr="00DD1DFA">
        <w:rPr>
          <w:noProof/>
        </w:rPr>
        <w:t xml:space="preserve"> w</w:t>
      </w:r>
      <w:r w:rsidR="00DD1DFA">
        <w:rPr>
          <w:noProof/>
        </w:rPr>
        <w:t> </w:t>
      </w:r>
      <w:r w:rsidR="00DD1DFA" w:rsidRPr="00DD1DFA">
        <w:rPr>
          <w:noProof/>
        </w:rPr>
        <w:t>spr</w:t>
      </w:r>
      <w:r w:rsidRPr="00DD1DFA">
        <w:rPr>
          <w:noProof/>
        </w:rPr>
        <w:t>awie wyrobów budowlanych nie można usunąć za pomocą przepisów krajowych, ponieważ państwa członkowskie nie mają uprawnień do zmiany ram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ani do korygowania występujących</w:t>
      </w:r>
      <w:r w:rsidR="00DD1DFA" w:rsidRPr="00DD1DFA">
        <w:rPr>
          <w:noProof/>
        </w:rPr>
        <w:t xml:space="preserve"> w</w:t>
      </w:r>
      <w:r w:rsidR="00DD1DFA">
        <w:rPr>
          <w:noProof/>
        </w:rPr>
        <w:t> </w:t>
      </w:r>
      <w:r w:rsidR="00DD1DFA" w:rsidRPr="00DD1DFA">
        <w:rPr>
          <w:noProof/>
        </w:rPr>
        <w:t>nim</w:t>
      </w:r>
      <w:r w:rsidRPr="00DD1DFA">
        <w:rPr>
          <w:noProof/>
        </w:rPr>
        <w:t xml:space="preserve"> niedociągnięć za pomocą środków krajowych. Obecnie, wobec braku odpowiedniej normalizacji w UE, kwestie związane</w:t>
      </w:r>
      <w:r w:rsidR="00DD1DFA" w:rsidRPr="00DD1DFA">
        <w:rPr>
          <w:noProof/>
        </w:rPr>
        <w:t xml:space="preserve"> z</w:t>
      </w:r>
      <w:r w:rsidR="00DD1DFA">
        <w:rPr>
          <w:noProof/>
        </w:rPr>
        <w:t> </w:t>
      </w:r>
      <w:r w:rsidR="00DD1DFA" w:rsidRPr="00DD1DFA">
        <w:rPr>
          <w:noProof/>
        </w:rPr>
        <w:t>wła</w:t>
      </w:r>
      <w:r w:rsidRPr="00DD1DFA">
        <w:rPr>
          <w:noProof/>
        </w:rPr>
        <w:t>ściwościami użytkowymi wyrobów budowlanych</w:t>
      </w:r>
      <w:r w:rsidR="00DD1DFA" w:rsidRPr="00DD1DFA">
        <w:rPr>
          <w:noProof/>
        </w:rPr>
        <w:t xml:space="preserve"> w</w:t>
      </w:r>
      <w:r w:rsidR="00DD1DFA">
        <w:rPr>
          <w:noProof/>
        </w:rPr>
        <w:t> </w:t>
      </w:r>
      <w:r w:rsidR="00DD1DFA" w:rsidRPr="00DD1DFA">
        <w:rPr>
          <w:noProof/>
        </w:rPr>
        <w:t>zak</w:t>
      </w:r>
      <w:r w:rsidRPr="00DD1DFA">
        <w:rPr>
          <w:noProof/>
        </w:rPr>
        <w:t>resie ochrony środowiska</w:t>
      </w:r>
      <w:r w:rsidR="00DD1DFA" w:rsidRPr="00DD1DFA">
        <w:rPr>
          <w:noProof/>
        </w:rPr>
        <w:t xml:space="preserve"> i</w:t>
      </w:r>
      <w:r w:rsidR="00DD1DFA">
        <w:rPr>
          <w:noProof/>
        </w:rPr>
        <w:t> </w:t>
      </w:r>
      <w:r w:rsidR="00DD1DFA" w:rsidRPr="00DD1DFA">
        <w:rPr>
          <w:noProof/>
        </w:rPr>
        <w:t>bez</w:t>
      </w:r>
      <w:r w:rsidRPr="00DD1DFA">
        <w:rPr>
          <w:noProof/>
        </w:rPr>
        <w:t>pieczeństwa są różnie traktowane na poziomie krajowym, co prowadzi do rozbieżności</w:t>
      </w:r>
      <w:r w:rsidR="00DD1DFA" w:rsidRPr="00DD1DFA">
        <w:rPr>
          <w:noProof/>
        </w:rPr>
        <w:t xml:space="preserve"> w</w:t>
      </w:r>
      <w:r w:rsidR="00DD1DFA">
        <w:rPr>
          <w:noProof/>
        </w:rPr>
        <w:t> </w:t>
      </w:r>
      <w:r w:rsidR="00DD1DFA" w:rsidRPr="00DD1DFA">
        <w:rPr>
          <w:noProof/>
        </w:rPr>
        <w:t>wym</w:t>
      </w:r>
      <w:r w:rsidRPr="00DD1DFA">
        <w:rPr>
          <w:noProof/>
        </w:rPr>
        <w:t xml:space="preserve">aganiach stawianych podmiotom gospodarczym. </w:t>
      </w:r>
      <w:r w:rsidRPr="00DD1DFA">
        <w:rPr>
          <w:b/>
          <w:noProof/>
        </w:rPr>
        <w:t>Działanie na szczeblu UE jest zatem uzasadnione</w:t>
      </w:r>
      <w:r w:rsidR="00DD1DFA" w:rsidRPr="00DD1DFA">
        <w:rPr>
          <w:b/>
          <w:noProof/>
        </w:rPr>
        <w:t xml:space="preserve"> i</w:t>
      </w:r>
      <w:r w:rsidR="00DD1DFA">
        <w:rPr>
          <w:b/>
          <w:noProof/>
        </w:rPr>
        <w:t> </w:t>
      </w:r>
      <w:r w:rsidR="00DD1DFA" w:rsidRPr="00DD1DFA">
        <w:rPr>
          <w:b/>
          <w:noProof/>
        </w:rPr>
        <w:t>kon</w:t>
      </w:r>
      <w:r w:rsidRPr="00DD1DFA">
        <w:rPr>
          <w:b/>
          <w:noProof/>
        </w:rPr>
        <w:t>ieczne.</w:t>
      </w:r>
      <w:r w:rsidRPr="00DD1DFA">
        <w:rPr>
          <w:noProof/>
        </w:rPr>
        <w:t xml:space="preserve"> Tylko na szczeblu UE można ustalić warunki zapewniające swobodny obrót wyrobami budowlanymi, przy jednoczesnym zapewnieniu równych szans</w:t>
      </w:r>
      <w:r w:rsidR="00DD1DFA" w:rsidRPr="00DD1DFA">
        <w:rPr>
          <w:noProof/>
        </w:rPr>
        <w:t xml:space="preserve"> i</w:t>
      </w:r>
      <w:r w:rsidR="00DD1DFA">
        <w:rPr>
          <w:noProof/>
        </w:rPr>
        <w:t> </w:t>
      </w:r>
      <w:r w:rsidR="00DD1DFA" w:rsidRPr="00DD1DFA">
        <w:rPr>
          <w:noProof/>
        </w:rPr>
        <w:t>rea</w:t>
      </w:r>
      <w:r w:rsidRPr="00DD1DFA">
        <w:rPr>
          <w:noProof/>
        </w:rPr>
        <w:t>lizacji celów zrównoważonego rozwoju.</w:t>
      </w:r>
    </w:p>
    <w:p w14:paraId="0C8D8C4F" w14:textId="32A6213B" w:rsidR="00AA79E1" w:rsidRPr="00DD1DFA" w:rsidRDefault="004E75DC" w:rsidP="004E75DC">
      <w:pPr>
        <w:spacing w:before="0" w:after="0"/>
        <w:rPr>
          <w:rFonts w:eastAsia="Calibri"/>
          <w:noProof/>
        </w:rPr>
      </w:pPr>
      <w:r w:rsidRPr="00DD1DFA">
        <w:rPr>
          <w:noProof/>
        </w:rPr>
        <w:t>Jeśli chodzi</w:t>
      </w:r>
      <w:r w:rsidR="00DD1DFA" w:rsidRPr="00DD1DFA">
        <w:rPr>
          <w:noProof/>
        </w:rPr>
        <w:t xml:space="preserve"> o</w:t>
      </w:r>
      <w:r w:rsidR="00DD1DFA">
        <w:rPr>
          <w:noProof/>
        </w:rPr>
        <w:t> </w:t>
      </w:r>
      <w:r w:rsidR="00DD1DFA" w:rsidRPr="00DD1DFA">
        <w:rPr>
          <w:b/>
          <w:noProof/>
        </w:rPr>
        <w:t>war</w:t>
      </w:r>
      <w:r w:rsidRPr="00DD1DFA">
        <w:rPr>
          <w:b/>
          <w:noProof/>
        </w:rPr>
        <w:t>tość dodaną działania na szczeblu UE</w:t>
      </w:r>
      <w:r w:rsidRPr="00DD1DFA">
        <w:rPr>
          <w:noProof/>
        </w:rPr>
        <w:t>, wniosek przyczyni się do poprawy ogólnego funkcjonowania jednolitego rynku wyrobów budowlanych dzięki zwiększeniu pewności prawa</w:t>
      </w:r>
      <w:r w:rsidR="00DD1DFA" w:rsidRPr="00DD1DFA">
        <w:rPr>
          <w:noProof/>
        </w:rPr>
        <w:t xml:space="preserve"> a</w:t>
      </w:r>
      <w:r w:rsidR="00DD1DFA">
        <w:rPr>
          <w:noProof/>
        </w:rPr>
        <w:t> </w:t>
      </w:r>
      <w:r w:rsidR="00DD1DFA" w:rsidRPr="00DD1DFA">
        <w:rPr>
          <w:noProof/>
        </w:rPr>
        <w:t>tak</w:t>
      </w:r>
      <w:r w:rsidRPr="00DD1DFA">
        <w:rPr>
          <w:noProof/>
        </w:rPr>
        <w:t>że przewidywalności prawa, poprawie równych szans dla ekosystemu sektora budowlanego oraz uwzględnieniu aspektów klimatu, efektywności środowiskowej</w:t>
      </w:r>
      <w:r w:rsidR="00DD1DFA" w:rsidRPr="00DD1DFA">
        <w:rPr>
          <w:noProof/>
        </w:rPr>
        <w:t xml:space="preserve"> i</w:t>
      </w:r>
      <w:r w:rsidR="00DD1DFA">
        <w:rPr>
          <w:noProof/>
        </w:rPr>
        <w:t> </w:t>
      </w:r>
      <w:r w:rsidR="00DD1DFA" w:rsidRPr="00DD1DFA">
        <w:rPr>
          <w:noProof/>
        </w:rPr>
        <w:t>obi</w:t>
      </w:r>
      <w:r w:rsidRPr="00DD1DFA">
        <w:rPr>
          <w:noProof/>
        </w:rPr>
        <w:t>egu zamkniętego</w:t>
      </w:r>
      <w:r w:rsidR="00DD1DFA" w:rsidRPr="00DD1DFA">
        <w:rPr>
          <w:noProof/>
        </w:rPr>
        <w:t xml:space="preserve"> w</w:t>
      </w:r>
      <w:r w:rsidR="00DD1DFA">
        <w:rPr>
          <w:noProof/>
        </w:rPr>
        <w:t> </w:t>
      </w:r>
      <w:r w:rsidR="00DD1DFA" w:rsidRPr="00DD1DFA">
        <w:rPr>
          <w:noProof/>
        </w:rPr>
        <w:t>odn</w:t>
      </w:r>
      <w:r w:rsidRPr="00DD1DFA">
        <w:rPr>
          <w:noProof/>
        </w:rPr>
        <w:t>iesieniu do wyrobów budowlanych, co można uczynić jedynie na szczeblu UE.</w:t>
      </w:r>
    </w:p>
    <w:p w14:paraId="2D4C6A86" w14:textId="77777777" w:rsidR="00AA79E1" w:rsidRPr="00DD1DFA" w:rsidRDefault="00AA79E1" w:rsidP="00AA79E1">
      <w:pPr>
        <w:pStyle w:val="ManualHeading2"/>
        <w:rPr>
          <w:rFonts w:eastAsia="Calibri"/>
          <w:noProof/>
          <w:bdr w:val="none" w:sz="0" w:space="0" w:color="auto" w:frame="1"/>
        </w:rPr>
      </w:pPr>
      <w:r w:rsidRPr="00DD1DFA">
        <w:rPr>
          <w:noProof/>
          <w:bdr w:val="none" w:sz="0" w:space="0" w:color="auto" w:frame="1"/>
        </w:rPr>
        <w:t>•</w:t>
      </w:r>
      <w:r w:rsidRPr="00DD1DFA">
        <w:rPr>
          <w:noProof/>
        </w:rPr>
        <w:tab/>
      </w:r>
      <w:r w:rsidRPr="00DD1DFA">
        <w:rPr>
          <w:noProof/>
          <w:bdr w:val="none" w:sz="0" w:space="0" w:color="auto" w:frame="1"/>
        </w:rPr>
        <w:t>Proporcjonalność</w:t>
      </w:r>
    </w:p>
    <w:p w14:paraId="679F5684" w14:textId="35D17739" w:rsidR="004E75DC" w:rsidRPr="00DD1DFA" w:rsidRDefault="004E75DC" w:rsidP="004E75DC">
      <w:pPr>
        <w:spacing w:before="0" w:after="240"/>
        <w:rPr>
          <w:rFonts w:eastAsia="Times New Roman"/>
          <w:noProof/>
          <w:szCs w:val="24"/>
        </w:rPr>
      </w:pPr>
      <w:r w:rsidRPr="00DD1DFA">
        <w:rPr>
          <w:noProof/>
        </w:rPr>
        <w:t>Wniosek jest zgodny</w:t>
      </w:r>
      <w:r w:rsidR="00DD1DFA" w:rsidRPr="00DD1DFA">
        <w:rPr>
          <w:noProof/>
        </w:rPr>
        <w:t xml:space="preserve"> z</w:t>
      </w:r>
      <w:r w:rsidR="00DD1DFA">
        <w:rPr>
          <w:noProof/>
        </w:rPr>
        <w:t> </w:t>
      </w:r>
      <w:r w:rsidR="00DD1DFA" w:rsidRPr="00DD1DFA">
        <w:rPr>
          <w:noProof/>
        </w:rPr>
        <w:t>zas</w:t>
      </w:r>
      <w:r w:rsidRPr="00DD1DFA">
        <w:rPr>
          <w:noProof/>
        </w:rPr>
        <w:t>adą proporcjonalności, ponieważ nie wykracza poza to, co jest konieczne do osiągnięcia dobrze funkcjonującego jednolitego rynku wyrobów budowlanych,</w:t>
      </w:r>
      <w:r w:rsidR="00DD1DFA" w:rsidRPr="00DD1DFA">
        <w:rPr>
          <w:noProof/>
        </w:rPr>
        <w:t xml:space="preserve"> i</w:t>
      </w:r>
      <w:r w:rsidR="00DD1DFA">
        <w:rPr>
          <w:noProof/>
        </w:rPr>
        <w:t> </w:t>
      </w:r>
      <w:r w:rsidR="00DD1DFA" w:rsidRPr="00DD1DFA">
        <w:rPr>
          <w:noProof/>
        </w:rPr>
        <w:t>jes</w:t>
      </w:r>
      <w:r w:rsidRPr="00DD1DFA">
        <w:rPr>
          <w:noProof/>
        </w:rPr>
        <w:t>t proporcjonalny do zamierzonego celu.</w:t>
      </w:r>
    </w:p>
    <w:p w14:paraId="66C6FCDD" w14:textId="18BB26C3" w:rsidR="004E75DC" w:rsidRPr="00DD1DFA" w:rsidRDefault="004E75DC" w:rsidP="004E75DC">
      <w:pPr>
        <w:spacing w:before="0" w:after="240"/>
        <w:rPr>
          <w:rFonts w:eastAsia="Times New Roman"/>
          <w:noProof/>
        </w:rPr>
      </w:pPr>
      <w:r w:rsidRPr="00DD1DFA">
        <w:rPr>
          <w:noProof/>
        </w:rPr>
        <w:t>Celem wniosku jest uwzględnienie niedociągnięć zidentyfikowanych</w:t>
      </w:r>
      <w:r w:rsidR="00DD1DFA" w:rsidRPr="00DD1DFA">
        <w:rPr>
          <w:noProof/>
        </w:rPr>
        <w:t xml:space="preserve"> w</w:t>
      </w:r>
      <w:r w:rsidR="00DD1DFA">
        <w:rPr>
          <w:noProof/>
        </w:rPr>
        <w:t> </w:t>
      </w:r>
      <w:r w:rsidR="00DD1DFA" w:rsidRPr="00DD1DFA">
        <w:rPr>
          <w:noProof/>
        </w:rPr>
        <w:t>roz</w:t>
      </w:r>
      <w:r w:rsidRPr="00DD1DFA">
        <w:rPr>
          <w:noProof/>
        </w:rPr>
        <w:t>porządzeniu</w:t>
      </w:r>
      <w:r w:rsidR="00DD1DFA" w:rsidRPr="00DD1DFA">
        <w:rPr>
          <w:noProof/>
        </w:rPr>
        <w:t xml:space="preserve"> w</w:t>
      </w:r>
      <w:r w:rsidR="00DD1DFA">
        <w:rPr>
          <w:noProof/>
        </w:rPr>
        <w:t> </w:t>
      </w:r>
      <w:r w:rsidR="00DD1DFA" w:rsidRPr="00DD1DFA">
        <w:rPr>
          <w:noProof/>
        </w:rPr>
        <w:t>spr</w:t>
      </w:r>
      <w:r w:rsidRPr="00DD1DFA">
        <w:rPr>
          <w:noProof/>
        </w:rPr>
        <w:t>awie wyrobów budowlanych oraz celów Europejskiego Zielonego Ładu</w:t>
      </w:r>
      <w:r w:rsidR="00DD1DFA" w:rsidRPr="00DD1DFA">
        <w:rPr>
          <w:noProof/>
        </w:rPr>
        <w:t xml:space="preserve"> i</w:t>
      </w:r>
      <w:r w:rsidR="00DD1DFA">
        <w:rPr>
          <w:noProof/>
        </w:rPr>
        <w:t> </w:t>
      </w:r>
      <w:r w:rsidR="00DD1DFA" w:rsidRPr="00DD1DFA">
        <w:rPr>
          <w:noProof/>
        </w:rPr>
        <w:t>Pla</w:t>
      </w:r>
      <w:r w:rsidRPr="00DD1DFA">
        <w:rPr>
          <w:noProof/>
        </w:rPr>
        <w:t>nu działania dotyczącego gospodarki</w:t>
      </w:r>
      <w:r w:rsidR="00DD1DFA" w:rsidRPr="00DD1DFA">
        <w:rPr>
          <w:noProof/>
        </w:rPr>
        <w:t xml:space="preserve"> o</w:t>
      </w:r>
      <w:r w:rsidR="00DD1DFA">
        <w:rPr>
          <w:noProof/>
        </w:rPr>
        <w:t> </w:t>
      </w:r>
      <w:r w:rsidR="00DD1DFA" w:rsidRPr="00DD1DFA">
        <w:rPr>
          <w:noProof/>
        </w:rPr>
        <w:t>obi</w:t>
      </w:r>
      <w:r w:rsidRPr="00DD1DFA">
        <w:rPr>
          <w:noProof/>
        </w:rPr>
        <w:t>egu zamkniętym</w:t>
      </w:r>
      <w:r w:rsidR="00DD1DFA" w:rsidRPr="00DD1DFA">
        <w:rPr>
          <w:noProof/>
        </w:rPr>
        <w:t xml:space="preserve"> w</w:t>
      </w:r>
      <w:r w:rsidR="00DD1DFA">
        <w:rPr>
          <w:noProof/>
        </w:rPr>
        <w:t> </w:t>
      </w:r>
      <w:r w:rsidR="00DD1DFA" w:rsidRPr="00DD1DFA">
        <w:rPr>
          <w:noProof/>
        </w:rPr>
        <w:t>odn</w:t>
      </w:r>
      <w:r w:rsidRPr="00DD1DFA">
        <w:rPr>
          <w:noProof/>
        </w:rPr>
        <w:t>iesieniu do wyrobów budowlanych, przy jednoczesnym wykorzystaniu podstawowych zasad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(w tym norm zharmonizowanych opracowanych przez europejskie organizacje normalizacyjne). Podjęcie kwestii podstawowego funkcjonowania ram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w:t>
      </w:r>
      <w:r w:rsidR="00DD1DFA" w:rsidRPr="00DD1DFA">
        <w:rPr>
          <w:noProof/>
        </w:rPr>
        <w:t xml:space="preserve"> w</w:t>
      </w:r>
      <w:r w:rsidR="00DD1DFA">
        <w:rPr>
          <w:noProof/>
        </w:rPr>
        <w:t> </w:t>
      </w:r>
      <w:r w:rsidR="00DD1DFA" w:rsidRPr="00DD1DFA">
        <w:rPr>
          <w:noProof/>
        </w:rPr>
        <w:t>szc</w:t>
      </w:r>
      <w:r w:rsidRPr="00DD1DFA">
        <w:rPr>
          <w:noProof/>
        </w:rPr>
        <w:t>zególności procesu normalizacji, oraz jego usprawnienie ma zasadnicze znaczenie dla osiągnięcia celów polityki. Niektóre</w:t>
      </w:r>
      <w:r w:rsidR="00DD1DFA" w:rsidRPr="00DD1DFA">
        <w:rPr>
          <w:noProof/>
        </w:rPr>
        <w:t xml:space="preserve"> z</w:t>
      </w:r>
      <w:r w:rsidR="00DD1DFA">
        <w:rPr>
          <w:noProof/>
        </w:rPr>
        <w:t> </w:t>
      </w:r>
      <w:r w:rsidR="00DD1DFA" w:rsidRPr="00DD1DFA">
        <w:rPr>
          <w:noProof/>
        </w:rPr>
        <w:t>now</w:t>
      </w:r>
      <w:r w:rsidRPr="00DD1DFA">
        <w:rPr>
          <w:noProof/>
        </w:rPr>
        <w:t>ych funkcji, takie jak wymogi dotyczące wyrobów lub akty Komisji zawierające specyfikacje techniczne, będą stosowane tylko wtedy, gdy będą potrzebne dla określonych wyrobów.</w:t>
      </w:r>
    </w:p>
    <w:p w14:paraId="7ADF8E3C" w14:textId="485DAF56" w:rsidR="00AA79E1" w:rsidRPr="00DD1DFA" w:rsidRDefault="004E75DC" w:rsidP="004E75DC">
      <w:pPr>
        <w:spacing w:before="0" w:after="240"/>
        <w:rPr>
          <w:rFonts w:eastAsia="Times New Roman"/>
          <w:noProof/>
        </w:rPr>
      </w:pPr>
      <w:r w:rsidRPr="00DD1DFA">
        <w:rPr>
          <w:noProof/>
        </w:rPr>
        <w:t xml:space="preserve">We wniosku </w:t>
      </w:r>
      <w:r w:rsidRPr="00DD1DFA">
        <w:rPr>
          <w:b/>
          <w:noProof/>
        </w:rPr>
        <w:t>proponuje się najbardziej efektywne</w:t>
      </w:r>
      <w:r w:rsidR="00DD1DFA" w:rsidRPr="00DD1DFA">
        <w:rPr>
          <w:b/>
          <w:noProof/>
        </w:rPr>
        <w:t xml:space="preserve"> i</w:t>
      </w:r>
      <w:r w:rsidR="00DD1DFA">
        <w:rPr>
          <w:b/>
          <w:noProof/>
        </w:rPr>
        <w:t> </w:t>
      </w:r>
      <w:r w:rsidR="00DD1DFA" w:rsidRPr="00DD1DFA">
        <w:rPr>
          <w:b/>
          <w:noProof/>
        </w:rPr>
        <w:t>sku</w:t>
      </w:r>
      <w:r w:rsidRPr="00DD1DFA">
        <w:rPr>
          <w:b/>
          <w:noProof/>
        </w:rPr>
        <w:t>teczne sposoby rozwiązania wszystkich zidentyfikowanych problemów</w:t>
      </w:r>
      <w:r w:rsidRPr="00DD1DFA">
        <w:rPr>
          <w:noProof/>
        </w:rPr>
        <w:t>. Zaproponowano</w:t>
      </w:r>
      <w:r w:rsidR="00DD1DFA" w:rsidRPr="00DD1DFA">
        <w:rPr>
          <w:noProof/>
        </w:rPr>
        <w:t xml:space="preserve"> w</w:t>
      </w:r>
      <w:r w:rsidR="00DD1DFA">
        <w:rPr>
          <w:noProof/>
        </w:rPr>
        <w:t> </w:t>
      </w:r>
      <w:r w:rsidR="00DD1DFA" w:rsidRPr="00DD1DFA">
        <w:rPr>
          <w:noProof/>
        </w:rPr>
        <w:t>nim</w:t>
      </w:r>
      <w:r w:rsidRPr="00DD1DFA">
        <w:rPr>
          <w:noProof/>
        </w:rPr>
        <w:t xml:space="preserve"> dostosowane do przyszłych wyzwań</w:t>
      </w:r>
      <w:r w:rsidR="00DD1DFA" w:rsidRPr="00DD1DFA">
        <w:rPr>
          <w:noProof/>
        </w:rPr>
        <w:t xml:space="preserve"> i</w:t>
      </w:r>
      <w:r w:rsidR="00DD1DFA">
        <w:rPr>
          <w:noProof/>
        </w:rPr>
        <w:t> </w:t>
      </w:r>
      <w:r w:rsidR="00DD1DFA" w:rsidRPr="00DD1DFA">
        <w:rPr>
          <w:noProof/>
        </w:rPr>
        <w:t>kom</w:t>
      </w:r>
      <w:r w:rsidRPr="00DD1DFA">
        <w:rPr>
          <w:noProof/>
        </w:rPr>
        <w:t>pleksowe ramy regulacyjne, zintegrowano rozwiązania rezerwowe</w:t>
      </w:r>
      <w:r w:rsidR="00DD1DFA" w:rsidRPr="00DD1DFA">
        <w:rPr>
          <w:noProof/>
        </w:rPr>
        <w:t xml:space="preserve"> i</w:t>
      </w:r>
      <w:r w:rsidR="00DD1DFA">
        <w:rPr>
          <w:noProof/>
        </w:rPr>
        <w:t> </w:t>
      </w:r>
      <w:r w:rsidR="00DD1DFA" w:rsidRPr="00DD1DFA">
        <w:rPr>
          <w:noProof/>
        </w:rPr>
        <w:t>now</w:t>
      </w:r>
      <w:r w:rsidRPr="00DD1DFA">
        <w:rPr>
          <w:noProof/>
        </w:rPr>
        <w:t>e narzędzia regulacyjne, które można uruchomić</w:t>
      </w:r>
      <w:r w:rsidR="00DD1DFA" w:rsidRPr="00DD1DFA">
        <w:rPr>
          <w:noProof/>
        </w:rPr>
        <w:t xml:space="preserve"> w</w:t>
      </w:r>
      <w:r w:rsidR="00DD1DFA">
        <w:rPr>
          <w:noProof/>
        </w:rPr>
        <w:t> </w:t>
      </w:r>
      <w:r w:rsidR="00DD1DFA" w:rsidRPr="00DD1DFA">
        <w:rPr>
          <w:noProof/>
        </w:rPr>
        <w:t>opa</w:t>
      </w:r>
      <w:r w:rsidRPr="00DD1DFA">
        <w:rPr>
          <w:noProof/>
        </w:rPr>
        <w:t>rciu</w:t>
      </w:r>
      <w:r w:rsidR="00DD1DFA" w:rsidRPr="00DD1DFA">
        <w:rPr>
          <w:noProof/>
        </w:rPr>
        <w:t xml:space="preserve"> o</w:t>
      </w:r>
      <w:r w:rsidR="00DD1DFA">
        <w:rPr>
          <w:noProof/>
        </w:rPr>
        <w:t> </w:t>
      </w:r>
      <w:r w:rsidR="00DD1DFA" w:rsidRPr="00DD1DFA">
        <w:rPr>
          <w:noProof/>
        </w:rPr>
        <w:t>szc</w:t>
      </w:r>
      <w:r w:rsidRPr="00DD1DFA">
        <w:rPr>
          <w:noProof/>
        </w:rPr>
        <w:t>zegółową analizę, jeśli wymaga tego konkretna kategoria lub grupa wyrobów. Uwzględniając dużą różnorodność wyrobów budowlanych, tylko takie podejście może zapewnić skuteczną realizację celów wniosku bez tworzenia niepotrzebnych obciążeń dla podmiotów gospodarczych.</w:t>
      </w:r>
    </w:p>
    <w:p w14:paraId="6D609FD6" w14:textId="77777777" w:rsidR="00AA79E1" w:rsidRPr="00DD1DFA" w:rsidRDefault="00AA79E1" w:rsidP="00AA79E1">
      <w:pPr>
        <w:pStyle w:val="ManualHeading2"/>
        <w:rPr>
          <w:rFonts w:eastAsia="Calibri"/>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 xml:space="preserve">Wybór instrumentu </w:t>
      </w:r>
    </w:p>
    <w:p w14:paraId="2EE0C151" w14:textId="3D152026" w:rsidR="00AA79E1" w:rsidRPr="00DD1DFA" w:rsidRDefault="004E75DC" w:rsidP="00AA79E1">
      <w:pPr>
        <w:rPr>
          <w:noProof/>
        </w:rPr>
      </w:pPr>
      <w:r w:rsidRPr="00DD1DFA">
        <w:rPr>
          <w:noProof/>
        </w:rPr>
        <w:t xml:space="preserve">Niniejszy wniosek ma formę </w:t>
      </w:r>
      <w:r w:rsidRPr="00DD1DFA">
        <w:rPr>
          <w:b/>
          <w:bCs/>
          <w:noProof/>
        </w:rPr>
        <w:t>rozporządzenia</w:t>
      </w:r>
      <w:r w:rsidRPr="00DD1DFA">
        <w:rPr>
          <w:noProof/>
        </w:rPr>
        <w:t>, uchylającego obowiązujące obecnie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Zapewnia on wspólne wdrożenie proponowanych przepisów</w:t>
      </w:r>
      <w:r w:rsidR="00DD1DFA" w:rsidRPr="00DD1DFA">
        <w:rPr>
          <w:noProof/>
        </w:rPr>
        <w:t xml:space="preserve"> w</w:t>
      </w:r>
      <w:r w:rsidR="00DD1DFA">
        <w:rPr>
          <w:noProof/>
        </w:rPr>
        <w:t> </w:t>
      </w:r>
      <w:r w:rsidR="00DD1DFA" w:rsidRPr="00DD1DFA">
        <w:rPr>
          <w:noProof/>
        </w:rPr>
        <w:t>cał</w:t>
      </w:r>
      <w:r w:rsidRPr="00DD1DFA">
        <w:rPr>
          <w:noProof/>
        </w:rPr>
        <w:t>ej UE.</w:t>
      </w:r>
    </w:p>
    <w:p w14:paraId="7F64FB8A" w14:textId="77777777" w:rsidR="00AA79E1" w:rsidRPr="00DD1DFA" w:rsidRDefault="00AA79E1" w:rsidP="00AA79E1">
      <w:pPr>
        <w:pStyle w:val="ManualHeading1"/>
        <w:rPr>
          <w:rFonts w:eastAsia="Calibri"/>
          <w:noProof/>
        </w:rPr>
      </w:pPr>
      <w:r w:rsidRPr="00DD1DFA">
        <w:rPr>
          <w:smallCaps w:val="0"/>
          <w:noProof/>
        </w:rPr>
        <w:t>3.</w:t>
      </w:r>
      <w:r w:rsidRPr="00DD1DFA">
        <w:rPr>
          <w:noProof/>
        </w:rPr>
        <w:tab/>
        <w:t xml:space="preserve">WYNIKI OCEN </w:t>
      </w:r>
      <w:r w:rsidRPr="00DD1DFA">
        <w:rPr>
          <w:i/>
          <w:iCs/>
          <w:noProof/>
        </w:rPr>
        <w:t>EX POST</w:t>
      </w:r>
      <w:r w:rsidRPr="00DD1DFA">
        <w:rPr>
          <w:noProof/>
        </w:rPr>
        <w:t>, KONSULTACJI Z ZAINTERESOWANYMI STRONAMI I OCEN SKUTKÓW</w:t>
      </w:r>
    </w:p>
    <w:p w14:paraId="6012E966" w14:textId="77777777" w:rsidR="00AA79E1" w:rsidRPr="00DD1DFA" w:rsidRDefault="00AA79E1" w:rsidP="00AA79E1">
      <w:pPr>
        <w:pStyle w:val="ManualHeading2"/>
        <w:rPr>
          <w:rFonts w:eastAsia="Calibri"/>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 xml:space="preserve">Oceny </w:t>
      </w:r>
      <w:r w:rsidRPr="00DD1DFA">
        <w:rPr>
          <w:i/>
          <w:iCs/>
          <w:noProof/>
          <w:bdr w:val="none" w:sz="0" w:space="0" w:color="auto" w:frame="1"/>
        </w:rPr>
        <w:t>ex post</w:t>
      </w:r>
      <w:r w:rsidRPr="00DD1DFA">
        <w:rPr>
          <w:noProof/>
          <w:bdr w:val="none" w:sz="0" w:space="0" w:color="auto" w:frame="1"/>
        </w:rPr>
        <w:t>/oceny adekwatności obowiązującego prawodawstwa</w:t>
      </w:r>
    </w:p>
    <w:p w14:paraId="5090C918" w14:textId="5C317661" w:rsidR="004E75DC" w:rsidRPr="00DD1DFA" w:rsidRDefault="004E75DC" w:rsidP="004E75DC">
      <w:pPr>
        <w:rPr>
          <w:rFonts w:eastAsia="Calibri"/>
          <w:noProof/>
          <w:szCs w:val="24"/>
        </w:rPr>
      </w:pPr>
      <w:r w:rsidRPr="00DD1DFA">
        <w:rPr>
          <w:noProof/>
        </w:rPr>
        <w:t>W 2016</w:t>
      </w:r>
      <w:r w:rsidR="00DD1DFA" w:rsidRPr="00DD1DFA">
        <w:rPr>
          <w:noProof/>
        </w:rPr>
        <w:t> </w:t>
      </w:r>
      <w:r w:rsidRPr="00DD1DFA">
        <w:rPr>
          <w:noProof/>
        </w:rPr>
        <w:t>r. Komisja opublikowała badanie uzupełniające do celów oceny adekwatności dotyczące sektora budowlanego</w:t>
      </w:r>
      <w:r w:rsidRPr="00DD1DFA">
        <w:rPr>
          <w:rStyle w:val="Odwoanieprzypisudolnego"/>
          <w:noProof/>
        </w:rPr>
        <w:footnoteReference w:id="23"/>
      </w:r>
      <w:r w:rsidR="00DD1DFA" w:rsidRPr="00DD1DFA">
        <w:rPr>
          <w:noProof/>
        </w:rPr>
        <w:t>. W</w:t>
      </w:r>
      <w:r w:rsidR="00DD1DFA">
        <w:rPr>
          <w:noProof/>
        </w:rPr>
        <w:t> </w:t>
      </w:r>
      <w:r w:rsidR="00DD1DFA" w:rsidRPr="00DD1DFA">
        <w:rPr>
          <w:noProof/>
        </w:rPr>
        <w:t>bad</w:t>
      </w:r>
      <w:r w:rsidRPr="00DD1DFA">
        <w:rPr>
          <w:noProof/>
        </w:rPr>
        <w:t>aniu oceniono spójność wybranych aktów prawnych UE mających zastosowanie do sektora budowlanego oraz przeanalizowano nakładanie się przepisów prawnych między rozporządzeniem</w:t>
      </w:r>
      <w:r w:rsidR="00DD1DFA" w:rsidRPr="00DD1DFA">
        <w:rPr>
          <w:noProof/>
        </w:rPr>
        <w:t xml:space="preserve"> w</w:t>
      </w:r>
      <w:r w:rsidR="00DD1DFA">
        <w:rPr>
          <w:noProof/>
        </w:rPr>
        <w:t> </w:t>
      </w:r>
      <w:r w:rsidR="00DD1DFA" w:rsidRPr="00DD1DFA">
        <w:rPr>
          <w:noProof/>
        </w:rPr>
        <w:t>spr</w:t>
      </w:r>
      <w:r w:rsidRPr="00DD1DFA">
        <w:rPr>
          <w:noProof/>
        </w:rPr>
        <w:t>awie wyrobów budowlanych</w:t>
      </w:r>
      <w:r w:rsidR="00DD1DFA" w:rsidRPr="00DD1DFA">
        <w:rPr>
          <w:noProof/>
        </w:rPr>
        <w:t xml:space="preserve"> a</w:t>
      </w:r>
      <w:r w:rsidR="00DD1DFA">
        <w:rPr>
          <w:noProof/>
        </w:rPr>
        <w:t> </w:t>
      </w:r>
      <w:r w:rsidR="00DD1DFA" w:rsidRPr="00DD1DFA">
        <w:rPr>
          <w:noProof/>
        </w:rPr>
        <w:t>dyr</w:t>
      </w:r>
      <w:r w:rsidRPr="00DD1DFA">
        <w:rPr>
          <w:noProof/>
        </w:rPr>
        <w:t>ektywą</w:t>
      </w:r>
      <w:r w:rsidR="00DD1DFA" w:rsidRPr="00DD1DFA">
        <w:rPr>
          <w:noProof/>
        </w:rPr>
        <w:t xml:space="preserve"> w</w:t>
      </w:r>
      <w:r w:rsidR="00DD1DFA">
        <w:rPr>
          <w:noProof/>
        </w:rPr>
        <w:t> </w:t>
      </w:r>
      <w:r w:rsidR="00DD1DFA" w:rsidRPr="00DD1DFA">
        <w:rPr>
          <w:noProof/>
        </w:rPr>
        <w:t>spr</w:t>
      </w:r>
      <w:r w:rsidRPr="00DD1DFA">
        <w:rPr>
          <w:noProof/>
        </w:rPr>
        <w:t>awie ekoprojektu (2009)</w:t>
      </w:r>
      <w:r w:rsidR="00DD1DFA" w:rsidRPr="00DD1DFA">
        <w:rPr>
          <w:noProof/>
        </w:rPr>
        <w:t xml:space="preserve"> i</w:t>
      </w:r>
      <w:r w:rsidR="00DD1DFA">
        <w:rPr>
          <w:noProof/>
        </w:rPr>
        <w:t> </w:t>
      </w:r>
      <w:r w:rsidR="00DD1DFA" w:rsidRPr="00DD1DFA">
        <w:rPr>
          <w:noProof/>
        </w:rPr>
        <w:t>dyr</w:t>
      </w:r>
      <w:r w:rsidRPr="00DD1DFA">
        <w:rPr>
          <w:noProof/>
        </w:rPr>
        <w:t>ektywą</w:t>
      </w:r>
      <w:r w:rsidR="00DD1DFA" w:rsidRPr="00DD1DFA">
        <w:rPr>
          <w:noProof/>
        </w:rPr>
        <w:t xml:space="preserve"> w</w:t>
      </w:r>
      <w:r w:rsidR="00DD1DFA">
        <w:rPr>
          <w:noProof/>
        </w:rPr>
        <w:t> </w:t>
      </w:r>
      <w:r w:rsidR="00DD1DFA" w:rsidRPr="00DD1DFA">
        <w:rPr>
          <w:noProof/>
        </w:rPr>
        <w:t>spr</w:t>
      </w:r>
      <w:r w:rsidRPr="00DD1DFA">
        <w:rPr>
          <w:noProof/>
        </w:rPr>
        <w:t>awie etykietowania energetycznego. Badanie potwierdziło również niespójność definicji, brak odniesień</w:t>
      </w:r>
      <w:r w:rsidR="00DD1DFA" w:rsidRPr="00DD1DFA">
        <w:rPr>
          <w:noProof/>
        </w:rPr>
        <w:t xml:space="preserve"> i</w:t>
      </w:r>
      <w:r w:rsidR="00DD1DFA">
        <w:rPr>
          <w:noProof/>
        </w:rPr>
        <w:t> </w:t>
      </w:r>
      <w:r w:rsidR="00DD1DFA" w:rsidRPr="00DD1DFA">
        <w:rPr>
          <w:noProof/>
        </w:rPr>
        <w:t>pok</w:t>
      </w:r>
      <w:r w:rsidRPr="00DD1DFA">
        <w:rPr>
          <w:noProof/>
        </w:rPr>
        <w:t>rywanie się zakresów stosowania tych trzech aktów prawnych.</w:t>
      </w:r>
    </w:p>
    <w:p w14:paraId="5D7F6BCB" w14:textId="4E83922F" w:rsidR="004E75DC" w:rsidRPr="00DD1DFA" w:rsidRDefault="004E75DC" w:rsidP="004E75DC">
      <w:pPr>
        <w:spacing w:before="0" w:after="240"/>
        <w:rPr>
          <w:rFonts w:eastAsia="Times New Roman"/>
          <w:noProof/>
        </w:rPr>
      </w:pPr>
      <w:r w:rsidRPr="00DD1DFA">
        <w:rPr>
          <w:noProof/>
        </w:rPr>
        <w:t>W 2019</w:t>
      </w:r>
      <w:r w:rsidR="00DD1DFA" w:rsidRPr="00DD1DFA">
        <w:rPr>
          <w:noProof/>
        </w:rPr>
        <w:t> </w:t>
      </w:r>
      <w:r w:rsidRPr="00DD1DFA">
        <w:rPr>
          <w:noProof/>
        </w:rPr>
        <w:t>r. Komisja opublikowała ocenę</w:t>
      </w:r>
      <w:r w:rsidRPr="00DD1DFA">
        <w:rPr>
          <w:rStyle w:val="Odwoanieprzypisudolnego"/>
          <w:noProof/>
        </w:rPr>
        <w:footnoteReference w:id="24"/>
      </w:r>
      <w:r w:rsidRPr="00DD1DFA">
        <w:rPr>
          <w:noProof/>
        </w:rPr>
        <w:t xml:space="preserve">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Nadrzędnymi kwestiami zidentyfikowanymi</w:t>
      </w:r>
      <w:r w:rsidR="00DD1DFA" w:rsidRPr="00DD1DFA">
        <w:rPr>
          <w:noProof/>
        </w:rPr>
        <w:t xml:space="preserve"> w</w:t>
      </w:r>
      <w:r w:rsidR="00DD1DFA">
        <w:rPr>
          <w:noProof/>
        </w:rPr>
        <w:t> </w:t>
      </w:r>
      <w:r w:rsidR="00DD1DFA" w:rsidRPr="00DD1DFA">
        <w:rPr>
          <w:noProof/>
        </w:rPr>
        <w:t>tej</w:t>
      </w:r>
      <w:r w:rsidRPr="00DD1DFA">
        <w:rPr>
          <w:noProof/>
        </w:rPr>
        <w:t xml:space="preserve"> ocenie,</w:t>
      </w:r>
      <w:r w:rsidR="00DD1DFA" w:rsidRPr="00DD1DFA">
        <w:rPr>
          <w:noProof/>
        </w:rPr>
        <w:t xml:space="preserve"> w</w:t>
      </w:r>
      <w:r w:rsidR="00DD1DFA">
        <w:rPr>
          <w:noProof/>
        </w:rPr>
        <w:t> </w:t>
      </w:r>
      <w:r w:rsidR="00DD1DFA" w:rsidRPr="00DD1DFA">
        <w:rPr>
          <w:noProof/>
        </w:rPr>
        <w:t>kol</w:t>
      </w:r>
      <w:r w:rsidRPr="00DD1DFA">
        <w:rPr>
          <w:noProof/>
        </w:rPr>
        <w:t>ejności ich istotności, były: (i) nieefektywny system normalizacji stanowiący podstawę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(ii) nieskuteczny</w:t>
      </w:r>
      <w:r w:rsidR="00DD1DFA" w:rsidRPr="00DD1DFA">
        <w:rPr>
          <w:noProof/>
        </w:rPr>
        <w:t xml:space="preserve"> i</w:t>
      </w:r>
      <w:r w:rsidR="00DD1DFA">
        <w:rPr>
          <w:noProof/>
        </w:rPr>
        <w:t> </w:t>
      </w:r>
      <w:r w:rsidR="00DD1DFA" w:rsidRPr="00DD1DFA">
        <w:rPr>
          <w:noProof/>
        </w:rPr>
        <w:t>zna</w:t>
      </w:r>
      <w:r w:rsidRPr="00DD1DFA">
        <w:rPr>
          <w:noProof/>
        </w:rPr>
        <w:t>cznie różniący się (w poszczególnych państwach członkowskich) nadzór rynku oraz (iii) mniejsza niż oczekiwano skala uproszczenia osiągnięta dzięki rozporządzeniu</w:t>
      </w:r>
      <w:r w:rsidR="00DD1DFA" w:rsidRPr="00DD1DFA">
        <w:rPr>
          <w:noProof/>
        </w:rPr>
        <w:t xml:space="preserve"> w</w:t>
      </w:r>
      <w:r w:rsidR="00DD1DFA">
        <w:rPr>
          <w:noProof/>
        </w:rPr>
        <w:t> </w:t>
      </w:r>
      <w:r w:rsidR="00DD1DFA" w:rsidRPr="00DD1DFA">
        <w:rPr>
          <w:noProof/>
        </w:rPr>
        <w:t>spr</w:t>
      </w:r>
      <w:r w:rsidRPr="00DD1DFA">
        <w:rPr>
          <w:noProof/>
        </w:rPr>
        <w:t>awie wyrobów budowlanych.</w:t>
      </w:r>
    </w:p>
    <w:p w14:paraId="7C572EEC" w14:textId="52A0E176" w:rsidR="00AA79E1" w:rsidRPr="00DD1DFA" w:rsidRDefault="004E75DC" w:rsidP="004E75DC">
      <w:pPr>
        <w:spacing w:before="0" w:after="240"/>
        <w:rPr>
          <w:rFonts w:eastAsia="Calibri"/>
          <w:noProof/>
          <w:szCs w:val="24"/>
        </w:rPr>
      </w:pPr>
      <w:r w:rsidRPr="00DD1DFA">
        <w:rPr>
          <w:noProof/>
        </w:rPr>
        <w:t>Wnioski</w:t>
      </w:r>
      <w:r w:rsidR="00DD1DFA" w:rsidRPr="00DD1DFA">
        <w:rPr>
          <w:noProof/>
        </w:rPr>
        <w:t xml:space="preserve"> z</w:t>
      </w:r>
      <w:r w:rsidR="00DD1DFA">
        <w:rPr>
          <w:noProof/>
        </w:rPr>
        <w:t> </w:t>
      </w:r>
      <w:r w:rsidR="00DD1DFA" w:rsidRPr="00DD1DFA">
        <w:rPr>
          <w:noProof/>
        </w:rPr>
        <w:t>obu</w:t>
      </w:r>
      <w:r w:rsidRPr="00DD1DFA">
        <w:rPr>
          <w:noProof/>
        </w:rPr>
        <w:t xml:space="preserve"> dokumentów zostały uwzględnione</w:t>
      </w:r>
      <w:r w:rsidR="00DD1DFA" w:rsidRPr="00DD1DFA">
        <w:rPr>
          <w:noProof/>
        </w:rPr>
        <w:t xml:space="preserve"> w</w:t>
      </w:r>
      <w:r w:rsidR="00DD1DFA">
        <w:rPr>
          <w:noProof/>
        </w:rPr>
        <w:t> </w:t>
      </w:r>
      <w:r w:rsidR="00DD1DFA" w:rsidRPr="00DD1DFA">
        <w:rPr>
          <w:noProof/>
        </w:rPr>
        <w:t>nin</w:t>
      </w:r>
      <w:r w:rsidRPr="00DD1DFA">
        <w:rPr>
          <w:noProof/>
        </w:rPr>
        <w:t>iejszym wniosku.</w:t>
      </w:r>
    </w:p>
    <w:p w14:paraId="37B00E51" w14:textId="35992302" w:rsidR="00AA79E1" w:rsidRPr="00DD1DFA" w:rsidRDefault="00AA79E1" w:rsidP="00AA79E1">
      <w:pPr>
        <w:pStyle w:val="ManualHeading2"/>
        <w:rPr>
          <w:rFonts w:eastAsia="Calibri"/>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Konsultacje</w:t>
      </w:r>
      <w:r w:rsidR="00DD1DFA" w:rsidRPr="00DD1DFA">
        <w:rPr>
          <w:noProof/>
          <w:bdr w:val="none" w:sz="0" w:space="0" w:color="auto" w:frame="1"/>
        </w:rPr>
        <w:t xml:space="preserve"> z</w:t>
      </w:r>
      <w:r w:rsidR="00DD1DFA">
        <w:rPr>
          <w:noProof/>
          <w:bdr w:val="none" w:sz="0" w:space="0" w:color="auto" w:frame="1"/>
        </w:rPr>
        <w:t> </w:t>
      </w:r>
      <w:r w:rsidR="00DD1DFA" w:rsidRPr="00DD1DFA">
        <w:rPr>
          <w:noProof/>
          <w:bdr w:val="none" w:sz="0" w:space="0" w:color="auto" w:frame="1"/>
        </w:rPr>
        <w:t>zai</w:t>
      </w:r>
      <w:r w:rsidRPr="00DD1DFA">
        <w:rPr>
          <w:noProof/>
          <w:bdr w:val="none" w:sz="0" w:space="0" w:color="auto" w:frame="1"/>
        </w:rPr>
        <w:t>nteresowanymi stronami</w:t>
      </w:r>
    </w:p>
    <w:p w14:paraId="7822198E" w14:textId="3D49D92E" w:rsidR="004E75DC" w:rsidRPr="00DD1DFA" w:rsidRDefault="004E75DC" w:rsidP="004E75DC">
      <w:pPr>
        <w:rPr>
          <w:rFonts w:eastAsia="Calibri"/>
          <w:noProof/>
        </w:rPr>
      </w:pPr>
      <w:r w:rsidRPr="00DD1DFA">
        <w:rPr>
          <w:noProof/>
        </w:rPr>
        <w:t>W trakcie prac nad wnioskiem przeprowadzono konsultacje</w:t>
      </w:r>
      <w:r w:rsidR="00DD1DFA" w:rsidRPr="00DD1DFA">
        <w:rPr>
          <w:noProof/>
        </w:rPr>
        <w:t xml:space="preserve"> z</w:t>
      </w:r>
      <w:r w:rsidR="00DD1DFA">
        <w:rPr>
          <w:noProof/>
        </w:rPr>
        <w:t> </w:t>
      </w:r>
      <w:r w:rsidR="00DD1DFA" w:rsidRPr="00DD1DFA">
        <w:rPr>
          <w:noProof/>
        </w:rPr>
        <w:t>pos</w:t>
      </w:r>
      <w:r w:rsidRPr="00DD1DFA">
        <w:rPr>
          <w:noProof/>
        </w:rPr>
        <w:t>zczególnymi zainteresowanymi stronami: państwami członkowskimi, europejskimi organami</w:t>
      </w:r>
      <w:r w:rsidR="00DD1DFA" w:rsidRPr="00DD1DFA">
        <w:rPr>
          <w:noProof/>
        </w:rPr>
        <w:t xml:space="preserve"> i</w:t>
      </w:r>
      <w:r w:rsidR="00DD1DFA">
        <w:rPr>
          <w:noProof/>
        </w:rPr>
        <w:t> </w:t>
      </w:r>
      <w:r w:rsidR="00DD1DFA" w:rsidRPr="00DD1DFA">
        <w:rPr>
          <w:noProof/>
        </w:rPr>
        <w:t>sto</w:t>
      </w:r>
      <w:r w:rsidRPr="00DD1DFA">
        <w:rPr>
          <w:noProof/>
        </w:rPr>
        <w:t>warzyszeniami technicznymi, organami krajowymi, przedsiębiorstwami</w:t>
      </w:r>
      <w:r w:rsidR="00DD1DFA" w:rsidRPr="00DD1DFA">
        <w:rPr>
          <w:noProof/>
        </w:rPr>
        <w:t xml:space="preserve"> i</w:t>
      </w:r>
      <w:r w:rsidR="00DD1DFA">
        <w:rPr>
          <w:noProof/>
        </w:rPr>
        <w:t> </w:t>
      </w:r>
      <w:r w:rsidR="00DD1DFA" w:rsidRPr="00DD1DFA">
        <w:rPr>
          <w:noProof/>
        </w:rPr>
        <w:t>pro</w:t>
      </w:r>
      <w:r w:rsidRPr="00DD1DFA">
        <w:rPr>
          <w:noProof/>
        </w:rPr>
        <w:t>ducentami, importerami</w:t>
      </w:r>
      <w:r w:rsidR="00DD1DFA" w:rsidRPr="00DD1DFA">
        <w:rPr>
          <w:noProof/>
        </w:rPr>
        <w:t xml:space="preserve"> i</w:t>
      </w:r>
      <w:r w:rsidR="00DD1DFA">
        <w:rPr>
          <w:noProof/>
        </w:rPr>
        <w:t> </w:t>
      </w:r>
      <w:r w:rsidR="00DD1DFA" w:rsidRPr="00DD1DFA">
        <w:rPr>
          <w:noProof/>
        </w:rPr>
        <w:t>dys</w:t>
      </w:r>
      <w:r w:rsidRPr="00DD1DFA">
        <w:rPr>
          <w:noProof/>
        </w:rPr>
        <w:t>trybutorami, organizacjami konsumenckimi, organami nadzoru rynku, organizacjami europejskimi</w:t>
      </w:r>
      <w:r w:rsidR="00DD1DFA" w:rsidRPr="00DD1DFA">
        <w:rPr>
          <w:noProof/>
        </w:rPr>
        <w:t xml:space="preserve"> i</w:t>
      </w:r>
      <w:r w:rsidR="00DD1DFA">
        <w:rPr>
          <w:noProof/>
        </w:rPr>
        <w:t> </w:t>
      </w:r>
      <w:r w:rsidR="00DD1DFA" w:rsidRPr="00DD1DFA">
        <w:rPr>
          <w:noProof/>
        </w:rPr>
        <w:t>mię</w:t>
      </w:r>
      <w:r w:rsidRPr="00DD1DFA">
        <w:rPr>
          <w:noProof/>
        </w:rPr>
        <w:t>dzynarodowymi (stowarzyszeniami branżowymi), jednostkami notyfikowanymi, stowarzyszeniami pracowników</w:t>
      </w:r>
      <w:r w:rsidR="00DD1DFA" w:rsidRPr="00DD1DFA">
        <w:rPr>
          <w:noProof/>
        </w:rPr>
        <w:t xml:space="preserve"> i</w:t>
      </w:r>
      <w:r w:rsidR="00DD1DFA">
        <w:rPr>
          <w:noProof/>
        </w:rPr>
        <w:t> </w:t>
      </w:r>
      <w:r w:rsidR="00DD1DFA" w:rsidRPr="00DD1DFA">
        <w:rPr>
          <w:noProof/>
        </w:rPr>
        <w:t>sto</w:t>
      </w:r>
      <w:r w:rsidRPr="00DD1DFA">
        <w:rPr>
          <w:noProof/>
        </w:rPr>
        <w:t>warzyszeniami zawodowymi oraz innymi stronami, takimi jak osoby fizyczne</w:t>
      </w:r>
      <w:r w:rsidR="00DD1DFA" w:rsidRPr="00DD1DFA">
        <w:rPr>
          <w:noProof/>
        </w:rPr>
        <w:t xml:space="preserve"> i</w:t>
      </w:r>
      <w:r w:rsidR="00DD1DFA">
        <w:rPr>
          <w:noProof/>
        </w:rPr>
        <w:t> </w:t>
      </w:r>
      <w:r w:rsidR="00DD1DFA" w:rsidRPr="00DD1DFA">
        <w:rPr>
          <w:noProof/>
        </w:rPr>
        <w:t>inn</w:t>
      </w:r>
      <w:r w:rsidRPr="00DD1DFA">
        <w:rPr>
          <w:noProof/>
        </w:rPr>
        <w:t>e organizacje pozarządowe.</w:t>
      </w:r>
    </w:p>
    <w:p w14:paraId="4F3B5E83" w14:textId="4F3A9E63" w:rsidR="004E75DC" w:rsidRPr="00DD1DFA" w:rsidRDefault="004E75DC" w:rsidP="004E75DC">
      <w:pPr>
        <w:spacing w:before="0" w:after="240"/>
        <w:rPr>
          <w:rFonts w:eastAsia="Calibri"/>
          <w:noProof/>
          <w:szCs w:val="24"/>
        </w:rPr>
      </w:pPr>
      <w:r w:rsidRPr="00DD1DFA">
        <w:rPr>
          <w:noProof/>
        </w:rPr>
        <w:t>Zgodnie</w:t>
      </w:r>
      <w:r w:rsidR="00DD1DFA" w:rsidRPr="00DD1DFA">
        <w:rPr>
          <w:noProof/>
        </w:rPr>
        <w:t xml:space="preserve"> z</w:t>
      </w:r>
      <w:r w:rsidR="00DD1DFA">
        <w:rPr>
          <w:noProof/>
        </w:rPr>
        <w:t> </w:t>
      </w:r>
      <w:r w:rsidR="00DD1DFA" w:rsidRPr="00DD1DFA">
        <w:rPr>
          <w:noProof/>
        </w:rPr>
        <w:t>wyt</w:t>
      </w:r>
      <w:r w:rsidRPr="00DD1DFA">
        <w:rPr>
          <w:noProof/>
        </w:rPr>
        <w:t>ycznymi UE dotyczącymi lepszego stanowienia prawa zorganizowano szereg konsultacji. Przedstawiono je pokrótce</w:t>
      </w:r>
      <w:r w:rsidR="00DD1DFA" w:rsidRPr="00DD1DFA">
        <w:rPr>
          <w:noProof/>
        </w:rPr>
        <w:t xml:space="preserve"> w</w:t>
      </w:r>
      <w:r w:rsidR="00DD1DFA">
        <w:rPr>
          <w:noProof/>
        </w:rPr>
        <w:t> </w:t>
      </w:r>
      <w:r w:rsidR="00DD1DFA" w:rsidRPr="00DD1DFA">
        <w:rPr>
          <w:noProof/>
        </w:rPr>
        <w:t>pon</w:t>
      </w:r>
      <w:r w:rsidRPr="00DD1DFA">
        <w:rPr>
          <w:noProof/>
        </w:rPr>
        <w:t>iższych punktach.</w:t>
      </w:r>
    </w:p>
    <w:p w14:paraId="33A5A03B" w14:textId="77777777" w:rsidR="004E75DC" w:rsidRPr="00DD1DFA" w:rsidRDefault="004E75DC" w:rsidP="00D810F6">
      <w:pPr>
        <w:pStyle w:val="Bullet1"/>
        <w:numPr>
          <w:ilvl w:val="0"/>
          <w:numId w:val="28"/>
        </w:numPr>
        <w:tabs>
          <w:tab w:val="clear" w:pos="1417"/>
          <w:tab w:val="num" w:pos="1157"/>
        </w:tabs>
        <w:rPr>
          <w:rFonts w:ascii="Calibri" w:eastAsia="Times New Roman" w:hAnsi="Calibri"/>
          <w:noProof/>
        </w:rPr>
      </w:pPr>
      <w:r w:rsidRPr="00DD1DFA">
        <w:rPr>
          <w:noProof/>
        </w:rPr>
        <w:t>Horyzontalne badanie internetowe (badanie dotyczące kwestii horyzontalnych)</w:t>
      </w:r>
      <w:r w:rsidRPr="00DD1DFA">
        <w:rPr>
          <w:rStyle w:val="Odwoanieprzypisudolnego"/>
          <w:noProof/>
        </w:rPr>
        <w:footnoteReference w:id="25"/>
      </w:r>
    </w:p>
    <w:p w14:paraId="7400CCB3" w14:textId="7775C98C" w:rsidR="004E75DC" w:rsidRPr="00DD1DFA" w:rsidRDefault="004E75DC" w:rsidP="004E75DC">
      <w:pPr>
        <w:spacing w:before="0" w:after="240"/>
        <w:rPr>
          <w:rFonts w:eastAsia="Calibri"/>
          <w:noProof/>
        </w:rPr>
      </w:pPr>
      <w:r w:rsidRPr="00DD1DFA">
        <w:rPr>
          <w:noProof/>
        </w:rPr>
        <w:t>Badanie horyzontalne było ukierunkowane na wybranych ekspertów</w:t>
      </w:r>
      <w:r w:rsidR="00DD1DFA" w:rsidRPr="00DD1DFA">
        <w:rPr>
          <w:noProof/>
        </w:rPr>
        <w:t xml:space="preserve"> i</w:t>
      </w:r>
      <w:r w:rsidR="00DD1DFA">
        <w:rPr>
          <w:noProof/>
        </w:rPr>
        <w:t> </w:t>
      </w:r>
      <w:r w:rsidR="00DD1DFA" w:rsidRPr="00DD1DFA">
        <w:rPr>
          <w:noProof/>
        </w:rPr>
        <w:t>mia</w:t>
      </w:r>
      <w:r w:rsidRPr="00DD1DFA">
        <w:rPr>
          <w:noProof/>
        </w:rPr>
        <w:t>ło na celu określenie sposobu rozwiązania poszczególnych kwestii horyzontalnych zidentyfikowanych podczas oceny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aby zebrać dane, które zostaną wykorzystane do dalszego dopracowania wariantów strategicznych.</w:t>
      </w:r>
    </w:p>
    <w:p w14:paraId="5DB9E3FD" w14:textId="501B9D70" w:rsidR="004E75DC" w:rsidRPr="00DD1DFA" w:rsidRDefault="004E75DC" w:rsidP="004E75DC">
      <w:pPr>
        <w:pStyle w:val="Bullet1"/>
        <w:tabs>
          <w:tab w:val="clear" w:pos="1417"/>
          <w:tab w:val="num" w:pos="1157"/>
        </w:tabs>
        <w:ind w:left="1134" w:hanging="283"/>
        <w:rPr>
          <w:rFonts w:ascii="Calibri" w:eastAsia="Times New Roman" w:hAnsi="Calibri"/>
          <w:noProof/>
        </w:rPr>
      </w:pPr>
      <w:r w:rsidRPr="00DD1DFA">
        <w:rPr>
          <w:noProof/>
        </w:rPr>
        <w:t>W marcu</w:t>
      </w:r>
      <w:r w:rsidR="00DD1DFA" w:rsidRPr="00DD1DFA">
        <w:rPr>
          <w:noProof/>
        </w:rPr>
        <w:t xml:space="preserve"> i</w:t>
      </w:r>
      <w:r w:rsidR="00DD1DFA">
        <w:rPr>
          <w:noProof/>
        </w:rPr>
        <w:t> </w:t>
      </w:r>
      <w:r w:rsidR="00DD1DFA" w:rsidRPr="00DD1DFA">
        <w:rPr>
          <w:noProof/>
        </w:rPr>
        <w:t>wrz</w:t>
      </w:r>
      <w:r w:rsidRPr="00DD1DFA">
        <w:rPr>
          <w:noProof/>
        </w:rPr>
        <w:t>eśniu 2020</w:t>
      </w:r>
      <w:r w:rsidR="00DD1DFA" w:rsidRPr="00DD1DFA">
        <w:rPr>
          <w:noProof/>
        </w:rPr>
        <w:t> </w:t>
      </w:r>
      <w:r w:rsidRPr="00DD1DFA">
        <w:rPr>
          <w:noProof/>
        </w:rPr>
        <w:t>r. odbyły się dwa specjalne spotkania</w:t>
      </w:r>
      <w:r w:rsidR="00DD1DFA" w:rsidRPr="00DD1DFA">
        <w:rPr>
          <w:noProof/>
        </w:rPr>
        <w:t xml:space="preserve"> z</w:t>
      </w:r>
      <w:r w:rsidR="00DD1DFA">
        <w:rPr>
          <w:noProof/>
        </w:rPr>
        <w:t> </w:t>
      </w:r>
      <w:r w:rsidR="00DD1DFA" w:rsidRPr="00DD1DFA">
        <w:rPr>
          <w:noProof/>
        </w:rPr>
        <w:t>eks</w:t>
      </w:r>
      <w:r w:rsidRPr="00DD1DFA">
        <w:rPr>
          <w:noProof/>
        </w:rPr>
        <w:t>pertami</w:t>
      </w:r>
      <w:r w:rsidR="00DD1DFA" w:rsidRPr="00DD1DFA">
        <w:rPr>
          <w:noProof/>
        </w:rPr>
        <w:t xml:space="preserve"> z</w:t>
      </w:r>
      <w:r w:rsidR="00DD1DFA">
        <w:rPr>
          <w:noProof/>
        </w:rPr>
        <w:t> </w:t>
      </w:r>
      <w:r w:rsidR="00DD1DFA" w:rsidRPr="00DD1DFA">
        <w:rPr>
          <w:noProof/>
        </w:rPr>
        <w:t>pań</w:t>
      </w:r>
      <w:r w:rsidRPr="00DD1DFA">
        <w:rPr>
          <w:noProof/>
        </w:rPr>
        <w:t>stw członkowskich poświęcone przeglądowi rozporządzenia</w:t>
      </w:r>
      <w:r w:rsidR="00DD1DFA" w:rsidRPr="00DD1DFA">
        <w:rPr>
          <w:noProof/>
        </w:rPr>
        <w:t xml:space="preserve"> w</w:t>
      </w:r>
      <w:r w:rsidR="00DD1DFA">
        <w:rPr>
          <w:noProof/>
        </w:rPr>
        <w:t> </w:t>
      </w:r>
      <w:r w:rsidR="00DD1DFA" w:rsidRPr="00DD1DFA">
        <w:rPr>
          <w:noProof/>
        </w:rPr>
        <w:t>spr</w:t>
      </w:r>
      <w:r w:rsidRPr="00DD1DFA">
        <w:rPr>
          <w:noProof/>
        </w:rPr>
        <w:t>awie wyrobów budowlan</w:t>
      </w:r>
      <w:r w:rsidR="00F6156E" w:rsidRPr="00DD1DFA">
        <w:rPr>
          <w:noProof/>
        </w:rPr>
        <w:t>ych</w:t>
      </w:r>
    </w:p>
    <w:p w14:paraId="3F6C4F94" w14:textId="0210E50F" w:rsidR="004E75DC" w:rsidRPr="00DD1DFA" w:rsidRDefault="004E75DC" w:rsidP="004E75DC">
      <w:pPr>
        <w:spacing w:before="0" w:after="240"/>
        <w:rPr>
          <w:rFonts w:eastAsia="Calibri"/>
          <w:noProof/>
        </w:rPr>
      </w:pPr>
      <w:r w:rsidRPr="00DD1DFA">
        <w:rPr>
          <w:noProof/>
        </w:rPr>
        <w:t>Celem spotkań było omówienie procesu</w:t>
      </w:r>
      <w:r w:rsidR="00DD1DFA" w:rsidRPr="00DD1DFA">
        <w:rPr>
          <w:noProof/>
        </w:rPr>
        <w:t xml:space="preserve"> i</w:t>
      </w:r>
      <w:r w:rsidR="00DD1DFA">
        <w:rPr>
          <w:noProof/>
        </w:rPr>
        <w:t> </w:t>
      </w:r>
      <w:r w:rsidR="00DD1DFA" w:rsidRPr="00DD1DFA">
        <w:rPr>
          <w:noProof/>
        </w:rPr>
        <w:t>dok</w:t>
      </w:r>
      <w:r w:rsidRPr="00DD1DFA">
        <w:rPr>
          <w:noProof/>
        </w:rPr>
        <w:t>umentu zawierającego dopracowane warianty orientacyjne</w:t>
      </w:r>
      <w:r w:rsidRPr="00DD1DFA">
        <w:rPr>
          <w:rStyle w:val="Odwoanieprzypisudolnego"/>
          <w:noProof/>
        </w:rPr>
        <w:footnoteReference w:id="26"/>
      </w:r>
      <w:r w:rsidRPr="00DD1DFA">
        <w:rPr>
          <w:noProof/>
        </w:rPr>
        <w:t>,</w:t>
      </w:r>
      <w:r w:rsidR="00DD1DFA" w:rsidRPr="00DD1DFA">
        <w:rPr>
          <w:noProof/>
        </w:rPr>
        <w:t xml:space="preserve"> a</w:t>
      </w:r>
      <w:r w:rsidR="00DD1DFA">
        <w:rPr>
          <w:noProof/>
        </w:rPr>
        <w:t> </w:t>
      </w:r>
      <w:r w:rsidR="00DD1DFA" w:rsidRPr="00DD1DFA">
        <w:rPr>
          <w:noProof/>
        </w:rPr>
        <w:t>tak</w:t>
      </w:r>
      <w:r w:rsidRPr="00DD1DFA">
        <w:rPr>
          <w:noProof/>
        </w:rPr>
        <w:t>że zebranie opinii państw członkowskich na następujące tematy: zakres</w:t>
      </w:r>
      <w:r w:rsidR="00DD1DFA" w:rsidRPr="00DD1DFA">
        <w:rPr>
          <w:noProof/>
        </w:rPr>
        <w:t xml:space="preserve"> i</w:t>
      </w:r>
      <w:r w:rsidR="00DD1DFA">
        <w:rPr>
          <w:noProof/>
        </w:rPr>
        <w:t> </w:t>
      </w:r>
      <w:r w:rsidR="00DD1DFA" w:rsidRPr="00DD1DFA">
        <w:rPr>
          <w:noProof/>
        </w:rPr>
        <w:t>zwi</w:t>
      </w:r>
      <w:r w:rsidRPr="00DD1DFA">
        <w:rPr>
          <w:noProof/>
        </w:rPr>
        <w:t>ązek</w:t>
      </w:r>
      <w:r w:rsidR="00DD1DFA" w:rsidRPr="00DD1DFA">
        <w:rPr>
          <w:noProof/>
        </w:rPr>
        <w:t xml:space="preserve"> z</w:t>
      </w:r>
      <w:r w:rsidR="00DD1DFA">
        <w:rPr>
          <w:noProof/>
        </w:rPr>
        <w:t> </w:t>
      </w:r>
      <w:r w:rsidR="00DD1DFA" w:rsidRPr="00DD1DFA">
        <w:rPr>
          <w:noProof/>
        </w:rPr>
        <w:t>inn</w:t>
      </w:r>
      <w:r w:rsidRPr="00DD1DFA">
        <w:rPr>
          <w:noProof/>
        </w:rPr>
        <w:t>ymi przepisami prawa UE, sfera zharmonizowana, prawo krajowe</w:t>
      </w:r>
      <w:r w:rsidR="00DD1DFA" w:rsidRPr="00DD1DFA">
        <w:rPr>
          <w:noProof/>
        </w:rPr>
        <w:t xml:space="preserve"> i</w:t>
      </w:r>
      <w:r w:rsidR="00DD1DFA">
        <w:rPr>
          <w:noProof/>
        </w:rPr>
        <w:t> </w:t>
      </w:r>
      <w:r w:rsidR="00DD1DFA" w:rsidRPr="00DD1DFA">
        <w:rPr>
          <w:noProof/>
        </w:rPr>
        <w:t>pot</w:t>
      </w:r>
      <w:r w:rsidRPr="00DD1DFA">
        <w:rPr>
          <w:noProof/>
        </w:rPr>
        <w:t>rzeby informacyjne, załącznik I (podstawowe wymagania dotyczące obiektów budowlanych) oraz wymogi środowiskowe.</w:t>
      </w:r>
    </w:p>
    <w:p w14:paraId="3935C578" w14:textId="77777777" w:rsidR="004E75DC" w:rsidRPr="00DD1DFA" w:rsidRDefault="004E75DC" w:rsidP="004E75DC">
      <w:pPr>
        <w:pStyle w:val="Bullet1"/>
        <w:keepNext/>
        <w:tabs>
          <w:tab w:val="clear" w:pos="1417"/>
          <w:tab w:val="num" w:pos="1287"/>
        </w:tabs>
        <w:ind w:left="1418"/>
        <w:rPr>
          <w:rFonts w:ascii="Calibri" w:eastAsia="Times New Roman" w:hAnsi="Calibri"/>
          <w:b/>
          <w:bCs/>
          <w:noProof/>
        </w:rPr>
      </w:pPr>
      <w:r w:rsidRPr="00DD1DFA">
        <w:rPr>
          <w:noProof/>
        </w:rPr>
        <w:t>Badanie przedsiębiorstw</w:t>
      </w:r>
      <w:r w:rsidRPr="00DD1DFA">
        <w:rPr>
          <w:rStyle w:val="Odwoanieprzypisudolnego"/>
          <w:noProof/>
        </w:rPr>
        <w:footnoteReference w:id="27"/>
      </w:r>
    </w:p>
    <w:p w14:paraId="5EE56B3A" w14:textId="14A6569A" w:rsidR="004E75DC" w:rsidRPr="00DD1DFA" w:rsidRDefault="004E75DC" w:rsidP="004E75DC">
      <w:pPr>
        <w:spacing w:before="0" w:after="240"/>
        <w:rPr>
          <w:rFonts w:eastAsia="Calibri"/>
          <w:noProof/>
          <w:szCs w:val="24"/>
        </w:rPr>
      </w:pPr>
      <w:r w:rsidRPr="00DD1DFA">
        <w:rPr>
          <w:noProof/>
        </w:rPr>
        <w:t>Celem badania przedsiębiorstw była ocena oczekiwanego wpływu udoskonalonych orientacyjnych wariantów strategicznych na przedsiębiorstwa</w:t>
      </w:r>
      <w:r w:rsidR="00DD1DFA" w:rsidRPr="00DD1DFA">
        <w:rPr>
          <w:noProof/>
        </w:rPr>
        <w:t xml:space="preserve"> w</w:t>
      </w:r>
      <w:r w:rsidR="00DD1DFA">
        <w:rPr>
          <w:noProof/>
        </w:rPr>
        <w:t> </w:t>
      </w:r>
      <w:r w:rsidR="00DD1DFA" w:rsidRPr="00DD1DFA">
        <w:rPr>
          <w:noProof/>
        </w:rPr>
        <w:t>eur</w:t>
      </w:r>
      <w:r w:rsidRPr="00DD1DFA">
        <w:rPr>
          <w:noProof/>
        </w:rPr>
        <w:t>opejskim sektorze wyrobów budowlanych. Badanie było skierowane do podmiotów gospodarczych działających</w:t>
      </w:r>
      <w:r w:rsidR="00DD1DFA" w:rsidRPr="00DD1DFA">
        <w:rPr>
          <w:noProof/>
        </w:rPr>
        <w:t xml:space="preserve"> w</w:t>
      </w:r>
      <w:r w:rsidR="00DD1DFA">
        <w:rPr>
          <w:noProof/>
        </w:rPr>
        <w:t> </w:t>
      </w:r>
      <w:r w:rsidR="00DD1DFA" w:rsidRPr="00DD1DFA">
        <w:rPr>
          <w:noProof/>
        </w:rPr>
        <w:t>tym</w:t>
      </w:r>
      <w:r w:rsidRPr="00DD1DFA">
        <w:rPr>
          <w:noProof/>
        </w:rPr>
        <w:t xml:space="preserve"> sektorze. </w:t>
      </w:r>
    </w:p>
    <w:p w14:paraId="224F79B9" w14:textId="77777777" w:rsidR="004E75DC" w:rsidRPr="00DD1DFA" w:rsidRDefault="004E75DC" w:rsidP="004E75DC">
      <w:pPr>
        <w:pStyle w:val="Bullet1"/>
        <w:keepNext/>
        <w:tabs>
          <w:tab w:val="clear" w:pos="1417"/>
          <w:tab w:val="num" w:pos="1287"/>
        </w:tabs>
        <w:ind w:left="1418"/>
        <w:rPr>
          <w:b/>
          <w:bCs/>
          <w:noProof/>
        </w:rPr>
      </w:pPr>
      <w:r w:rsidRPr="00DD1DFA">
        <w:rPr>
          <w:noProof/>
          <w:bdr w:val="none" w:sz="0" w:space="0" w:color="auto" w:frame="1"/>
        </w:rPr>
        <w:t>Konsultacje publiczne</w:t>
      </w:r>
      <w:r w:rsidRPr="00DD1DFA">
        <w:rPr>
          <w:rStyle w:val="Odwoanieprzypisudolnego"/>
          <w:noProof/>
        </w:rPr>
        <w:footnoteReference w:id="28"/>
      </w:r>
    </w:p>
    <w:p w14:paraId="5DFD6607" w14:textId="5D5BB107" w:rsidR="004E75DC" w:rsidRPr="00DD1DFA" w:rsidRDefault="004E75DC" w:rsidP="004E75DC">
      <w:pPr>
        <w:rPr>
          <w:rFonts w:eastAsia="Calibri"/>
          <w:noProof/>
        </w:rPr>
      </w:pPr>
      <w:r w:rsidRPr="00DD1DFA">
        <w:rPr>
          <w:noProof/>
        </w:rPr>
        <w:t>Konsultacje publiczne wykazały, że wszystkie grupy zainteresowanych stron zdecydowanie odrzuciły uchylenie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(wariant strategiczny E)</w:t>
      </w:r>
      <w:r w:rsidR="00DD1DFA" w:rsidRPr="00DD1DFA">
        <w:rPr>
          <w:noProof/>
        </w:rPr>
        <w:t>. W</w:t>
      </w:r>
      <w:r w:rsidR="00DD1DFA">
        <w:rPr>
          <w:noProof/>
        </w:rPr>
        <w:t> </w:t>
      </w:r>
      <w:r w:rsidR="00DD1DFA" w:rsidRPr="00DD1DFA">
        <w:rPr>
          <w:noProof/>
        </w:rPr>
        <w:t>wię</w:t>
      </w:r>
      <w:r w:rsidRPr="00DD1DFA">
        <w:rPr>
          <w:noProof/>
        </w:rPr>
        <w:t>kszości grup zainteresowanych stron największe grupy opowiadały się za utrzymaniem obecnego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(tj. podstawowego wariantu strategicznego A). Znaczna część grup zainteresowanych stron preferowała rewizję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(tj. warianty strategiczne B, C lub D)</w:t>
      </w:r>
      <w:r w:rsidRPr="00DD1DFA">
        <w:rPr>
          <w:rStyle w:val="Odwoanieprzypisudolnego"/>
          <w:noProof/>
        </w:rPr>
        <w:footnoteReference w:id="29"/>
      </w:r>
      <w:r w:rsidRPr="00DD1DFA">
        <w:rPr>
          <w:noProof/>
        </w:rPr>
        <w:t xml:space="preserve">. </w:t>
      </w:r>
    </w:p>
    <w:p w14:paraId="5D4000BE" w14:textId="0B52245A" w:rsidR="00AA79E1" w:rsidRPr="00DD1DFA" w:rsidRDefault="004E75DC" w:rsidP="004E75DC">
      <w:pPr>
        <w:rPr>
          <w:rFonts w:eastAsia="Calibri"/>
          <w:noProof/>
        </w:rPr>
      </w:pPr>
      <w:r w:rsidRPr="00DD1DFA">
        <w:rPr>
          <w:noProof/>
        </w:rPr>
        <w:t>Ponadto badanie przedsiębiorstw wykazało, że chociaż podmioty gospodarcze zasadniczo popierają obecne rozporządzenie</w:t>
      </w:r>
      <w:r w:rsidR="00DD1DFA" w:rsidRPr="00DD1DFA">
        <w:rPr>
          <w:noProof/>
        </w:rPr>
        <w:t xml:space="preserve"> w</w:t>
      </w:r>
      <w:r w:rsidR="00DD1DFA">
        <w:rPr>
          <w:noProof/>
        </w:rPr>
        <w:t> </w:t>
      </w:r>
      <w:r w:rsidR="00DD1DFA" w:rsidRPr="00DD1DFA">
        <w:rPr>
          <w:noProof/>
        </w:rPr>
        <w:t>spr</w:t>
      </w:r>
      <w:r w:rsidRPr="00DD1DFA">
        <w:rPr>
          <w:noProof/>
        </w:rPr>
        <w:t>awie wyrobów budowlanych, to jednak zwróciły uwagę na szereg kwestii, które należało rozwiązać</w:t>
      </w:r>
      <w:r w:rsidR="00DD1DFA" w:rsidRPr="00DD1DFA">
        <w:rPr>
          <w:noProof/>
        </w:rPr>
        <w:t xml:space="preserve"> i</w:t>
      </w:r>
      <w:r w:rsidR="00DD1DFA">
        <w:rPr>
          <w:noProof/>
        </w:rPr>
        <w:t> </w:t>
      </w:r>
      <w:r w:rsidR="00DD1DFA" w:rsidRPr="00DD1DFA">
        <w:rPr>
          <w:noProof/>
        </w:rPr>
        <w:t>któ</w:t>
      </w:r>
      <w:r w:rsidRPr="00DD1DFA">
        <w:rPr>
          <w:noProof/>
        </w:rPr>
        <w:t>re wymagały rewizji. Dotyczyło to przede wszystkim procesu normalizacji.</w:t>
      </w:r>
    </w:p>
    <w:p w14:paraId="7B696FEE" w14:textId="00ECD32D" w:rsidR="00AA79E1" w:rsidRPr="00DD1DFA" w:rsidRDefault="00AA79E1" w:rsidP="00AA79E1">
      <w:pPr>
        <w:pStyle w:val="ManualHeading2"/>
        <w:rPr>
          <w:rFonts w:eastAsia="Calibri"/>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Gromadzenie</w:t>
      </w:r>
      <w:r w:rsidR="00DD1DFA" w:rsidRPr="00DD1DFA">
        <w:rPr>
          <w:noProof/>
          <w:bdr w:val="none" w:sz="0" w:space="0" w:color="auto" w:frame="1"/>
        </w:rPr>
        <w:t xml:space="preserve"> i</w:t>
      </w:r>
      <w:r w:rsidR="00DD1DFA">
        <w:rPr>
          <w:noProof/>
          <w:bdr w:val="none" w:sz="0" w:space="0" w:color="auto" w:frame="1"/>
        </w:rPr>
        <w:t> </w:t>
      </w:r>
      <w:r w:rsidR="00DD1DFA" w:rsidRPr="00DD1DFA">
        <w:rPr>
          <w:noProof/>
          <w:bdr w:val="none" w:sz="0" w:space="0" w:color="auto" w:frame="1"/>
        </w:rPr>
        <w:t>wyk</w:t>
      </w:r>
      <w:r w:rsidRPr="00DD1DFA">
        <w:rPr>
          <w:noProof/>
          <w:bdr w:val="none" w:sz="0" w:space="0" w:color="auto" w:frame="1"/>
        </w:rPr>
        <w:t>orzystanie wiedzy eksperckiej</w:t>
      </w:r>
    </w:p>
    <w:p w14:paraId="16F807C8" w14:textId="3CACF37F" w:rsidR="004E75DC" w:rsidRPr="00DD1DFA" w:rsidRDefault="004E75DC" w:rsidP="004E75DC">
      <w:pPr>
        <w:rPr>
          <w:noProof/>
        </w:rPr>
      </w:pPr>
      <w:r w:rsidRPr="00DD1DFA">
        <w:rPr>
          <w:noProof/>
        </w:rPr>
        <w:t>Ilościowa</w:t>
      </w:r>
      <w:r w:rsidR="00DD1DFA" w:rsidRPr="00DD1DFA">
        <w:rPr>
          <w:noProof/>
        </w:rPr>
        <w:t xml:space="preserve"> i</w:t>
      </w:r>
      <w:r w:rsidR="00DD1DFA">
        <w:rPr>
          <w:noProof/>
        </w:rPr>
        <w:t> </w:t>
      </w:r>
      <w:r w:rsidR="00DD1DFA" w:rsidRPr="00DD1DFA">
        <w:rPr>
          <w:noProof/>
        </w:rPr>
        <w:t>jak</w:t>
      </w:r>
      <w:r w:rsidRPr="00DD1DFA">
        <w:rPr>
          <w:noProof/>
        </w:rPr>
        <w:t>ościowa analiza skutków różnych wariantów została uzupełniona specjalną umową</w:t>
      </w:r>
      <w:r w:rsidR="00DD1DFA" w:rsidRPr="00DD1DFA">
        <w:rPr>
          <w:noProof/>
        </w:rPr>
        <w:t xml:space="preserve"> o</w:t>
      </w:r>
      <w:r w:rsidR="00DD1DFA">
        <w:rPr>
          <w:noProof/>
        </w:rPr>
        <w:t> </w:t>
      </w:r>
      <w:r w:rsidR="00DD1DFA" w:rsidRPr="00DD1DFA">
        <w:rPr>
          <w:noProof/>
        </w:rPr>
        <w:t>wsp</w:t>
      </w:r>
      <w:r w:rsidRPr="00DD1DFA">
        <w:rPr>
          <w:noProof/>
        </w:rPr>
        <w:t>arcie techniczne</w:t>
      </w:r>
      <w:r w:rsidRPr="00DD1DFA">
        <w:rPr>
          <w:rStyle w:val="Odwoanieprzypisudolnego"/>
          <w:noProof/>
        </w:rPr>
        <w:footnoteReference w:id="30"/>
      </w:r>
      <w:r w:rsidRPr="00DD1DFA">
        <w:rPr>
          <w:noProof/>
        </w:rPr>
        <w:t xml:space="preserve">. </w:t>
      </w:r>
    </w:p>
    <w:p w14:paraId="444F431F" w14:textId="535B4BCC" w:rsidR="004E75DC" w:rsidRPr="00DD1DFA" w:rsidRDefault="004E75DC" w:rsidP="004E75DC">
      <w:pPr>
        <w:spacing w:before="0" w:after="240"/>
        <w:rPr>
          <w:rFonts w:eastAsia="Calibri"/>
          <w:noProof/>
          <w:szCs w:val="24"/>
        </w:rPr>
      </w:pPr>
      <w:r w:rsidRPr="00DD1DFA">
        <w:rPr>
          <w:noProof/>
        </w:rPr>
        <w:t>W ramach badania zebrano</w:t>
      </w:r>
      <w:r w:rsidR="00DD1DFA" w:rsidRPr="00DD1DFA">
        <w:rPr>
          <w:noProof/>
        </w:rPr>
        <w:t xml:space="preserve"> i</w:t>
      </w:r>
      <w:r w:rsidR="00DD1DFA">
        <w:rPr>
          <w:noProof/>
        </w:rPr>
        <w:t> </w:t>
      </w:r>
      <w:r w:rsidR="00DD1DFA" w:rsidRPr="00DD1DFA">
        <w:rPr>
          <w:noProof/>
        </w:rPr>
        <w:t>uzu</w:t>
      </w:r>
      <w:r w:rsidRPr="00DD1DFA">
        <w:rPr>
          <w:noProof/>
        </w:rPr>
        <w:t>pełniono dostępne dowody, aby przeanalizować warianty strategiczne</w:t>
      </w:r>
      <w:r w:rsidR="00DD1DFA" w:rsidRPr="00DD1DFA">
        <w:rPr>
          <w:noProof/>
        </w:rPr>
        <w:t xml:space="preserve"> i</w:t>
      </w:r>
      <w:r w:rsidR="00DD1DFA">
        <w:rPr>
          <w:noProof/>
        </w:rPr>
        <w:t> </w:t>
      </w:r>
      <w:r w:rsidR="00DD1DFA" w:rsidRPr="00DD1DFA">
        <w:rPr>
          <w:noProof/>
        </w:rPr>
        <w:t>oce</w:t>
      </w:r>
      <w:r w:rsidRPr="00DD1DFA">
        <w:rPr>
          <w:noProof/>
        </w:rPr>
        <w:t>nić ich ewentualne skutki. Warianty strategiczne przeanalizowano</w:t>
      </w:r>
      <w:r w:rsidR="00DD1DFA" w:rsidRPr="00DD1DFA">
        <w:rPr>
          <w:noProof/>
        </w:rPr>
        <w:t xml:space="preserve"> w</w:t>
      </w:r>
      <w:r w:rsidR="00DD1DFA">
        <w:rPr>
          <w:noProof/>
        </w:rPr>
        <w:t> </w:t>
      </w:r>
      <w:r w:rsidR="00DD1DFA" w:rsidRPr="00DD1DFA">
        <w:rPr>
          <w:noProof/>
        </w:rPr>
        <w:t>cel</w:t>
      </w:r>
      <w:r w:rsidRPr="00DD1DFA">
        <w:rPr>
          <w:noProof/>
        </w:rPr>
        <w:t>u oceny preferencji</w:t>
      </w:r>
      <w:r w:rsidR="00DD1DFA" w:rsidRPr="00DD1DFA">
        <w:rPr>
          <w:noProof/>
        </w:rPr>
        <w:t xml:space="preserve"> i</w:t>
      </w:r>
      <w:r w:rsidR="00DD1DFA">
        <w:rPr>
          <w:noProof/>
        </w:rPr>
        <w:t> </w:t>
      </w:r>
      <w:r w:rsidR="00DD1DFA" w:rsidRPr="00DD1DFA">
        <w:rPr>
          <w:noProof/>
        </w:rPr>
        <w:t>sku</w:t>
      </w:r>
      <w:r w:rsidRPr="00DD1DFA">
        <w:rPr>
          <w:noProof/>
        </w:rPr>
        <w:t>tków głównie na podstawie wyników badań</w:t>
      </w:r>
      <w:r w:rsidR="00DD1DFA" w:rsidRPr="00DD1DFA">
        <w:rPr>
          <w:noProof/>
        </w:rPr>
        <w:t xml:space="preserve"> i</w:t>
      </w:r>
      <w:r w:rsidR="00DD1DFA">
        <w:rPr>
          <w:noProof/>
        </w:rPr>
        <w:t> </w:t>
      </w:r>
      <w:r w:rsidR="00DD1DFA" w:rsidRPr="00DD1DFA">
        <w:rPr>
          <w:noProof/>
        </w:rPr>
        <w:t>kon</w:t>
      </w:r>
      <w:r w:rsidRPr="00DD1DFA">
        <w:rPr>
          <w:noProof/>
        </w:rPr>
        <w:t>sultacji publicznych.</w:t>
      </w:r>
    </w:p>
    <w:p w14:paraId="2FCED055" w14:textId="41BB0003" w:rsidR="00AA79E1" w:rsidRPr="00DD1DFA" w:rsidRDefault="004E75DC" w:rsidP="004E75DC">
      <w:pPr>
        <w:spacing w:before="0" w:after="240"/>
        <w:rPr>
          <w:rFonts w:eastAsia="Calibri"/>
          <w:noProof/>
          <w:szCs w:val="24"/>
        </w:rPr>
      </w:pPr>
      <w:r w:rsidRPr="00DD1DFA">
        <w:rPr>
          <w:noProof/>
        </w:rPr>
        <w:t>Ponadto, dzięki odpowiednim sprawozdaniom, badaniom</w:t>
      </w:r>
      <w:r w:rsidR="00DD1DFA" w:rsidRPr="00DD1DFA">
        <w:rPr>
          <w:noProof/>
        </w:rPr>
        <w:t xml:space="preserve"> i</w:t>
      </w:r>
      <w:r w:rsidR="00DD1DFA">
        <w:rPr>
          <w:noProof/>
        </w:rPr>
        <w:t> </w:t>
      </w:r>
      <w:r w:rsidR="00DD1DFA" w:rsidRPr="00DD1DFA">
        <w:rPr>
          <w:noProof/>
        </w:rPr>
        <w:t>spo</w:t>
      </w:r>
      <w:r w:rsidRPr="00DD1DFA">
        <w:rPr>
          <w:noProof/>
        </w:rPr>
        <w:t>tkaniom</w:t>
      </w:r>
      <w:r w:rsidR="00DD1DFA" w:rsidRPr="00DD1DFA">
        <w:rPr>
          <w:noProof/>
        </w:rPr>
        <w:t xml:space="preserve"> z</w:t>
      </w:r>
      <w:r w:rsidR="00DD1DFA">
        <w:rPr>
          <w:noProof/>
        </w:rPr>
        <w:t> </w:t>
      </w:r>
      <w:r w:rsidR="00DD1DFA" w:rsidRPr="00DD1DFA">
        <w:rPr>
          <w:noProof/>
        </w:rPr>
        <w:t>prz</w:t>
      </w:r>
      <w:r w:rsidRPr="00DD1DFA">
        <w:rPr>
          <w:noProof/>
        </w:rPr>
        <w:t>edstawicielami państw członkowskich, stowarzyszeń przedsiębiorców, przedsiębiorstw, organów technicznych</w:t>
      </w:r>
      <w:r w:rsidR="00DD1DFA" w:rsidRPr="00DD1DFA">
        <w:rPr>
          <w:noProof/>
        </w:rPr>
        <w:t xml:space="preserve"> i</w:t>
      </w:r>
      <w:r w:rsidR="00DD1DFA">
        <w:rPr>
          <w:noProof/>
        </w:rPr>
        <w:t> </w:t>
      </w:r>
      <w:r w:rsidR="00DD1DFA" w:rsidRPr="00DD1DFA">
        <w:rPr>
          <w:noProof/>
        </w:rPr>
        <w:t>jed</w:t>
      </w:r>
      <w:r w:rsidRPr="00DD1DFA">
        <w:rPr>
          <w:noProof/>
        </w:rPr>
        <w:t>nostek badawczych, uzyskano dodatkową wiedzę fachową.</w:t>
      </w:r>
    </w:p>
    <w:p w14:paraId="2C1B1F14" w14:textId="77777777" w:rsidR="00AA79E1" w:rsidRPr="00DD1DFA" w:rsidRDefault="00AA79E1" w:rsidP="00AA79E1">
      <w:pPr>
        <w:pStyle w:val="ManualHeading2"/>
        <w:rPr>
          <w:rFonts w:eastAsia="Calibri"/>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Ocena skutków</w:t>
      </w:r>
    </w:p>
    <w:p w14:paraId="2783FFB5" w14:textId="09352F05" w:rsidR="004E75DC" w:rsidRPr="00DD1DFA" w:rsidRDefault="004E75DC" w:rsidP="004E75DC">
      <w:pPr>
        <w:rPr>
          <w:noProof/>
        </w:rPr>
      </w:pPr>
      <w:r w:rsidRPr="00DD1DFA">
        <w:rPr>
          <w:noProof/>
        </w:rPr>
        <w:t>Komisja przeprowadziła ocenę skutków rewizji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w:t>
      </w:r>
      <w:r w:rsidR="00DD1DFA" w:rsidRPr="00DD1DFA">
        <w:rPr>
          <w:noProof/>
        </w:rPr>
        <w:t>. W</w:t>
      </w:r>
      <w:r w:rsidR="00DD1DFA">
        <w:rPr>
          <w:noProof/>
        </w:rPr>
        <w:t> </w:t>
      </w:r>
      <w:r w:rsidR="00DD1DFA" w:rsidRPr="00DD1DFA">
        <w:rPr>
          <w:noProof/>
        </w:rPr>
        <w:t>nas</w:t>
      </w:r>
      <w:r w:rsidRPr="00DD1DFA">
        <w:rPr>
          <w:noProof/>
        </w:rPr>
        <w:t>tępstwie ustosunkowania się do uwag Rady ds. Kontroli Regulacyjnej zawartych</w:t>
      </w:r>
      <w:r w:rsidR="00DD1DFA" w:rsidRPr="00DD1DFA">
        <w:rPr>
          <w:noProof/>
        </w:rPr>
        <w:t xml:space="preserve"> w</w:t>
      </w:r>
      <w:r w:rsidR="00DD1DFA">
        <w:rPr>
          <w:noProof/>
        </w:rPr>
        <w:t> </w:t>
      </w:r>
      <w:r w:rsidR="00DD1DFA" w:rsidRPr="00DD1DFA">
        <w:rPr>
          <w:noProof/>
        </w:rPr>
        <w:t>jej</w:t>
      </w:r>
      <w:r w:rsidRPr="00DD1DFA">
        <w:rPr>
          <w:noProof/>
        </w:rPr>
        <w:t xml:space="preserve"> pierwszej negatywnej opinii</w:t>
      </w:r>
      <w:r w:rsidR="00DD1DFA" w:rsidRPr="00DD1DFA">
        <w:rPr>
          <w:noProof/>
        </w:rPr>
        <w:t xml:space="preserve"> z</w:t>
      </w:r>
      <w:r w:rsidR="00DD1DFA">
        <w:rPr>
          <w:noProof/>
        </w:rPr>
        <w:t> </w:t>
      </w:r>
      <w:r w:rsidR="00DD1DFA" w:rsidRPr="00DD1DFA">
        <w:rPr>
          <w:noProof/>
        </w:rPr>
        <w:t>dni</w:t>
      </w:r>
      <w:r w:rsidRPr="00DD1DFA">
        <w:rPr>
          <w:noProof/>
        </w:rPr>
        <w:t>a 26 lipca 2021</w:t>
      </w:r>
      <w:r w:rsidR="00DD1DFA" w:rsidRPr="00DD1DFA">
        <w:rPr>
          <w:noProof/>
        </w:rPr>
        <w:t> </w:t>
      </w:r>
      <w:r w:rsidRPr="00DD1DFA">
        <w:rPr>
          <w:noProof/>
        </w:rPr>
        <w:t>r., ocena skutków otrzymała</w:t>
      </w:r>
      <w:r w:rsidR="00DD1DFA" w:rsidRPr="00DD1DFA">
        <w:rPr>
          <w:noProof/>
        </w:rPr>
        <w:t xml:space="preserve"> w</w:t>
      </w:r>
      <w:r w:rsidR="00DD1DFA">
        <w:rPr>
          <w:noProof/>
        </w:rPr>
        <w:t> </w:t>
      </w:r>
      <w:r w:rsidR="00DD1DFA" w:rsidRPr="00DD1DFA">
        <w:rPr>
          <w:noProof/>
        </w:rPr>
        <w:t>dni</w:t>
      </w:r>
      <w:r w:rsidRPr="00DD1DFA">
        <w:rPr>
          <w:noProof/>
        </w:rPr>
        <w:t>u 26 stycznia 2022</w:t>
      </w:r>
      <w:r w:rsidR="00DD1DFA" w:rsidRPr="00DD1DFA">
        <w:rPr>
          <w:noProof/>
        </w:rPr>
        <w:t> </w:t>
      </w:r>
      <w:r w:rsidRPr="00DD1DFA">
        <w:rPr>
          <w:noProof/>
        </w:rPr>
        <w:t>r. pozytywną opinię</w:t>
      </w:r>
      <w:r w:rsidR="00DD1DFA" w:rsidRPr="00DD1DFA">
        <w:rPr>
          <w:noProof/>
        </w:rPr>
        <w:t xml:space="preserve"> z</w:t>
      </w:r>
      <w:r w:rsidR="00DD1DFA">
        <w:rPr>
          <w:noProof/>
        </w:rPr>
        <w:t> </w:t>
      </w:r>
      <w:r w:rsidR="00DD1DFA" w:rsidRPr="00DD1DFA">
        <w:rPr>
          <w:noProof/>
        </w:rPr>
        <w:t>zas</w:t>
      </w:r>
      <w:r w:rsidRPr="00DD1DFA">
        <w:rPr>
          <w:noProof/>
        </w:rPr>
        <w:t>trzeżeniami. Opinie Rady, jak również wersja ostateczna oceny skutków oraz jej streszczenie, są publikowane wraz</w:t>
      </w:r>
      <w:r w:rsidR="00DD1DFA" w:rsidRPr="00DD1DFA">
        <w:rPr>
          <w:noProof/>
        </w:rPr>
        <w:t xml:space="preserve"> z</w:t>
      </w:r>
      <w:r w:rsidR="00DD1DFA">
        <w:rPr>
          <w:noProof/>
        </w:rPr>
        <w:t> </w:t>
      </w:r>
      <w:r w:rsidR="00DD1DFA" w:rsidRPr="00DD1DFA">
        <w:rPr>
          <w:noProof/>
        </w:rPr>
        <w:t>nin</w:t>
      </w:r>
      <w:r w:rsidRPr="00DD1DFA">
        <w:rPr>
          <w:noProof/>
        </w:rPr>
        <w:t>iejszym wnioskiem.</w:t>
      </w:r>
    </w:p>
    <w:p w14:paraId="0DF59A80" w14:textId="0C985501" w:rsidR="004E75DC" w:rsidRPr="00DD1DFA" w:rsidRDefault="004E75DC" w:rsidP="004E75DC">
      <w:pPr>
        <w:spacing w:before="0" w:after="240"/>
        <w:rPr>
          <w:rFonts w:eastAsia="Times New Roman"/>
          <w:noProof/>
          <w:szCs w:val="24"/>
        </w:rPr>
      </w:pPr>
      <w:r w:rsidRPr="00DD1DFA">
        <w:rPr>
          <w:noProof/>
        </w:rPr>
        <w:t>W ocenie skutków zbadano</w:t>
      </w:r>
      <w:r w:rsidR="00DD1DFA" w:rsidRPr="00DD1DFA">
        <w:rPr>
          <w:noProof/>
        </w:rPr>
        <w:t xml:space="preserve"> i</w:t>
      </w:r>
      <w:r w:rsidR="00DD1DFA">
        <w:rPr>
          <w:noProof/>
        </w:rPr>
        <w:t> </w:t>
      </w:r>
      <w:r w:rsidR="00DD1DFA" w:rsidRPr="00DD1DFA">
        <w:rPr>
          <w:noProof/>
        </w:rPr>
        <w:t>por</w:t>
      </w:r>
      <w:r w:rsidRPr="00DD1DFA">
        <w:rPr>
          <w:noProof/>
        </w:rPr>
        <w:t>ównano pięć wariantów strategicznych mających na celu rozwiązanie problemów związanych</w:t>
      </w:r>
      <w:r w:rsidR="00DD1DFA" w:rsidRPr="00DD1DFA">
        <w:rPr>
          <w:noProof/>
        </w:rPr>
        <w:t xml:space="preserve"> z</w:t>
      </w:r>
      <w:r w:rsidR="00DD1DFA">
        <w:rPr>
          <w:noProof/>
        </w:rPr>
        <w:t> </w:t>
      </w:r>
      <w:r w:rsidR="00DD1DFA" w:rsidRPr="00DD1DFA">
        <w:rPr>
          <w:noProof/>
        </w:rPr>
        <w:t>roz</w:t>
      </w:r>
      <w:r w:rsidRPr="00DD1DFA">
        <w:rPr>
          <w:noProof/>
        </w:rPr>
        <w:t>porządzeniem</w:t>
      </w:r>
      <w:r w:rsidR="00DD1DFA" w:rsidRPr="00DD1DFA">
        <w:rPr>
          <w:noProof/>
        </w:rPr>
        <w:t xml:space="preserve"> w</w:t>
      </w:r>
      <w:r w:rsidR="00DD1DFA">
        <w:rPr>
          <w:noProof/>
        </w:rPr>
        <w:t> </w:t>
      </w:r>
      <w:r w:rsidR="00DD1DFA" w:rsidRPr="00DD1DFA">
        <w:rPr>
          <w:noProof/>
        </w:rPr>
        <w:t>spr</w:t>
      </w:r>
      <w:r w:rsidRPr="00DD1DFA">
        <w:rPr>
          <w:noProof/>
        </w:rPr>
        <w:t>awie wyrobów budowlanych:</w:t>
      </w:r>
    </w:p>
    <w:p w14:paraId="2234C884" w14:textId="77777777" w:rsidR="004E75DC" w:rsidRPr="00DD1DFA" w:rsidRDefault="004E75DC" w:rsidP="004E75DC">
      <w:pPr>
        <w:keepNext/>
        <w:spacing w:before="0" w:after="240"/>
        <w:rPr>
          <w:rFonts w:eastAsia="Times New Roman"/>
          <w:bCs/>
          <w:i/>
          <w:noProof/>
          <w:szCs w:val="24"/>
        </w:rPr>
      </w:pPr>
      <w:r w:rsidRPr="00DD1DFA">
        <w:rPr>
          <w:bCs/>
          <w:i/>
          <w:noProof/>
          <w:szCs w:val="24"/>
        </w:rPr>
        <w:t>Wariant A – Scenariusz bazowy (bez rewizji)</w:t>
      </w:r>
    </w:p>
    <w:p w14:paraId="5DFD2347" w14:textId="458220E8" w:rsidR="004E75DC" w:rsidRPr="00DD1DFA" w:rsidRDefault="004E75DC" w:rsidP="004E75DC">
      <w:pPr>
        <w:spacing w:before="0" w:after="240"/>
        <w:rPr>
          <w:rFonts w:eastAsia="Times New Roman"/>
          <w:noProof/>
          <w:szCs w:val="24"/>
        </w:rPr>
      </w:pPr>
      <w:r w:rsidRPr="00DD1DFA">
        <w:rPr>
          <w:noProof/>
        </w:rPr>
        <w:t>Scenariusz bazowy zakładał brak rewizji rozporządzenia, tylko usprawnienie wdrażania</w:t>
      </w:r>
      <w:r w:rsidR="00DD1DFA" w:rsidRPr="00DD1DFA">
        <w:rPr>
          <w:noProof/>
        </w:rPr>
        <w:t xml:space="preserve"> w</w:t>
      </w:r>
      <w:r w:rsidR="00DD1DFA">
        <w:rPr>
          <w:noProof/>
        </w:rPr>
        <w:t> </w:t>
      </w:r>
      <w:r w:rsidR="00DD1DFA" w:rsidRPr="00DD1DFA">
        <w:rPr>
          <w:noProof/>
        </w:rPr>
        <w:t>opa</w:t>
      </w:r>
      <w:r w:rsidRPr="00DD1DFA">
        <w:rPr>
          <w:noProof/>
        </w:rPr>
        <w:t>rciu</w:t>
      </w:r>
      <w:r w:rsidR="00DD1DFA" w:rsidRPr="00DD1DFA">
        <w:rPr>
          <w:noProof/>
        </w:rPr>
        <w:t xml:space="preserve"> o</w:t>
      </w:r>
      <w:r w:rsidR="00DD1DFA">
        <w:rPr>
          <w:noProof/>
        </w:rPr>
        <w:t> </w:t>
      </w:r>
      <w:r w:rsidR="00DD1DFA" w:rsidRPr="00DD1DFA">
        <w:rPr>
          <w:noProof/>
        </w:rPr>
        <w:t>wyt</w:t>
      </w:r>
      <w:r w:rsidRPr="00DD1DFA">
        <w:rPr>
          <w:noProof/>
        </w:rPr>
        <w:t>yczne</w:t>
      </w:r>
      <w:r w:rsidR="00DD1DFA" w:rsidRPr="00DD1DFA">
        <w:rPr>
          <w:noProof/>
        </w:rPr>
        <w:t xml:space="preserve"> i</w:t>
      </w:r>
      <w:r w:rsidR="00DD1DFA">
        <w:rPr>
          <w:noProof/>
        </w:rPr>
        <w:t> </w:t>
      </w:r>
      <w:r w:rsidR="00DD1DFA" w:rsidRPr="00DD1DFA">
        <w:rPr>
          <w:noProof/>
        </w:rPr>
        <w:t>inn</w:t>
      </w:r>
      <w:r w:rsidRPr="00DD1DFA">
        <w:rPr>
          <w:noProof/>
        </w:rPr>
        <w:t>e środki prawa miękkiego. Scenariusz bazowy oznaczał zatem kontynuację systemu harmonizacji</w:t>
      </w:r>
      <w:r w:rsidR="00DD1DFA" w:rsidRPr="00DD1DFA">
        <w:rPr>
          <w:noProof/>
        </w:rPr>
        <w:t xml:space="preserve"> i</w:t>
      </w:r>
      <w:r w:rsidR="00DD1DFA">
        <w:rPr>
          <w:noProof/>
        </w:rPr>
        <w:t> </w:t>
      </w:r>
      <w:r w:rsidR="00DD1DFA" w:rsidRPr="00DD1DFA">
        <w:rPr>
          <w:noProof/>
        </w:rPr>
        <w:t>jeg</w:t>
      </w:r>
      <w:r w:rsidRPr="00DD1DFA">
        <w:rPr>
          <w:noProof/>
        </w:rPr>
        <w:t xml:space="preserve">o wdrażania. </w:t>
      </w:r>
    </w:p>
    <w:p w14:paraId="533F44E4" w14:textId="1E3809A8" w:rsidR="004E75DC" w:rsidRPr="00DD1DFA" w:rsidRDefault="004E75DC" w:rsidP="004E75DC">
      <w:pPr>
        <w:spacing w:before="0" w:after="240"/>
        <w:rPr>
          <w:rFonts w:eastAsia="Times New Roman"/>
          <w:bCs/>
          <w:i/>
          <w:noProof/>
          <w:szCs w:val="24"/>
        </w:rPr>
      </w:pPr>
      <w:r w:rsidRPr="00DD1DFA">
        <w:rPr>
          <w:bCs/>
          <w:i/>
          <w:noProof/>
          <w:szCs w:val="24"/>
        </w:rPr>
        <w:t>Wariant B – Poprawienie rozporządzenia</w:t>
      </w:r>
      <w:r w:rsidR="00DD1DFA" w:rsidRPr="00DD1DFA">
        <w:rPr>
          <w:bCs/>
          <w:i/>
          <w:noProof/>
          <w:szCs w:val="24"/>
        </w:rPr>
        <w:t xml:space="preserve"> w</w:t>
      </w:r>
      <w:r w:rsidR="00DD1DFA">
        <w:rPr>
          <w:bCs/>
          <w:i/>
          <w:noProof/>
          <w:szCs w:val="24"/>
        </w:rPr>
        <w:t> </w:t>
      </w:r>
      <w:r w:rsidR="00DD1DFA" w:rsidRPr="00DD1DFA">
        <w:rPr>
          <w:bCs/>
          <w:i/>
          <w:noProof/>
          <w:szCs w:val="24"/>
        </w:rPr>
        <w:t>spr</w:t>
      </w:r>
      <w:r w:rsidRPr="00DD1DFA">
        <w:rPr>
          <w:bCs/>
          <w:i/>
          <w:noProof/>
          <w:szCs w:val="24"/>
        </w:rPr>
        <w:t>awie wyrobów budowlanych</w:t>
      </w:r>
    </w:p>
    <w:p w14:paraId="3D42C076" w14:textId="2D34C317" w:rsidR="004E75DC" w:rsidRPr="00DD1DFA" w:rsidRDefault="004E75DC" w:rsidP="004E75DC">
      <w:pPr>
        <w:spacing w:before="0" w:after="240"/>
        <w:rPr>
          <w:rFonts w:eastAsia="Calibri"/>
          <w:noProof/>
          <w:szCs w:val="24"/>
        </w:rPr>
      </w:pPr>
      <w:r w:rsidRPr="00DD1DFA">
        <w:rPr>
          <w:noProof/>
        </w:rPr>
        <w:t>Wariant B miał na celu rozwiązanie problemów podkreślonych</w:t>
      </w:r>
      <w:r w:rsidR="00DD1DFA" w:rsidRPr="00DD1DFA">
        <w:rPr>
          <w:noProof/>
        </w:rPr>
        <w:t xml:space="preserve"> w</w:t>
      </w:r>
      <w:r w:rsidR="00DD1DFA">
        <w:rPr>
          <w:noProof/>
        </w:rPr>
        <w:t> </w:t>
      </w:r>
      <w:r w:rsidR="00DD1DFA" w:rsidRPr="00DD1DFA">
        <w:rPr>
          <w:noProof/>
        </w:rPr>
        <w:t>oce</w:t>
      </w:r>
      <w:r w:rsidRPr="00DD1DFA">
        <w:rPr>
          <w:noProof/>
        </w:rPr>
        <w:t>nie dzięki następującym działaniom:</w:t>
      </w:r>
    </w:p>
    <w:p w14:paraId="44DE3C58" w14:textId="0BA824C6" w:rsidR="004E75DC" w:rsidRPr="00DD1DFA" w:rsidRDefault="004E75DC" w:rsidP="004E75DC">
      <w:pPr>
        <w:pStyle w:val="Bullet1"/>
        <w:tabs>
          <w:tab w:val="clear" w:pos="1417"/>
          <w:tab w:val="num" w:pos="1287"/>
        </w:tabs>
        <w:ind w:left="1287"/>
        <w:rPr>
          <w:rFonts w:ascii="Calibri" w:eastAsia="Times New Roman" w:hAnsi="Calibri"/>
          <w:noProof/>
          <w:szCs w:val="24"/>
        </w:rPr>
      </w:pPr>
      <w:r w:rsidRPr="00DD1DFA">
        <w:rPr>
          <w:noProof/>
        </w:rPr>
        <w:t>W odpowiedzi na wyzwania związane</w:t>
      </w:r>
      <w:r w:rsidR="00DD1DFA" w:rsidRPr="00DD1DFA">
        <w:rPr>
          <w:noProof/>
        </w:rPr>
        <w:t xml:space="preserve"> z</w:t>
      </w:r>
      <w:r w:rsidR="00DD1DFA">
        <w:rPr>
          <w:noProof/>
        </w:rPr>
        <w:t> </w:t>
      </w:r>
      <w:r w:rsidR="00DD1DFA" w:rsidRPr="00DD1DFA">
        <w:rPr>
          <w:noProof/>
        </w:rPr>
        <w:t>sys</w:t>
      </w:r>
      <w:r w:rsidRPr="00DD1DFA">
        <w:rPr>
          <w:noProof/>
        </w:rPr>
        <w:t>temem harmonizacji technicznej,</w:t>
      </w:r>
      <w:r w:rsidR="00DD1DFA" w:rsidRPr="00DD1DFA">
        <w:rPr>
          <w:noProof/>
        </w:rPr>
        <w:t xml:space="preserve"> w</w:t>
      </w:r>
      <w:r w:rsidR="00DD1DFA">
        <w:rPr>
          <w:noProof/>
        </w:rPr>
        <w:t> </w:t>
      </w:r>
      <w:r w:rsidR="00DD1DFA" w:rsidRPr="00DD1DFA">
        <w:rPr>
          <w:noProof/>
        </w:rPr>
        <w:t>war</w:t>
      </w:r>
      <w:r w:rsidRPr="00DD1DFA">
        <w:rPr>
          <w:noProof/>
        </w:rPr>
        <w:t xml:space="preserve">iancie B wprowadza się </w:t>
      </w:r>
      <w:r w:rsidRPr="00DD1DFA">
        <w:rPr>
          <w:b/>
          <w:bCs/>
          <w:noProof/>
        </w:rPr>
        <w:t>uprawnienie dla Komisji do korzystania</w:t>
      </w:r>
      <w:r w:rsidR="00DD1DFA" w:rsidRPr="00DD1DFA">
        <w:rPr>
          <w:b/>
          <w:bCs/>
          <w:noProof/>
        </w:rPr>
        <w:t xml:space="preserve"> z</w:t>
      </w:r>
      <w:r w:rsidR="00DD1DFA">
        <w:rPr>
          <w:b/>
          <w:bCs/>
          <w:noProof/>
        </w:rPr>
        <w:t> </w:t>
      </w:r>
      <w:r w:rsidR="00DD1DFA" w:rsidRPr="00DD1DFA">
        <w:rPr>
          <w:b/>
          <w:bCs/>
          <w:noProof/>
        </w:rPr>
        <w:t>prz</w:t>
      </w:r>
      <w:r w:rsidRPr="00DD1DFA">
        <w:rPr>
          <w:b/>
          <w:bCs/>
          <w:noProof/>
        </w:rPr>
        <w:t>episu awaryjnego</w:t>
      </w:r>
      <w:r w:rsidR="00DD1DFA" w:rsidRPr="00DD1DFA">
        <w:rPr>
          <w:noProof/>
        </w:rPr>
        <w:t xml:space="preserve"> w</w:t>
      </w:r>
      <w:r w:rsidR="00DD1DFA">
        <w:rPr>
          <w:noProof/>
        </w:rPr>
        <w:t> </w:t>
      </w:r>
      <w:r w:rsidR="00DD1DFA" w:rsidRPr="00DD1DFA">
        <w:rPr>
          <w:noProof/>
        </w:rPr>
        <w:t>prz</w:t>
      </w:r>
      <w:r w:rsidRPr="00DD1DFA">
        <w:rPr>
          <w:noProof/>
        </w:rPr>
        <w:t>ypadku, gdy system normalizacji nie zapewnia norm na czas</w:t>
      </w:r>
      <w:r w:rsidR="00DD1DFA" w:rsidRPr="00DD1DFA">
        <w:rPr>
          <w:noProof/>
        </w:rPr>
        <w:t xml:space="preserve"> i</w:t>
      </w:r>
      <w:r w:rsidR="00DD1DFA">
        <w:rPr>
          <w:noProof/>
        </w:rPr>
        <w:t> </w:t>
      </w:r>
      <w:r w:rsidR="00DD1DFA" w:rsidRPr="00DD1DFA">
        <w:rPr>
          <w:noProof/>
        </w:rPr>
        <w:t>o</w:t>
      </w:r>
      <w:r w:rsidR="00DD1DFA">
        <w:rPr>
          <w:noProof/>
        </w:rPr>
        <w:t> </w:t>
      </w:r>
      <w:r w:rsidR="00DD1DFA" w:rsidRPr="00DD1DFA">
        <w:rPr>
          <w:noProof/>
        </w:rPr>
        <w:t>odp</w:t>
      </w:r>
      <w:r w:rsidRPr="00DD1DFA">
        <w:rPr>
          <w:noProof/>
        </w:rPr>
        <w:t>owiedniej jakości.</w:t>
      </w:r>
    </w:p>
    <w:p w14:paraId="1CBDCEC4" w14:textId="1773FFCE" w:rsidR="004E75DC" w:rsidRPr="00DD1DFA" w:rsidRDefault="004E75DC" w:rsidP="004E75DC">
      <w:pPr>
        <w:pStyle w:val="Bullet1"/>
        <w:tabs>
          <w:tab w:val="clear" w:pos="1417"/>
          <w:tab w:val="num" w:pos="1287"/>
        </w:tabs>
        <w:ind w:left="1287"/>
        <w:rPr>
          <w:rFonts w:ascii="Calibri" w:eastAsia="Times New Roman" w:hAnsi="Calibri"/>
          <w:noProof/>
          <w:szCs w:val="24"/>
        </w:rPr>
      </w:pPr>
      <w:r w:rsidRPr="00DD1DFA">
        <w:rPr>
          <w:noProof/>
        </w:rPr>
        <w:t>Dalsze funkcjonowanie krajowych wymogów</w:t>
      </w:r>
      <w:r w:rsidR="00DD1DFA" w:rsidRPr="00DD1DFA">
        <w:rPr>
          <w:noProof/>
        </w:rPr>
        <w:t xml:space="preserve"> i</w:t>
      </w:r>
      <w:r w:rsidR="00DD1DFA">
        <w:rPr>
          <w:noProof/>
        </w:rPr>
        <w:t> </w:t>
      </w:r>
      <w:r w:rsidR="00DD1DFA" w:rsidRPr="00DD1DFA">
        <w:rPr>
          <w:noProof/>
        </w:rPr>
        <w:t>ozn</w:t>
      </w:r>
      <w:r w:rsidRPr="00DD1DFA">
        <w:rPr>
          <w:noProof/>
        </w:rPr>
        <w:t xml:space="preserve">aczeń zostanie złagodzone przez </w:t>
      </w:r>
      <w:r w:rsidRPr="00DD1DFA">
        <w:rPr>
          <w:b/>
          <w:noProof/>
        </w:rPr>
        <w:t>jasne określenie obszaru regulowanego na szczeblu UE</w:t>
      </w:r>
      <w:r w:rsidRPr="00DD1DFA">
        <w:rPr>
          <w:noProof/>
        </w:rPr>
        <w:t>.</w:t>
      </w:r>
    </w:p>
    <w:p w14:paraId="38B20407" w14:textId="2E25DFB1" w:rsidR="004E75DC" w:rsidRPr="00DD1DFA" w:rsidRDefault="004E75DC" w:rsidP="004E75DC">
      <w:pPr>
        <w:pStyle w:val="Bullet1"/>
        <w:tabs>
          <w:tab w:val="clear" w:pos="1417"/>
          <w:tab w:val="num" w:pos="1287"/>
        </w:tabs>
        <w:ind w:left="1287"/>
        <w:rPr>
          <w:rFonts w:ascii="Calibri" w:eastAsia="Times New Roman" w:hAnsi="Calibri"/>
          <w:noProof/>
          <w:szCs w:val="24"/>
        </w:rPr>
      </w:pPr>
      <w:r w:rsidRPr="00DD1DFA">
        <w:rPr>
          <w:noProof/>
        </w:rPr>
        <w:t xml:space="preserve">Stworzenie zharmonizowanych ram do </w:t>
      </w:r>
      <w:r w:rsidRPr="00DD1DFA">
        <w:rPr>
          <w:b/>
          <w:noProof/>
        </w:rPr>
        <w:t>oceny</w:t>
      </w:r>
      <w:r w:rsidR="00DD1DFA" w:rsidRPr="00DD1DFA">
        <w:rPr>
          <w:b/>
          <w:noProof/>
        </w:rPr>
        <w:t xml:space="preserve"> i</w:t>
      </w:r>
      <w:r w:rsidR="00DD1DFA">
        <w:rPr>
          <w:b/>
          <w:noProof/>
        </w:rPr>
        <w:t> </w:t>
      </w:r>
      <w:r w:rsidR="00DD1DFA" w:rsidRPr="00DD1DFA">
        <w:rPr>
          <w:b/>
          <w:noProof/>
        </w:rPr>
        <w:t>inf</w:t>
      </w:r>
      <w:r w:rsidRPr="00DD1DFA">
        <w:rPr>
          <w:b/>
          <w:noProof/>
        </w:rPr>
        <w:t>ormowania</w:t>
      </w:r>
      <w:r w:rsidR="00DD1DFA" w:rsidRPr="00DD1DFA">
        <w:rPr>
          <w:b/>
          <w:noProof/>
        </w:rPr>
        <w:t xml:space="preserve"> o</w:t>
      </w:r>
      <w:r w:rsidR="00DD1DFA">
        <w:rPr>
          <w:b/>
          <w:noProof/>
        </w:rPr>
        <w:t> </w:t>
      </w:r>
      <w:r w:rsidR="00DD1DFA" w:rsidRPr="00DD1DFA">
        <w:rPr>
          <w:b/>
          <w:noProof/>
        </w:rPr>
        <w:t>efe</w:t>
      </w:r>
      <w:r w:rsidRPr="00DD1DFA">
        <w:rPr>
          <w:b/>
          <w:noProof/>
        </w:rPr>
        <w:t>ktywności środowiskowej</w:t>
      </w:r>
      <w:r w:rsidRPr="00DD1DFA">
        <w:rPr>
          <w:noProof/>
        </w:rPr>
        <w:t xml:space="preserve"> wyrobów budowlanych.</w:t>
      </w:r>
    </w:p>
    <w:p w14:paraId="20515DAE" w14:textId="209ACEE8" w:rsidR="004E75DC" w:rsidRPr="00DD1DFA" w:rsidRDefault="004E75DC" w:rsidP="004E75DC">
      <w:pPr>
        <w:pStyle w:val="Bullet1"/>
        <w:tabs>
          <w:tab w:val="clear" w:pos="1417"/>
          <w:tab w:val="num" w:pos="1287"/>
        </w:tabs>
        <w:ind w:left="1287"/>
        <w:rPr>
          <w:rFonts w:ascii="Calibri" w:eastAsia="Times New Roman" w:hAnsi="Calibri"/>
          <w:noProof/>
          <w:szCs w:val="24"/>
        </w:rPr>
      </w:pPr>
      <w:r w:rsidRPr="00DD1DFA">
        <w:rPr>
          <w:noProof/>
        </w:rPr>
        <w:t>Utworzenie struktury cyfrowej zgodnej</w:t>
      </w:r>
      <w:r w:rsidR="00DD1DFA" w:rsidRPr="00DD1DFA">
        <w:rPr>
          <w:noProof/>
        </w:rPr>
        <w:t xml:space="preserve"> z</w:t>
      </w:r>
      <w:r w:rsidR="00DD1DFA">
        <w:rPr>
          <w:noProof/>
        </w:rPr>
        <w:t> </w:t>
      </w:r>
      <w:r w:rsidR="00DD1DFA" w:rsidRPr="00DD1DFA">
        <w:rPr>
          <w:b/>
          <w:noProof/>
        </w:rPr>
        <w:t>cyf</w:t>
      </w:r>
      <w:r w:rsidRPr="00DD1DFA">
        <w:rPr>
          <w:b/>
          <w:noProof/>
        </w:rPr>
        <w:t>rowym paszportem wyrobu</w:t>
      </w:r>
      <w:r w:rsidRPr="00DD1DFA">
        <w:rPr>
          <w:noProof/>
        </w:rPr>
        <w:t>.</w:t>
      </w:r>
    </w:p>
    <w:p w14:paraId="6C83AD95" w14:textId="77777777" w:rsidR="004E75DC" w:rsidRPr="00DD1DFA" w:rsidRDefault="004E75DC" w:rsidP="004E75DC">
      <w:pPr>
        <w:pStyle w:val="Bullet1"/>
        <w:tabs>
          <w:tab w:val="clear" w:pos="1417"/>
          <w:tab w:val="num" w:pos="1287"/>
        </w:tabs>
        <w:ind w:left="1287"/>
        <w:rPr>
          <w:rFonts w:ascii="Calibri" w:eastAsia="Times New Roman" w:hAnsi="Calibri"/>
          <w:noProof/>
          <w:szCs w:val="24"/>
        </w:rPr>
      </w:pPr>
      <w:r w:rsidRPr="00DD1DFA">
        <w:rPr>
          <w:noProof/>
        </w:rPr>
        <w:t xml:space="preserve">Promowanie </w:t>
      </w:r>
      <w:r w:rsidRPr="00DD1DFA">
        <w:rPr>
          <w:b/>
          <w:noProof/>
        </w:rPr>
        <w:t>ponownego użycia</w:t>
      </w:r>
      <w:r w:rsidRPr="00DD1DFA">
        <w:rPr>
          <w:noProof/>
        </w:rPr>
        <w:t xml:space="preserve"> wyrobów budowlanych.</w:t>
      </w:r>
    </w:p>
    <w:p w14:paraId="12A71103" w14:textId="6B1AD56B" w:rsidR="004E75DC" w:rsidRPr="00DD1DFA" w:rsidRDefault="004E75DC" w:rsidP="004E75DC">
      <w:pPr>
        <w:pStyle w:val="Bullet1"/>
        <w:tabs>
          <w:tab w:val="clear" w:pos="1417"/>
          <w:tab w:val="num" w:pos="1287"/>
        </w:tabs>
        <w:ind w:left="1287"/>
        <w:rPr>
          <w:rFonts w:ascii="Calibri" w:eastAsia="Times New Roman" w:hAnsi="Calibri"/>
          <w:noProof/>
        </w:rPr>
      </w:pPr>
      <w:r w:rsidRPr="00DD1DFA">
        <w:rPr>
          <w:b/>
          <w:bCs/>
          <w:noProof/>
        </w:rPr>
        <w:t>Wzmocnienie nadzoru rynku</w:t>
      </w:r>
      <w:r w:rsidRPr="00DD1DFA">
        <w:rPr>
          <w:noProof/>
        </w:rPr>
        <w:t xml:space="preserve"> poprzez usprawnienie egzekwowania przepisów</w:t>
      </w:r>
      <w:r w:rsidR="00DD1DFA" w:rsidRPr="00DD1DFA">
        <w:rPr>
          <w:noProof/>
        </w:rPr>
        <w:t xml:space="preserve"> i</w:t>
      </w:r>
      <w:r w:rsidR="00DD1DFA">
        <w:rPr>
          <w:noProof/>
        </w:rPr>
        <w:t> </w:t>
      </w:r>
      <w:r w:rsidR="00DD1DFA" w:rsidRPr="00DD1DFA">
        <w:rPr>
          <w:noProof/>
        </w:rPr>
        <w:t>uje</w:t>
      </w:r>
      <w:r w:rsidRPr="00DD1DFA">
        <w:rPr>
          <w:noProof/>
        </w:rPr>
        <w:t>dnolicenie działań różnych organów nadzoru rynku oraz ewentualne ustalenie minimalnej liczby kontroli</w:t>
      </w:r>
      <w:r w:rsidR="00DD1DFA" w:rsidRPr="00DD1DFA">
        <w:rPr>
          <w:noProof/>
        </w:rPr>
        <w:t xml:space="preserve"> i</w:t>
      </w:r>
      <w:r w:rsidR="00DD1DFA">
        <w:rPr>
          <w:noProof/>
        </w:rPr>
        <w:t> </w:t>
      </w:r>
      <w:r w:rsidR="00DD1DFA" w:rsidRPr="00DD1DFA">
        <w:rPr>
          <w:noProof/>
        </w:rPr>
        <w:t>min</w:t>
      </w:r>
      <w:r w:rsidRPr="00DD1DFA">
        <w:rPr>
          <w:noProof/>
        </w:rPr>
        <w:t>imalnego poziomu zasobów kadrowych, które należy zaangażować</w:t>
      </w:r>
      <w:r w:rsidR="00DD1DFA" w:rsidRPr="00DD1DFA">
        <w:rPr>
          <w:noProof/>
        </w:rPr>
        <w:t xml:space="preserve"> w</w:t>
      </w:r>
      <w:r w:rsidR="00DD1DFA">
        <w:rPr>
          <w:noProof/>
        </w:rPr>
        <w:t> </w:t>
      </w:r>
      <w:r w:rsidR="00DD1DFA" w:rsidRPr="00DD1DFA">
        <w:rPr>
          <w:noProof/>
        </w:rPr>
        <w:t>nad</w:t>
      </w:r>
      <w:r w:rsidRPr="00DD1DFA">
        <w:rPr>
          <w:noProof/>
        </w:rPr>
        <w:t xml:space="preserve">zór rynku wyrobów budowlanych. </w:t>
      </w:r>
    </w:p>
    <w:p w14:paraId="2E445883" w14:textId="6DDC64FC" w:rsidR="004E75DC" w:rsidRPr="00DD1DFA" w:rsidRDefault="004E75DC" w:rsidP="004E75DC">
      <w:pPr>
        <w:pStyle w:val="Bullet1"/>
        <w:tabs>
          <w:tab w:val="clear" w:pos="1417"/>
          <w:tab w:val="num" w:pos="1287"/>
        </w:tabs>
        <w:ind w:left="1287"/>
        <w:rPr>
          <w:rFonts w:ascii="Calibri" w:eastAsia="Times New Roman" w:hAnsi="Calibri"/>
          <w:noProof/>
          <w:szCs w:val="24"/>
        </w:rPr>
      </w:pPr>
      <w:r w:rsidRPr="00DD1DFA">
        <w:rPr>
          <w:noProof/>
        </w:rPr>
        <w:t xml:space="preserve">Usprawnienie </w:t>
      </w:r>
      <w:r w:rsidRPr="00DD1DFA">
        <w:rPr>
          <w:b/>
          <w:noProof/>
        </w:rPr>
        <w:t>wspólnego procesu decyzyjnego</w:t>
      </w:r>
      <w:r w:rsidRPr="00DD1DFA">
        <w:rPr>
          <w:noProof/>
        </w:rPr>
        <w:t xml:space="preserve"> wśród wszystkich organów</w:t>
      </w:r>
      <w:r w:rsidR="00DD1DFA" w:rsidRPr="00DD1DFA">
        <w:rPr>
          <w:noProof/>
        </w:rPr>
        <w:t xml:space="preserve"> i</w:t>
      </w:r>
      <w:r w:rsidR="00DD1DFA">
        <w:rPr>
          <w:noProof/>
        </w:rPr>
        <w:t> </w:t>
      </w:r>
      <w:r w:rsidR="00DD1DFA" w:rsidRPr="00DD1DFA">
        <w:rPr>
          <w:noProof/>
        </w:rPr>
        <w:t>jed</w:t>
      </w:r>
      <w:r w:rsidRPr="00DD1DFA">
        <w:rPr>
          <w:noProof/>
        </w:rPr>
        <w:t>nostek notyfikowanych.</w:t>
      </w:r>
    </w:p>
    <w:p w14:paraId="0F046AD1" w14:textId="271BD787" w:rsidR="004E75DC" w:rsidRPr="00DD1DFA" w:rsidRDefault="004E75DC" w:rsidP="004E75DC">
      <w:pPr>
        <w:pStyle w:val="Bullet1"/>
        <w:tabs>
          <w:tab w:val="clear" w:pos="1417"/>
          <w:tab w:val="num" w:pos="1287"/>
        </w:tabs>
        <w:ind w:left="1287"/>
        <w:rPr>
          <w:rFonts w:ascii="Calibri" w:eastAsia="Times New Roman" w:hAnsi="Calibri"/>
          <w:noProof/>
          <w:szCs w:val="24"/>
        </w:rPr>
      </w:pPr>
      <w:r w:rsidRPr="00DD1DFA">
        <w:rPr>
          <w:noProof/>
        </w:rPr>
        <w:t>Zmniejszenie liczby przypadków pokrywania się przepisów rozporządzenia</w:t>
      </w:r>
      <w:r w:rsidR="00DD1DFA" w:rsidRPr="00DD1DFA">
        <w:rPr>
          <w:noProof/>
        </w:rPr>
        <w:t xml:space="preserve"> z</w:t>
      </w:r>
      <w:r w:rsidR="00DD1DFA">
        <w:rPr>
          <w:noProof/>
        </w:rPr>
        <w:t> </w:t>
      </w:r>
      <w:r w:rsidR="00DD1DFA" w:rsidRPr="00DD1DFA">
        <w:rPr>
          <w:noProof/>
        </w:rPr>
        <w:t>inn</w:t>
      </w:r>
      <w:r w:rsidRPr="00DD1DFA">
        <w:rPr>
          <w:noProof/>
        </w:rPr>
        <w:t>ymi przepisami UE</w:t>
      </w:r>
      <w:r w:rsidR="00DD1DFA" w:rsidRPr="00DD1DFA">
        <w:rPr>
          <w:noProof/>
        </w:rPr>
        <w:t xml:space="preserve"> w</w:t>
      </w:r>
      <w:r w:rsidR="00DD1DFA">
        <w:rPr>
          <w:noProof/>
        </w:rPr>
        <w:t> </w:t>
      </w:r>
      <w:r w:rsidR="00DD1DFA" w:rsidRPr="00DD1DFA">
        <w:rPr>
          <w:noProof/>
        </w:rPr>
        <w:t>dro</w:t>
      </w:r>
      <w:r w:rsidRPr="00DD1DFA">
        <w:rPr>
          <w:noProof/>
        </w:rPr>
        <w:t xml:space="preserve">dze </w:t>
      </w:r>
      <w:r w:rsidRPr="00DD1DFA">
        <w:rPr>
          <w:b/>
          <w:noProof/>
        </w:rPr>
        <w:t>wprowadzenia zasad dotyczących kolizji przepisów</w:t>
      </w:r>
      <w:r w:rsidR="00DD1DFA" w:rsidRPr="00DD1DFA">
        <w:rPr>
          <w:noProof/>
        </w:rPr>
        <w:t xml:space="preserve"> i</w:t>
      </w:r>
      <w:r w:rsidR="00DD1DFA">
        <w:rPr>
          <w:noProof/>
        </w:rPr>
        <w:t> </w:t>
      </w:r>
      <w:r w:rsidR="00DD1DFA" w:rsidRPr="00DD1DFA">
        <w:rPr>
          <w:noProof/>
        </w:rPr>
        <w:t>zap</w:t>
      </w:r>
      <w:r w:rsidRPr="00DD1DFA">
        <w:rPr>
          <w:noProof/>
        </w:rPr>
        <w:t>ewnienia spójności.</w:t>
      </w:r>
    </w:p>
    <w:p w14:paraId="37828382" w14:textId="61DDABC4" w:rsidR="004E75DC" w:rsidRPr="00DD1DFA" w:rsidRDefault="004E75DC" w:rsidP="004E75DC">
      <w:pPr>
        <w:pStyle w:val="Bullet1"/>
        <w:tabs>
          <w:tab w:val="clear" w:pos="1417"/>
          <w:tab w:val="num" w:pos="1287"/>
        </w:tabs>
        <w:ind w:left="1287"/>
        <w:rPr>
          <w:rFonts w:ascii="Calibri" w:eastAsia="Times New Roman" w:hAnsi="Calibri"/>
          <w:noProof/>
          <w:szCs w:val="24"/>
        </w:rPr>
      </w:pPr>
      <w:r w:rsidRPr="00DD1DFA">
        <w:rPr>
          <w:noProof/>
        </w:rPr>
        <w:t xml:space="preserve">Wprowadzenie </w:t>
      </w:r>
      <w:r w:rsidRPr="00DD1DFA">
        <w:rPr>
          <w:b/>
          <w:noProof/>
        </w:rPr>
        <w:t>specjalnego oznakowania</w:t>
      </w:r>
      <w:r w:rsidRPr="00DD1DFA">
        <w:rPr>
          <w:noProof/>
        </w:rPr>
        <w:t xml:space="preserve"> dla wyrobów budowlanych (European Construction Product – ECP [Europejski Wyrób Budowlany]), aby sprecyzować, że oznakowanie odnosi się do deklaracji właściwości użytkowych,</w:t>
      </w:r>
      <w:r w:rsidR="00DD1DFA" w:rsidRPr="00DD1DFA">
        <w:rPr>
          <w:noProof/>
        </w:rPr>
        <w:t xml:space="preserve"> a</w:t>
      </w:r>
      <w:r w:rsidR="00DD1DFA">
        <w:rPr>
          <w:noProof/>
        </w:rPr>
        <w:t> </w:t>
      </w:r>
      <w:r w:rsidR="00DD1DFA" w:rsidRPr="00DD1DFA">
        <w:rPr>
          <w:noProof/>
        </w:rPr>
        <w:t>nie</w:t>
      </w:r>
      <w:r w:rsidRPr="00DD1DFA">
        <w:rPr>
          <w:noProof/>
        </w:rPr>
        <w:t xml:space="preserve"> do deklaracji zgodności.</w:t>
      </w:r>
    </w:p>
    <w:p w14:paraId="24FBD2D1" w14:textId="1CAC8304" w:rsidR="00AA79E1" w:rsidRPr="00DD1DFA" w:rsidRDefault="004E75DC" w:rsidP="004E75DC">
      <w:pPr>
        <w:pStyle w:val="Bullet1"/>
        <w:tabs>
          <w:tab w:val="clear" w:pos="1417"/>
          <w:tab w:val="num" w:pos="1287"/>
        </w:tabs>
        <w:ind w:left="1287"/>
        <w:rPr>
          <w:rFonts w:ascii="Calibri" w:eastAsia="Times New Roman" w:hAnsi="Calibri"/>
          <w:noProof/>
          <w:szCs w:val="24"/>
        </w:rPr>
      </w:pPr>
      <w:r w:rsidRPr="00DD1DFA">
        <w:rPr>
          <w:b/>
          <w:noProof/>
        </w:rPr>
        <w:t>Ukierunkowane przepisy</w:t>
      </w:r>
      <w:r w:rsidRPr="00DD1DFA">
        <w:rPr>
          <w:noProof/>
        </w:rPr>
        <w:t xml:space="preserve"> oraz upoważnienie państw członkowskich do warunkowego zwolnienia niektórych mikroprzedsiębiorstw</w:t>
      </w:r>
      <w:r w:rsidR="00DD1DFA" w:rsidRPr="00DD1DFA">
        <w:rPr>
          <w:noProof/>
        </w:rPr>
        <w:t xml:space="preserve"> z</w:t>
      </w:r>
      <w:r w:rsidR="00DD1DFA">
        <w:rPr>
          <w:noProof/>
        </w:rPr>
        <w:t> </w:t>
      </w:r>
      <w:r w:rsidR="00DD1DFA" w:rsidRPr="00DD1DFA">
        <w:rPr>
          <w:noProof/>
        </w:rPr>
        <w:t>obo</w:t>
      </w:r>
      <w:r w:rsidRPr="00DD1DFA">
        <w:rPr>
          <w:noProof/>
        </w:rPr>
        <w:t>wiązków wynikających</w:t>
      </w:r>
      <w:r w:rsidR="00DD1DFA" w:rsidRPr="00DD1DFA">
        <w:rPr>
          <w:noProof/>
        </w:rPr>
        <w:t xml:space="preserve"> z</w:t>
      </w:r>
      <w:r w:rsidR="00DD1DFA">
        <w:rPr>
          <w:noProof/>
        </w:rPr>
        <w:t> </w:t>
      </w:r>
      <w:r w:rsidR="00DD1DFA" w:rsidRPr="00DD1DFA">
        <w:rPr>
          <w:noProof/>
        </w:rPr>
        <w:t>roz</w:t>
      </w:r>
      <w:r w:rsidRPr="00DD1DFA">
        <w:rPr>
          <w:noProof/>
        </w:rPr>
        <w:t>porządzenia</w:t>
      </w:r>
      <w:r w:rsidR="00DD1DFA" w:rsidRPr="00DD1DFA">
        <w:rPr>
          <w:noProof/>
        </w:rPr>
        <w:t xml:space="preserve"> w</w:t>
      </w:r>
      <w:r w:rsidR="00DD1DFA">
        <w:rPr>
          <w:noProof/>
        </w:rPr>
        <w:t> </w:t>
      </w:r>
      <w:r w:rsidR="00DD1DFA" w:rsidRPr="00DD1DFA">
        <w:rPr>
          <w:noProof/>
        </w:rPr>
        <w:t>spr</w:t>
      </w:r>
      <w:r w:rsidRPr="00DD1DFA">
        <w:rPr>
          <w:noProof/>
        </w:rPr>
        <w:t>awie wyrobów budowlanych.</w:t>
      </w:r>
    </w:p>
    <w:p w14:paraId="6BD3656E" w14:textId="14D91D95" w:rsidR="004E75DC" w:rsidRPr="00DD1DFA" w:rsidRDefault="004E75DC" w:rsidP="004E75DC">
      <w:pPr>
        <w:spacing w:before="0" w:after="240"/>
        <w:rPr>
          <w:rFonts w:eastAsia="Times New Roman"/>
          <w:bCs/>
          <w:i/>
          <w:noProof/>
          <w:szCs w:val="24"/>
        </w:rPr>
      </w:pPr>
      <w:r w:rsidRPr="00DD1DFA">
        <w:rPr>
          <w:bCs/>
          <w:i/>
          <w:noProof/>
          <w:szCs w:val="24"/>
        </w:rPr>
        <w:t>Wariant C – Ukierunkowanie rozporządzenia</w:t>
      </w:r>
      <w:r w:rsidR="00DD1DFA" w:rsidRPr="00DD1DFA">
        <w:rPr>
          <w:bCs/>
          <w:i/>
          <w:noProof/>
          <w:szCs w:val="24"/>
        </w:rPr>
        <w:t xml:space="preserve"> w</w:t>
      </w:r>
      <w:r w:rsidR="00DD1DFA">
        <w:rPr>
          <w:bCs/>
          <w:i/>
          <w:noProof/>
          <w:szCs w:val="24"/>
        </w:rPr>
        <w:t> </w:t>
      </w:r>
      <w:r w:rsidR="00DD1DFA" w:rsidRPr="00DD1DFA">
        <w:rPr>
          <w:bCs/>
          <w:i/>
          <w:noProof/>
          <w:szCs w:val="24"/>
        </w:rPr>
        <w:t>spr</w:t>
      </w:r>
      <w:r w:rsidRPr="00DD1DFA">
        <w:rPr>
          <w:bCs/>
          <w:i/>
          <w:noProof/>
          <w:szCs w:val="24"/>
        </w:rPr>
        <w:t>awie wyrobów budowlanych</w:t>
      </w:r>
    </w:p>
    <w:p w14:paraId="27E70E12" w14:textId="394F6026" w:rsidR="004E75DC" w:rsidRPr="00DD1DFA" w:rsidRDefault="004E75DC" w:rsidP="004E75DC">
      <w:pPr>
        <w:spacing w:before="0" w:after="240"/>
        <w:rPr>
          <w:rFonts w:eastAsia="Calibri"/>
          <w:noProof/>
          <w:szCs w:val="24"/>
        </w:rPr>
      </w:pPr>
      <w:r w:rsidRPr="00DD1DFA">
        <w:rPr>
          <w:noProof/>
        </w:rPr>
        <w:t>Wariant ten opiera się na elementach opisanych</w:t>
      </w:r>
      <w:r w:rsidR="00DD1DFA" w:rsidRPr="00DD1DFA">
        <w:rPr>
          <w:noProof/>
        </w:rPr>
        <w:t xml:space="preserve"> w</w:t>
      </w:r>
      <w:r w:rsidR="00DD1DFA">
        <w:rPr>
          <w:noProof/>
        </w:rPr>
        <w:t> </w:t>
      </w:r>
      <w:r w:rsidR="00DD1DFA" w:rsidRPr="00DD1DFA">
        <w:rPr>
          <w:noProof/>
        </w:rPr>
        <w:t>war</w:t>
      </w:r>
      <w:r w:rsidRPr="00DD1DFA">
        <w:rPr>
          <w:noProof/>
        </w:rPr>
        <w:t>iancie B. Jednak</w:t>
      </w:r>
      <w:r w:rsidR="00DD1DFA" w:rsidRPr="00DD1DFA">
        <w:rPr>
          <w:noProof/>
        </w:rPr>
        <w:t xml:space="preserve"> w</w:t>
      </w:r>
      <w:r w:rsidR="00DD1DFA">
        <w:rPr>
          <w:noProof/>
        </w:rPr>
        <w:t> </w:t>
      </w:r>
      <w:r w:rsidR="00DD1DFA" w:rsidRPr="00DD1DFA">
        <w:rPr>
          <w:noProof/>
        </w:rPr>
        <w:t>war</w:t>
      </w:r>
      <w:r w:rsidRPr="00DD1DFA">
        <w:rPr>
          <w:noProof/>
        </w:rPr>
        <w:t xml:space="preserve">iancie C </w:t>
      </w:r>
      <w:r w:rsidRPr="00DD1DFA">
        <w:rPr>
          <w:b/>
          <w:noProof/>
          <w:szCs w:val="24"/>
        </w:rPr>
        <w:t>zakres zastosowania rozporządzenia</w:t>
      </w:r>
      <w:r w:rsidR="00DD1DFA" w:rsidRPr="00DD1DFA">
        <w:rPr>
          <w:b/>
          <w:noProof/>
          <w:szCs w:val="24"/>
        </w:rPr>
        <w:t xml:space="preserve"> w</w:t>
      </w:r>
      <w:r w:rsidR="00DD1DFA">
        <w:rPr>
          <w:b/>
          <w:noProof/>
          <w:szCs w:val="24"/>
        </w:rPr>
        <w:t> </w:t>
      </w:r>
      <w:r w:rsidR="00DD1DFA" w:rsidRPr="00DD1DFA">
        <w:rPr>
          <w:b/>
          <w:noProof/>
          <w:szCs w:val="24"/>
        </w:rPr>
        <w:t>spr</w:t>
      </w:r>
      <w:r w:rsidRPr="00DD1DFA">
        <w:rPr>
          <w:b/>
          <w:noProof/>
          <w:szCs w:val="24"/>
        </w:rPr>
        <w:t>awie wyrobów budowlanych jest ograniczony do pewnych obszarów</w:t>
      </w:r>
      <w:r w:rsidRPr="00DD1DFA">
        <w:rPr>
          <w:noProof/>
        </w:rPr>
        <w:t>,</w:t>
      </w:r>
      <w:r w:rsidR="00DD1DFA" w:rsidRPr="00DD1DFA">
        <w:rPr>
          <w:noProof/>
        </w:rPr>
        <w:t xml:space="preserve"> w</w:t>
      </w:r>
      <w:r w:rsidR="00DD1DFA">
        <w:rPr>
          <w:noProof/>
        </w:rPr>
        <w:t> </w:t>
      </w:r>
      <w:r w:rsidR="00DD1DFA" w:rsidRPr="00DD1DFA">
        <w:rPr>
          <w:noProof/>
        </w:rPr>
        <w:t>zal</w:t>
      </w:r>
      <w:r w:rsidRPr="00DD1DFA">
        <w:rPr>
          <w:noProof/>
        </w:rPr>
        <w:t>eżności od następujących trzech podwariantów, które można łączyć:</w:t>
      </w:r>
    </w:p>
    <w:p w14:paraId="66138B99" w14:textId="2E75D7DA" w:rsidR="004E75DC" w:rsidRPr="00DD1DFA" w:rsidRDefault="004E75DC" w:rsidP="004E75DC">
      <w:pPr>
        <w:pStyle w:val="Bullet1"/>
        <w:tabs>
          <w:tab w:val="clear" w:pos="1417"/>
          <w:tab w:val="num" w:pos="1287"/>
        </w:tabs>
        <w:ind w:left="1287"/>
        <w:rPr>
          <w:noProof/>
        </w:rPr>
      </w:pPr>
      <w:r w:rsidRPr="00DD1DFA">
        <w:rPr>
          <w:noProof/>
        </w:rPr>
        <w:t>Podwariant C1: normy zharmonizowane</w:t>
      </w:r>
      <w:r w:rsidR="00DD1DFA" w:rsidRPr="00DD1DFA">
        <w:rPr>
          <w:noProof/>
        </w:rPr>
        <w:t xml:space="preserve"> i</w:t>
      </w:r>
      <w:r w:rsidR="00DD1DFA">
        <w:rPr>
          <w:noProof/>
        </w:rPr>
        <w:t> </w:t>
      </w:r>
      <w:r w:rsidR="00DD1DFA" w:rsidRPr="00DD1DFA">
        <w:rPr>
          <w:noProof/>
        </w:rPr>
        <w:t>akt</w:t>
      </w:r>
      <w:r w:rsidRPr="00DD1DFA">
        <w:rPr>
          <w:noProof/>
        </w:rPr>
        <w:t>y Komisji zawierające specyfikacje techniczne obejmowałyby jedynie metody oceny na potrzeby ustalania właściwości użytkowych, bez ustalania na szczeblu UE wartości progowych właściwości użytkowych, klas lub innych wymogów.</w:t>
      </w:r>
    </w:p>
    <w:p w14:paraId="16DF5C3A" w14:textId="02F920CA" w:rsidR="004E75DC" w:rsidRPr="00DD1DFA" w:rsidRDefault="004E75DC" w:rsidP="004E75DC">
      <w:pPr>
        <w:pStyle w:val="Bullet1"/>
        <w:tabs>
          <w:tab w:val="clear" w:pos="1417"/>
          <w:tab w:val="num" w:pos="1287"/>
        </w:tabs>
        <w:ind w:left="1287"/>
        <w:rPr>
          <w:noProof/>
        </w:rPr>
      </w:pPr>
      <w:r w:rsidRPr="00DD1DFA">
        <w:rPr>
          <w:noProof/>
        </w:rPr>
        <w:t>Podwariant C2: zakres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koncentrowałby się wyłącznie na podstawowych obszarach, zgodnie</w:t>
      </w:r>
      <w:r w:rsidR="00DD1DFA" w:rsidRPr="00DD1DFA">
        <w:rPr>
          <w:noProof/>
        </w:rPr>
        <w:t xml:space="preserve"> z</w:t>
      </w:r>
      <w:r w:rsidR="00DD1DFA">
        <w:rPr>
          <w:noProof/>
        </w:rPr>
        <w:t> </w:t>
      </w:r>
      <w:r w:rsidR="00DD1DFA" w:rsidRPr="00DD1DFA">
        <w:rPr>
          <w:noProof/>
        </w:rPr>
        <w:t>pot</w:t>
      </w:r>
      <w:r w:rsidRPr="00DD1DFA">
        <w:rPr>
          <w:noProof/>
        </w:rPr>
        <w:t>rzebami regulacyjnymi państw członkowskich, znaczeniem dla ochrony środowiska lub bezpieczeństwa wyrobów oraz znaczeniem dla rynku.</w:t>
      </w:r>
    </w:p>
    <w:p w14:paraId="11E1E947" w14:textId="372AF243" w:rsidR="00AA79E1" w:rsidRPr="00DD1DFA" w:rsidRDefault="004E75DC" w:rsidP="004E75DC">
      <w:pPr>
        <w:pStyle w:val="Bullet1"/>
        <w:tabs>
          <w:tab w:val="clear" w:pos="1417"/>
          <w:tab w:val="num" w:pos="1287"/>
        </w:tabs>
        <w:ind w:left="1287"/>
        <w:rPr>
          <w:noProof/>
        </w:rPr>
      </w:pPr>
      <w:r w:rsidRPr="00DD1DFA">
        <w:rPr>
          <w:noProof/>
        </w:rPr>
        <w:t>Podwariant C3: państwa członkowskie miałyby możliwość zaoferowania alternatywnej ścieżki dostępu do rynku, opartej na przepisach krajowych,</w:t>
      </w:r>
      <w:r w:rsidR="00DD1DFA" w:rsidRPr="00DD1DFA">
        <w:rPr>
          <w:noProof/>
        </w:rPr>
        <w:t xml:space="preserve"> a</w:t>
      </w:r>
      <w:r w:rsidR="00DD1DFA">
        <w:rPr>
          <w:noProof/>
        </w:rPr>
        <w:t> </w:t>
      </w:r>
      <w:r w:rsidR="00DD1DFA" w:rsidRPr="00DD1DFA">
        <w:rPr>
          <w:noProof/>
        </w:rPr>
        <w:t>nie</w:t>
      </w:r>
      <w:r w:rsidRPr="00DD1DFA">
        <w:rPr>
          <w:noProof/>
        </w:rPr>
        <w:t xml:space="preserve"> na normach zharmonizowanych</w:t>
      </w:r>
      <w:r w:rsidR="00DD1DFA" w:rsidRPr="00DD1DFA">
        <w:rPr>
          <w:noProof/>
        </w:rPr>
        <w:t xml:space="preserve"> i</w:t>
      </w:r>
      <w:r w:rsidR="00DD1DFA">
        <w:rPr>
          <w:noProof/>
        </w:rPr>
        <w:t> </w:t>
      </w:r>
      <w:r w:rsidR="00DD1DFA" w:rsidRPr="00DD1DFA">
        <w:rPr>
          <w:noProof/>
        </w:rPr>
        <w:t>akt</w:t>
      </w:r>
      <w:r w:rsidRPr="00DD1DFA">
        <w:rPr>
          <w:noProof/>
        </w:rPr>
        <w:t>ach Komisji zawierających specyfikacje techniczne.</w:t>
      </w:r>
    </w:p>
    <w:p w14:paraId="22BEF1DB" w14:textId="19FE08B8" w:rsidR="004E75DC" w:rsidRPr="00DD1DFA" w:rsidRDefault="004E75DC" w:rsidP="004E75DC">
      <w:pPr>
        <w:spacing w:before="0" w:after="240"/>
        <w:rPr>
          <w:rFonts w:eastAsia="Times New Roman"/>
          <w:bCs/>
          <w:i/>
          <w:noProof/>
          <w:szCs w:val="24"/>
        </w:rPr>
      </w:pPr>
      <w:r w:rsidRPr="00DD1DFA">
        <w:rPr>
          <w:bCs/>
          <w:i/>
          <w:noProof/>
          <w:szCs w:val="24"/>
        </w:rPr>
        <w:t>Wariant D – Wzmocnienie rozporządzenia</w:t>
      </w:r>
      <w:r w:rsidR="00DD1DFA" w:rsidRPr="00DD1DFA">
        <w:rPr>
          <w:bCs/>
          <w:i/>
          <w:noProof/>
          <w:szCs w:val="24"/>
        </w:rPr>
        <w:t xml:space="preserve"> w</w:t>
      </w:r>
      <w:r w:rsidR="00DD1DFA">
        <w:rPr>
          <w:bCs/>
          <w:i/>
          <w:noProof/>
          <w:szCs w:val="24"/>
        </w:rPr>
        <w:t> </w:t>
      </w:r>
      <w:r w:rsidR="00DD1DFA" w:rsidRPr="00DD1DFA">
        <w:rPr>
          <w:bCs/>
          <w:i/>
          <w:noProof/>
          <w:szCs w:val="24"/>
        </w:rPr>
        <w:t>spr</w:t>
      </w:r>
      <w:r w:rsidRPr="00DD1DFA">
        <w:rPr>
          <w:bCs/>
          <w:i/>
          <w:noProof/>
          <w:szCs w:val="24"/>
        </w:rPr>
        <w:t>awie wyrobów budowlanych</w:t>
      </w:r>
    </w:p>
    <w:p w14:paraId="125126B8" w14:textId="3D7ED0D7" w:rsidR="004E75DC" w:rsidRPr="00DD1DFA" w:rsidRDefault="004E75DC" w:rsidP="004E75DC">
      <w:pPr>
        <w:spacing w:before="0" w:after="240"/>
        <w:rPr>
          <w:rFonts w:eastAsia="Calibri"/>
          <w:noProof/>
          <w:szCs w:val="24"/>
        </w:rPr>
      </w:pPr>
      <w:r w:rsidRPr="00DD1DFA">
        <w:rPr>
          <w:noProof/>
        </w:rPr>
        <w:t>Korzystając</w:t>
      </w:r>
      <w:r w:rsidR="00DD1DFA" w:rsidRPr="00DD1DFA">
        <w:rPr>
          <w:noProof/>
        </w:rPr>
        <w:t xml:space="preserve"> z</w:t>
      </w:r>
      <w:r w:rsidR="00DD1DFA">
        <w:rPr>
          <w:noProof/>
        </w:rPr>
        <w:t> </w:t>
      </w:r>
      <w:r w:rsidR="00DD1DFA" w:rsidRPr="00DD1DFA">
        <w:rPr>
          <w:noProof/>
        </w:rPr>
        <w:t>war</w:t>
      </w:r>
      <w:r w:rsidRPr="00DD1DFA">
        <w:rPr>
          <w:noProof/>
        </w:rPr>
        <w:t xml:space="preserve">iantu B, można również wprowadzić wymagania dotyczące </w:t>
      </w:r>
      <w:r w:rsidRPr="00DD1DFA">
        <w:rPr>
          <w:b/>
          <w:noProof/>
          <w:szCs w:val="24"/>
        </w:rPr>
        <w:t>cech nieodłącznie związanych</w:t>
      </w:r>
      <w:r w:rsidR="00DD1DFA" w:rsidRPr="00DD1DFA">
        <w:rPr>
          <w:b/>
          <w:noProof/>
          <w:szCs w:val="24"/>
        </w:rPr>
        <w:t xml:space="preserve"> z</w:t>
      </w:r>
      <w:r w:rsidR="00DD1DFA">
        <w:rPr>
          <w:b/>
          <w:noProof/>
          <w:szCs w:val="24"/>
        </w:rPr>
        <w:t> </w:t>
      </w:r>
      <w:r w:rsidR="00DD1DFA" w:rsidRPr="00DD1DFA">
        <w:rPr>
          <w:b/>
          <w:noProof/>
          <w:szCs w:val="24"/>
        </w:rPr>
        <w:t>wyr</w:t>
      </w:r>
      <w:r w:rsidRPr="00DD1DFA">
        <w:rPr>
          <w:b/>
          <w:noProof/>
          <w:szCs w:val="24"/>
        </w:rPr>
        <w:t>obem</w:t>
      </w:r>
      <w:r w:rsidRPr="00DD1DFA">
        <w:rPr>
          <w:noProof/>
        </w:rPr>
        <w:t>, aby chronić zdrowie publiczne, bezpieczeństwo</w:t>
      </w:r>
      <w:r w:rsidR="00DD1DFA" w:rsidRPr="00DD1DFA">
        <w:rPr>
          <w:noProof/>
        </w:rPr>
        <w:t xml:space="preserve"> i</w:t>
      </w:r>
      <w:r w:rsidR="00DD1DFA">
        <w:rPr>
          <w:noProof/>
        </w:rPr>
        <w:t> </w:t>
      </w:r>
      <w:r w:rsidR="00DD1DFA" w:rsidRPr="00DD1DFA">
        <w:rPr>
          <w:noProof/>
        </w:rPr>
        <w:t>śro</w:t>
      </w:r>
      <w:r w:rsidRPr="00DD1DFA">
        <w:rPr>
          <w:noProof/>
        </w:rPr>
        <w:t>dowisko. Takie wymagania dotyczące konkretnych wyrobów można sformułować za pomocą trzech podwariantów/podejść (można byłoby połączyć D1 i D2):</w:t>
      </w:r>
    </w:p>
    <w:p w14:paraId="4E47113F" w14:textId="26B43AE4" w:rsidR="004E75DC" w:rsidRPr="00DD1DFA" w:rsidRDefault="004E75DC" w:rsidP="004E75DC">
      <w:pPr>
        <w:pStyle w:val="Bullet1"/>
        <w:tabs>
          <w:tab w:val="clear" w:pos="1417"/>
          <w:tab w:val="num" w:pos="1287"/>
        </w:tabs>
        <w:ind w:left="1287"/>
        <w:rPr>
          <w:noProof/>
        </w:rPr>
      </w:pPr>
      <w:r w:rsidRPr="00DD1DFA">
        <w:rPr>
          <w:noProof/>
        </w:rPr>
        <w:t>Podwariant D1: nowe podejście</w:t>
      </w:r>
      <w:r w:rsidR="00DD1DFA" w:rsidRPr="00DD1DFA">
        <w:rPr>
          <w:noProof/>
        </w:rPr>
        <w:t xml:space="preserve"> w</w:t>
      </w:r>
      <w:r w:rsidR="00DD1DFA">
        <w:rPr>
          <w:noProof/>
        </w:rPr>
        <w:t> </w:t>
      </w:r>
      <w:r w:rsidR="00DD1DFA" w:rsidRPr="00DD1DFA">
        <w:rPr>
          <w:noProof/>
        </w:rPr>
        <w:t>ram</w:t>
      </w:r>
      <w:r w:rsidRPr="00DD1DFA">
        <w:rPr>
          <w:noProof/>
        </w:rPr>
        <w:t>ach legislacyjnych do wymagań dotyczących wyrobów (opierające się na normalizacji opracowanej przez europejskie organizacje normalizacyjne)</w:t>
      </w:r>
      <w:r w:rsidR="00F6156E" w:rsidRPr="00DD1DFA">
        <w:rPr>
          <w:noProof/>
        </w:rPr>
        <w:t>.</w:t>
      </w:r>
    </w:p>
    <w:p w14:paraId="176D84C4" w14:textId="3DD3D572" w:rsidR="004E75DC" w:rsidRPr="00DD1DFA" w:rsidRDefault="004E75DC" w:rsidP="004E75DC">
      <w:pPr>
        <w:pStyle w:val="Bullet1"/>
        <w:tabs>
          <w:tab w:val="clear" w:pos="1417"/>
          <w:tab w:val="num" w:pos="1287"/>
        </w:tabs>
        <w:ind w:left="1287"/>
        <w:rPr>
          <w:noProof/>
        </w:rPr>
      </w:pPr>
      <w:r w:rsidRPr="00DD1DFA">
        <w:rPr>
          <w:noProof/>
        </w:rPr>
        <w:t>Podwariant D2: podejście oparte na wspólnych specyfikacjach technicznych (opracowanych przez Komisję lub pod jej nadzorem)</w:t>
      </w:r>
      <w:r w:rsidR="00F6156E" w:rsidRPr="00DD1DFA">
        <w:rPr>
          <w:noProof/>
        </w:rPr>
        <w:t>.</w:t>
      </w:r>
    </w:p>
    <w:p w14:paraId="5F8B15BD" w14:textId="77777777" w:rsidR="004E75DC" w:rsidRPr="00DD1DFA" w:rsidRDefault="004E75DC" w:rsidP="004E75DC">
      <w:pPr>
        <w:pStyle w:val="Bullet1"/>
        <w:tabs>
          <w:tab w:val="clear" w:pos="1417"/>
          <w:tab w:val="num" w:pos="1287"/>
        </w:tabs>
        <w:ind w:left="1287"/>
        <w:rPr>
          <w:noProof/>
        </w:rPr>
      </w:pPr>
      <w:r w:rsidRPr="00DD1DFA">
        <w:rPr>
          <w:noProof/>
        </w:rPr>
        <w:t>Podwariant D3: połączenie hybrydowe wariantu D1 i D2.</w:t>
      </w:r>
    </w:p>
    <w:p w14:paraId="75CDD8E3" w14:textId="2A464D53" w:rsidR="004E75DC" w:rsidRPr="00DD1DFA" w:rsidRDefault="004E75DC" w:rsidP="004E75DC">
      <w:pPr>
        <w:spacing w:before="0" w:after="240"/>
        <w:rPr>
          <w:rFonts w:eastAsia="Times New Roman"/>
          <w:bCs/>
          <w:i/>
          <w:noProof/>
          <w:szCs w:val="24"/>
        </w:rPr>
      </w:pPr>
      <w:r w:rsidRPr="00DD1DFA">
        <w:rPr>
          <w:bCs/>
          <w:i/>
          <w:noProof/>
          <w:szCs w:val="24"/>
        </w:rPr>
        <w:t>Wariant E – Uchylenie rozporządzenia</w:t>
      </w:r>
      <w:r w:rsidR="00DD1DFA" w:rsidRPr="00DD1DFA">
        <w:rPr>
          <w:bCs/>
          <w:i/>
          <w:noProof/>
          <w:szCs w:val="24"/>
        </w:rPr>
        <w:t xml:space="preserve"> w</w:t>
      </w:r>
      <w:r w:rsidR="00DD1DFA">
        <w:rPr>
          <w:bCs/>
          <w:i/>
          <w:noProof/>
          <w:szCs w:val="24"/>
        </w:rPr>
        <w:t> </w:t>
      </w:r>
      <w:r w:rsidR="00DD1DFA" w:rsidRPr="00DD1DFA">
        <w:rPr>
          <w:bCs/>
          <w:i/>
          <w:noProof/>
          <w:szCs w:val="24"/>
        </w:rPr>
        <w:t>spr</w:t>
      </w:r>
      <w:r w:rsidRPr="00DD1DFA">
        <w:rPr>
          <w:bCs/>
          <w:i/>
          <w:noProof/>
          <w:szCs w:val="24"/>
        </w:rPr>
        <w:t>awie wyrobów budowlanych</w:t>
      </w:r>
    </w:p>
    <w:p w14:paraId="75066583" w14:textId="6B60CEC5" w:rsidR="00AA79E1" w:rsidRPr="00DD1DFA" w:rsidRDefault="004E75DC" w:rsidP="004E75DC">
      <w:pPr>
        <w:spacing w:before="0" w:after="240"/>
        <w:rPr>
          <w:rFonts w:eastAsia="Times New Roman"/>
          <w:noProof/>
          <w:szCs w:val="24"/>
        </w:rPr>
      </w:pPr>
      <w:r w:rsidRPr="00DD1DFA">
        <w:rPr>
          <w:noProof/>
        </w:rPr>
        <w:t>Rozporządzenie</w:t>
      </w:r>
      <w:r w:rsidR="00DD1DFA" w:rsidRPr="00DD1DFA">
        <w:rPr>
          <w:noProof/>
        </w:rPr>
        <w:t xml:space="preserve"> w</w:t>
      </w:r>
      <w:r w:rsidR="00DD1DFA">
        <w:rPr>
          <w:noProof/>
        </w:rPr>
        <w:t> </w:t>
      </w:r>
      <w:r w:rsidR="00DD1DFA" w:rsidRPr="00DD1DFA">
        <w:rPr>
          <w:noProof/>
        </w:rPr>
        <w:t>spr</w:t>
      </w:r>
      <w:r w:rsidRPr="00DD1DFA">
        <w:rPr>
          <w:noProof/>
        </w:rPr>
        <w:t>awie wyrobów budowlanych zostanie uchylone. Handel wyrobami budowlanymi opierałby się na wzajemnym uznawaniu.</w:t>
      </w:r>
    </w:p>
    <w:p w14:paraId="117145E8" w14:textId="77777777" w:rsidR="004E75DC" w:rsidRPr="00DD1DFA" w:rsidRDefault="004E75DC" w:rsidP="004E75DC">
      <w:pPr>
        <w:spacing w:before="0" w:after="240"/>
        <w:rPr>
          <w:rFonts w:eastAsia="Times New Roman"/>
          <w:bCs/>
          <w:i/>
          <w:noProof/>
          <w:szCs w:val="24"/>
        </w:rPr>
      </w:pPr>
      <w:r w:rsidRPr="00DD1DFA">
        <w:rPr>
          <w:bCs/>
          <w:i/>
          <w:noProof/>
          <w:szCs w:val="24"/>
        </w:rPr>
        <w:t>Wariant preferowany</w:t>
      </w:r>
    </w:p>
    <w:p w14:paraId="41939DBD" w14:textId="065672D1" w:rsidR="004E75DC" w:rsidRPr="00DD1DFA" w:rsidRDefault="004E75DC" w:rsidP="004E75DC">
      <w:pPr>
        <w:spacing w:before="0" w:after="240"/>
        <w:rPr>
          <w:rFonts w:eastAsia="Calibri"/>
          <w:noProof/>
          <w:bdr w:val="none" w:sz="0" w:space="0" w:color="auto" w:frame="1"/>
        </w:rPr>
      </w:pPr>
      <w:r w:rsidRPr="00DD1DFA">
        <w:rPr>
          <w:b/>
          <w:bCs/>
          <w:noProof/>
        </w:rPr>
        <w:t xml:space="preserve">Wariant D </w:t>
      </w:r>
      <w:r w:rsidRPr="00DD1DFA">
        <w:rPr>
          <w:noProof/>
        </w:rPr>
        <w:t>uznano za wariant preferowany, ponieważ umożliwia on realizację celów</w:t>
      </w:r>
      <w:r w:rsidR="00DD1DFA" w:rsidRPr="00DD1DFA">
        <w:rPr>
          <w:noProof/>
        </w:rPr>
        <w:t xml:space="preserve"> i</w:t>
      </w:r>
      <w:r w:rsidR="00DD1DFA">
        <w:rPr>
          <w:noProof/>
        </w:rPr>
        <w:t> </w:t>
      </w:r>
      <w:r w:rsidR="00DD1DFA" w:rsidRPr="00DD1DFA">
        <w:rPr>
          <w:noProof/>
        </w:rPr>
        <w:t>usu</w:t>
      </w:r>
      <w:r w:rsidRPr="00DD1DFA">
        <w:rPr>
          <w:noProof/>
        </w:rPr>
        <w:t>nięcie głównych niedociągnięć ram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przy zachowaniu najwyższego stopnia skuteczności</w:t>
      </w:r>
      <w:r w:rsidR="00DD1DFA" w:rsidRPr="00DD1DFA">
        <w:rPr>
          <w:noProof/>
        </w:rPr>
        <w:t xml:space="preserve"> i</w:t>
      </w:r>
      <w:r w:rsidR="00DD1DFA">
        <w:rPr>
          <w:noProof/>
        </w:rPr>
        <w:t> </w:t>
      </w:r>
      <w:r w:rsidR="00DD1DFA" w:rsidRPr="00DD1DFA">
        <w:rPr>
          <w:noProof/>
        </w:rPr>
        <w:t>spó</w:t>
      </w:r>
      <w:r w:rsidRPr="00DD1DFA">
        <w:rPr>
          <w:noProof/>
        </w:rPr>
        <w:t>jności. Zapewnia to swobodny przepływ wyrobów budowlanych na jednolitym rynku</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peł</w:t>
      </w:r>
      <w:r w:rsidRPr="00DD1DFA">
        <w:rPr>
          <w:noProof/>
        </w:rPr>
        <w:t xml:space="preserve">ni </w:t>
      </w:r>
      <w:r w:rsidRPr="00DD1DFA">
        <w:rPr>
          <w:noProof/>
          <w:color w:val="000000" w:themeColor="text1"/>
        </w:rPr>
        <w:t>odpowiada celom wynikającym</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Eur</w:t>
      </w:r>
      <w:r w:rsidRPr="00DD1DFA">
        <w:rPr>
          <w:noProof/>
          <w:color w:val="000000" w:themeColor="text1"/>
        </w:rPr>
        <w:t>opejskiego Zielonego Ładu oraz Planu działania dotyczącego gospodarki</w:t>
      </w:r>
      <w:r w:rsidR="00DD1DFA" w:rsidRPr="00DD1DFA">
        <w:rPr>
          <w:noProof/>
          <w:color w:val="000000" w:themeColor="text1"/>
        </w:rPr>
        <w:t xml:space="preserve"> o</w:t>
      </w:r>
      <w:r w:rsidR="00DD1DFA">
        <w:rPr>
          <w:noProof/>
          <w:color w:val="000000" w:themeColor="text1"/>
        </w:rPr>
        <w:t> </w:t>
      </w:r>
      <w:r w:rsidR="00DD1DFA" w:rsidRPr="00DD1DFA">
        <w:rPr>
          <w:noProof/>
          <w:color w:val="000000" w:themeColor="text1"/>
        </w:rPr>
        <w:t>obi</w:t>
      </w:r>
      <w:r w:rsidRPr="00DD1DFA">
        <w:rPr>
          <w:noProof/>
          <w:color w:val="000000" w:themeColor="text1"/>
        </w:rPr>
        <w:t>egu zamkniętym</w:t>
      </w:r>
      <w:r w:rsidRPr="00DD1DFA">
        <w:rPr>
          <w:noProof/>
        </w:rPr>
        <w:t>. Główne zmiany są następujące</w:t>
      </w:r>
      <w:r w:rsidRPr="00DD1DFA">
        <w:rPr>
          <w:rStyle w:val="Odwoanieprzypisudolnego"/>
          <w:rFonts w:eastAsia="Calibri"/>
          <w:noProof/>
          <w:bdr w:val="none" w:sz="0" w:space="0" w:color="auto" w:frame="1"/>
          <w:lang w:eastAsia="en-GB"/>
        </w:rPr>
        <w:footnoteReference w:id="31"/>
      </w:r>
      <w:r w:rsidRPr="00DD1DFA">
        <w:rPr>
          <w:noProof/>
        </w:rPr>
        <w:t>:</w:t>
      </w:r>
    </w:p>
    <w:p w14:paraId="571727F0" w14:textId="7E810810" w:rsidR="004E75DC" w:rsidRPr="00DD1DFA" w:rsidRDefault="004E75DC" w:rsidP="004E75DC">
      <w:pPr>
        <w:pStyle w:val="Bullet1"/>
        <w:tabs>
          <w:tab w:val="clear" w:pos="1417"/>
          <w:tab w:val="num" w:pos="1287"/>
        </w:tabs>
        <w:ind w:left="1287"/>
        <w:rPr>
          <w:noProof/>
        </w:rPr>
      </w:pPr>
      <w:r w:rsidRPr="00DD1DFA">
        <w:rPr>
          <w:noProof/>
        </w:rPr>
        <w:t>Przedstawienie jaśniejszej definicji zakresu rozporządzenia</w:t>
      </w:r>
      <w:r w:rsidR="00DD1DFA" w:rsidRPr="00DD1DFA">
        <w:rPr>
          <w:noProof/>
        </w:rPr>
        <w:t xml:space="preserve"> i</w:t>
      </w:r>
      <w:r w:rsidR="00DD1DFA">
        <w:rPr>
          <w:noProof/>
        </w:rPr>
        <w:t> </w:t>
      </w:r>
      <w:r w:rsidR="00DD1DFA" w:rsidRPr="00DD1DFA">
        <w:rPr>
          <w:noProof/>
        </w:rPr>
        <w:t>włą</w:t>
      </w:r>
      <w:r w:rsidRPr="00DD1DFA">
        <w:rPr>
          <w:noProof/>
        </w:rPr>
        <w:t>czenia wyrobów budowlanych</w:t>
      </w:r>
      <w:r w:rsidR="00DD1DFA" w:rsidRPr="00DD1DFA">
        <w:rPr>
          <w:noProof/>
        </w:rPr>
        <w:t xml:space="preserve"> i</w:t>
      </w:r>
      <w:r w:rsidR="00DD1DFA">
        <w:rPr>
          <w:noProof/>
        </w:rPr>
        <w:t> </w:t>
      </w:r>
      <w:r w:rsidR="00DD1DFA" w:rsidRPr="00DD1DFA">
        <w:rPr>
          <w:noProof/>
        </w:rPr>
        <w:t>dom</w:t>
      </w:r>
      <w:r w:rsidRPr="00DD1DFA">
        <w:rPr>
          <w:noProof/>
        </w:rPr>
        <w:t>ów prefabrykowanych, które są ponownie używane</w:t>
      </w:r>
      <w:r w:rsidR="00DD1DFA" w:rsidRPr="00DD1DFA">
        <w:rPr>
          <w:noProof/>
        </w:rPr>
        <w:t xml:space="preserve"> i</w:t>
      </w:r>
      <w:r w:rsidR="00DD1DFA">
        <w:rPr>
          <w:noProof/>
        </w:rPr>
        <w:t> </w:t>
      </w:r>
      <w:r w:rsidR="00DD1DFA" w:rsidRPr="00DD1DFA">
        <w:rPr>
          <w:noProof/>
        </w:rPr>
        <w:t>dru</w:t>
      </w:r>
      <w:r w:rsidRPr="00DD1DFA">
        <w:rPr>
          <w:noProof/>
        </w:rPr>
        <w:t xml:space="preserve">kowane przestrzennie. </w:t>
      </w:r>
    </w:p>
    <w:p w14:paraId="2E63F895" w14:textId="63E1738B" w:rsidR="004E75DC" w:rsidRPr="00DD1DFA" w:rsidRDefault="004E75DC" w:rsidP="004E75DC">
      <w:pPr>
        <w:pStyle w:val="Bullet1"/>
        <w:tabs>
          <w:tab w:val="clear" w:pos="1417"/>
          <w:tab w:val="num" w:pos="1287"/>
        </w:tabs>
        <w:ind w:left="1287"/>
        <w:rPr>
          <w:noProof/>
        </w:rPr>
      </w:pPr>
      <w:r w:rsidRPr="00DD1DFA">
        <w:rPr>
          <w:noProof/>
        </w:rPr>
        <w:t>Wprowadzenie nowego uprawnienia dla Komisji do</w:t>
      </w:r>
      <w:r w:rsidR="00DD1DFA" w:rsidRPr="00DD1DFA">
        <w:rPr>
          <w:noProof/>
        </w:rPr>
        <w:t> </w:t>
      </w:r>
      <w:r w:rsidRPr="00DD1DFA">
        <w:rPr>
          <w:noProof/>
        </w:rPr>
        <w:t>1) przyjmowania specyfikacji technicznych</w:t>
      </w:r>
      <w:r w:rsidR="00DD1DFA" w:rsidRPr="00DD1DFA">
        <w:rPr>
          <w:noProof/>
        </w:rPr>
        <w:t xml:space="preserve"> w</w:t>
      </w:r>
      <w:r w:rsidR="00DD1DFA">
        <w:rPr>
          <w:noProof/>
        </w:rPr>
        <w:t> </w:t>
      </w:r>
      <w:r w:rsidR="00DD1DFA" w:rsidRPr="00DD1DFA">
        <w:rPr>
          <w:noProof/>
        </w:rPr>
        <w:t>dro</w:t>
      </w:r>
      <w:r w:rsidRPr="00DD1DFA">
        <w:rPr>
          <w:noProof/>
        </w:rPr>
        <w:t>dze aktów Komisji</w:t>
      </w:r>
      <w:r w:rsidR="00DD1DFA" w:rsidRPr="00DD1DFA">
        <w:rPr>
          <w:noProof/>
        </w:rPr>
        <w:t xml:space="preserve"> w</w:t>
      </w:r>
      <w:r w:rsidR="00DD1DFA">
        <w:rPr>
          <w:noProof/>
        </w:rPr>
        <w:t> </w:t>
      </w:r>
      <w:r w:rsidR="00DD1DFA" w:rsidRPr="00DD1DFA">
        <w:rPr>
          <w:noProof/>
        </w:rPr>
        <w:t>prz</w:t>
      </w:r>
      <w:r w:rsidRPr="00DD1DFA">
        <w:rPr>
          <w:noProof/>
        </w:rPr>
        <w:t>ypadkach, gdy system normalizacji nie zapewnia terminowej realizacji</w:t>
      </w:r>
      <w:r w:rsidR="00DD1DFA" w:rsidRPr="00DD1DFA">
        <w:rPr>
          <w:noProof/>
        </w:rPr>
        <w:t xml:space="preserve"> i</w:t>
      </w:r>
      <w:r w:rsidR="00DD1DFA">
        <w:rPr>
          <w:noProof/>
        </w:rPr>
        <w:t> </w:t>
      </w:r>
      <w:r w:rsidR="00DD1DFA" w:rsidRPr="00DD1DFA">
        <w:rPr>
          <w:noProof/>
        </w:rPr>
        <w:t>odp</w:t>
      </w:r>
      <w:r w:rsidRPr="00DD1DFA">
        <w:rPr>
          <w:noProof/>
        </w:rPr>
        <w:t>owiedniej jakości; 2) ustalania wymogów dotyczących wyrobów.</w:t>
      </w:r>
    </w:p>
    <w:p w14:paraId="4C44302A" w14:textId="676B1D08" w:rsidR="004E75DC" w:rsidRPr="00DD1DFA" w:rsidRDefault="004E75DC" w:rsidP="004E75DC">
      <w:pPr>
        <w:pStyle w:val="Bullet1"/>
        <w:tabs>
          <w:tab w:val="clear" w:pos="1417"/>
          <w:tab w:val="num" w:pos="1287"/>
        </w:tabs>
        <w:ind w:left="1287"/>
        <w:rPr>
          <w:noProof/>
        </w:rPr>
      </w:pPr>
      <w:r w:rsidRPr="00DD1DFA">
        <w:rPr>
          <w:noProof/>
        </w:rPr>
        <w:t>Wprowadzenie</w:t>
      </w:r>
      <w:r w:rsidR="00DD1DFA" w:rsidRPr="00DD1DFA">
        <w:rPr>
          <w:noProof/>
        </w:rPr>
        <w:t xml:space="preserve"> w</w:t>
      </w:r>
      <w:r w:rsidR="00DD1DFA">
        <w:rPr>
          <w:noProof/>
        </w:rPr>
        <w:t> </w:t>
      </w:r>
      <w:r w:rsidR="00DD1DFA" w:rsidRPr="00DD1DFA">
        <w:rPr>
          <w:noProof/>
        </w:rPr>
        <w:t>odn</w:t>
      </w:r>
      <w:r w:rsidRPr="00DD1DFA">
        <w:rPr>
          <w:noProof/>
        </w:rPr>
        <w:t>iesieniu do wyrobów budowlanych wymogów</w:t>
      </w:r>
      <w:r w:rsidR="00DD1DFA" w:rsidRPr="00DD1DFA">
        <w:rPr>
          <w:noProof/>
        </w:rPr>
        <w:t xml:space="preserve"> w</w:t>
      </w:r>
      <w:r w:rsidR="00DD1DFA">
        <w:rPr>
          <w:noProof/>
        </w:rPr>
        <w:t> </w:t>
      </w:r>
      <w:r w:rsidR="00DD1DFA" w:rsidRPr="00DD1DFA">
        <w:rPr>
          <w:noProof/>
        </w:rPr>
        <w:t>zak</w:t>
      </w:r>
      <w:r w:rsidRPr="00DD1DFA">
        <w:rPr>
          <w:noProof/>
        </w:rPr>
        <w:t>resie ochrony środowiska, funkcjonalności</w:t>
      </w:r>
      <w:r w:rsidR="00DD1DFA" w:rsidRPr="00DD1DFA">
        <w:rPr>
          <w:noProof/>
        </w:rPr>
        <w:t xml:space="preserve"> i</w:t>
      </w:r>
      <w:r w:rsidR="00DD1DFA">
        <w:rPr>
          <w:noProof/>
        </w:rPr>
        <w:t> </w:t>
      </w:r>
      <w:r w:rsidR="00DD1DFA" w:rsidRPr="00DD1DFA">
        <w:rPr>
          <w:noProof/>
        </w:rPr>
        <w:t>bez</w:t>
      </w:r>
      <w:r w:rsidRPr="00DD1DFA">
        <w:rPr>
          <w:noProof/>
        </w:rPr>
        <w:t>pieczeństwa.</w:t>
      </w:r>
    </w:p>
    <w:p w14:paraId="6EF89266" w14:textId="305DC615" w:rsidR="004E75DC" w:rsidRPr="00DD1DFA" w:rsidRDefault="004E75DC" w:rsidP="004E75DC">
      <w:pPr>
        <w:pStyle w:val="Bullet1"/>
        <w:tabs>
          <w:tab w:val="clear" w:pos="1417"/>
          <w:tab w:val="num" w:pos="1287"/>
        </w:tabs>
        <w:ind w:left="1287"/>
        <w:rPr>
          <w:noProof/>
        </w:rPr>
      </w:pPr>
      <w:r w:rsidRPr="00DD1DFA">
        <w:rPr>
          <w:noProof/>
        </w:rPr>
        <w:t>Ustanowienie „strefy zharmonizowanej”, wyraźniejszego podziału ról między państwami członkowskimi oraz mechanizmu gromadzenia informacji na temat proaktywnej wymiany informacji</w:t>
      </w:r>
      <w:r w:rsidR="00DD1DFA" w:rsidRPr="00DD1DFA">
        <w:rPr>
          <w:noProof/>
        </w:rPr>
        <w:t xml:space="preserve"> o</w:t>
      </w:r>
      <w:r w:rsidR="00DD1DFA">
        <w:rPr>
          <w:noProof/>
        </w:rPr>
        <w:t> </w:t>
      </w:r>
      <w:r w:rsidR="00DD1DFA" w:rsidRPr="00DD1DFA">
        <w:rPr>
          <w:noProof/>
        </w:rPr>
        <w:t>pot</w:t>
      </w:r>
      <w:r w:rsidRPr="00DD1DFA">
        <w:rPr>
          <w:noProof/>
        </w:rPr>
        <w:t>rzebach lub środkach regulacyjnych państw członkowskich oraz rozwiązywania tych kwestii</w:t>
      </w:r>
      <w:r w:rsidR="00DD1DFA" w:rsidRPr="00DD1DFA">
        <w:rPr>
          <w:noProof/>
        </w:rPr>
        <w:t xml:space="preserve"> z</w:t>
      </w:r>
      <w:r w:rsidR="00DD1DFA">
        <w:rPr>
          <w:noProof/>
        </w:rPr>
        <w:t> </w:t>
      </w:r>
      <w:r w:rsidR="00DD1DFA" w:rsidRPr="00DD1DFA">
        <w:rPr>
          <w:noProof/>
        </w:rPr>
        <w:t>uwz</w:t>
      </w:r>
      <w:r w:rsidRPr="00DD1DFA">
        <w:rPr>
          <w:noProof/>
        </w:rPr>
        <w:t>ględnie</w:t>
      </w:r>
      <w:r w:rsidR="004B5A11" w:rsidRPr="00DD1DFA">
        <w:rPr>
          <w:noProof/>
        </w:rPr>
        <w:t>niem celów jednolitego rynku.</w:t>
      </w:r>
    </w:p>
    <w:p w14:paraId="51153669" w14:textId="3DC859CE" w:rsidR="004E75DC" w:rsidRPr="00DD1DFA" w:rsidRDefault="004E75DC" w:rsidP="004E75DC">
      <w:pPr>
        <w:pStyle w:val="Bullet1"/>
        <w:tabs>
          <w:tab w:val="clear" w:pos="1417"/>
          <w:tab w:val="num" w:pos="1287"/>
        </w:tabs>
        <w:ind w:left="1287"/>
        <w:rPr>
          <w:noProof/>
        </w:rPr>
      </w:pPr>
      <w:r w:rsidRPr="00DD1DFA">
        <w:rPr>
          <w:noProof/>
        </w:rPr>
        <w:t>Wprowadzenie nowego obowiązku dostarczania przez producentów deklaracji zgodności (zgodności</w:t>
      </w:r>
      <w:r w:rsidR="00DD1DFA" w:rsidRPr="00DD1DFA">
        <w:rPr>
          <w:noProof/>
        </w:rPr>
        <w:t xml:space="preserve"> z</w:t>
      </w:r>
      <w:r w:rsidR="00DD1DFA">
        <w:rPr>
          <w:noProof/>
        </w:rPr>
        <w:t> </w:t>
      </w:r>
      <w:r w:rsidR="00DD1DFA" w:rsidRPr="00DD1DFA">
        <w:rPr>
          <w:noProof/>
        </w:rPr>
        <w:t>wym</w:t>
      </w:r>
      <w:r w:rsidRPr="00DD1DFA">
        <w:rPr>
          <w:noProof/>
        </w:rPr>
        <w:t xml:space="preserve">ogami dotyczącymi wyrobów) obok deklaracji właściwości użytkowych; możliwość przekazywania informacji drogą elektroniczną. </w:t>
      </w:r>
    </w:p>
    <w:p w14:paraId="35D52E97" w14:textId="56CA258A" w:rsidR="004E75DC" w:rsidRPr="00DD1DFA" w:rsidRDefault="004E75DC" w:rsidP="004E75DC">
      <w:pPr>
        <w:pStyle w:val="Bullet1"/>
        <w:tabs>
          <w:tab w:val="clear" w:pos="1417"/>
          <w:tab w:val="num" w:pos="1287"/>
        </w:tabs>
        <w:ind w:left="1287"/>
        <w:rPr>
          <w:noProof/>
        </w:rPr>
      </w:pPr>
      <w:r w:rsidRPr="00DD1DFA">
        <w:rPr>
          <w:noProof/>
        </w:rPr>
        <w:t>Przedstawienie listy ogólnych wymogów</w:t>
      </w:r>
      <w:r w:rsidR="00DD1DFA" w:rsidRPr="00DD1DFA">
        <w:rPr>
          <w:noProof/>
        </w:rPr>
        <w:t xml:space="preserve"> w</w:t>
      </w:r>
      <w:r w:rsidR="00DD1DFA">
        <w:rPr>
          <w:noProof/>
        </w:rPr>
        <w:t> </w:t>
      </w:r>
      <w:r w:rsidR="00DD1DFA" w:rsidRPr="00DD1DFA">
        <w:rPr>
          <w:noProof/>
        </w:rPr>
        <w:t>zak</w:t>
      </w:r>
      <w:r w:rsidRPr="00DD1DFA">
        <w:rPr>
          <w:noProof/>
        </w:rPr>
        <w:t>resie zrównoważonego rozwoju (które zostaną dokładniej zdefiniowane</w:t>
      </w:r>
      <w:r w:rsidR="00DD1DFA" w:rsidRPr="00DD1DFA">
        <w:rPr>
          <w:noProof/>
        </w:rPr>
        <w:t xml:space="preserve"> w</w:t>
      </w:r>
      <w:r w:rsidR="00DD1DFA">
        <w:rPr>
          <w:noProof/>
        </w:rPr>
        <w:t> </w:t>
      </w:r>
      <w:r w:rsidR="00DD1DFA" w:rsidRPr="00DD1DFA">
        <w:rPr>
          <w:noProof/>
        </w:rPr>
        <w:t>odn</w:t>
      </w:r>
      <w:r w:rsidRPr="00DD1DFA">
        <w:rPr>
          <w:noProof/>
        </w:rPr>
        <w:t>iesieniu do poszczególnych rodzin wyrobów</w:t>
      </w:r>
      <w:r w:rsidR="00DD1DFA" w:rsidRPr="00DD1DFA">
        <w:rPr>
          <w:noProof/>
        </w:rPr>
        <w:t xml:space="preserve"> w</w:t>
      </w:r>
      <w:r w:rsidR="00DD1DFA">
        <w:rPr>
          <w:noProof/>
        </w:rPr>
        <w:t> </w:t>
      </w:r>
      <w:r w:rsidR="00DD1DFA" w:rsidRPr="00DD1DFA">
        <w:rPr>
          <w:noProof/>
        </w:rPr>
        <w:t>akt</w:t>
      </w:r>
      <w:r w:rsidRPr="00DD1DFA">
        <w:rPr>
          <w:noProof/>
        </w:rPr>
        <w:t xml:space="preserve">ach prawnych Komisji lub normach zharmonizowanych). </w:t>
      </w:r>
    </w:p>
    <w:p w14:paraId="4E692588" w14:textId="1C7781F0" w:rsidR="004E75DC" w:rsidRPr="00DD1DFA" w:rsidRDefault="004E75DC" w:rsidP="004E75DC">
      <w:pPr>
        <w:pStyle w:val="Bullet1"/>
        <w:tabs>
          <w:tab w:val="clear" w:pos="1417"/>
          <w:tab w:val="num" w:pos="1287"/>
        </w:tabs>
        <w:ind w:left="1287"/>
        <w:rPr>
          <w:noProof/>
        </w:rPr>
      </w:pPr>
      <w:r w:rsidRPr="00DD1DFA">
        <w:rPr>
          <w:noProof/>
        </w:rPr>
        <w:t>Wprowadzenie</w:t>
      </w:r>
      <w:r w:rsidR="00DD1DFA" w:rsidRPr="00DD1DFA">
        <w:rPr>
          <w:noProof/>
        </w:rPr>
        <w:t xml:space="preserve"> i</w:t>
      </w:r>
      <w:r w:rsidR="00DD1DFA">
        <w:rPr>
          <w:noProof/>
        </w:rPr>
        <w:t> </w:t>
      </w:r>
      <w:r w:rsidR="00DD1DFA" w:rsidRPr="00DD1DFA">
        <w:rPr>
          <w:noProof/>
        </w:rPr>
        <w:t>udo</w:t>
      </w:r>
      <w:r w:rsidRPr="00DD1DFA">
        <w:rPr>
          <w:noProof/>
        </w:rPr>
        <w:t>skonalenie przepisów dotyczących uproszczeń</w:t>
      </w:r>
      <w:r w:rsidR="00DD1DFA" w:rsidRPr="00DD1DFA">
        <w:rPr>
          <w:noProof/>
        </w:rPr>
        <w:t xml:space="preserve"> i</w:t>
      </w:r>
      <w:r w:rsidR="00DD1DFA">
        <w:rPr>
          <w:noProof/>
        </w:rPr>
        <w:t> </w:t>
      </w:r>
      <w:r w:rsidR="00DD1DFA" w:rsidRPr="00DD1DFA">
        <w:rPr>
          <w:noProof/>
        </w:rPr>
        <w:t>zwo</w:t>
      </w:r>
      <w:r w:rsidRPr="00DD1DFA">
        <w:rPr>
          <w:noProof/>
        </w:rPr>
        <w:t xml:space="preserve">lnień dla mikroprzedsiębiorstw. </w:t>
      </w:r>
    </w:p>
    <w:p w14:paraId="32D1A19B" w14:textId="32D0F8FA" w:rsidR="004E75DC" w:rsidRPr="00DD1DFA" w:rsidRDefault="004E75DC" w:rsidP="004E75DC">
      <w:pPr>
        <w:pStyle w:val="Bullet1"/>
        <w:tabs>
          <w:tab w:val="clear" w:pos="1417"/>
          <w:tab w:val="num" w:pos="1287"/>
        </w:tabs>
        <w:ind w:left="1287"/>
        <w:rPr>
          <w:noProof/>
        </w:rPr>
      </w:pPr>
      <w:r w:rsidRPr="00DD1DFA">
        <w:rPr>
          <w:noProof/>
        </w:rPr>
        <w:t>Wzmocnienie uprawnień organów nadzoru rynku</w:t>
      </w:r>
      <w:r w:rsidR="00DD1DFA" w:rsidRPr="00DD1DFA">
        <w:rPr>
          <w:noProof/>
        </w:rPr>
        <w:t xml:space="preserve"> w</w:t>
      </w:r>
      <w:r w:rsidR="00DD1DFA">
        <w:rPr>
          <w:noProof/>
        </w:rPr>
        <w:t> </w:t>
      </w:r>
      <w:r w:rsidR="00DD1DFA" w:rsidRPr="00DD1DFA">
        <w:rPr>
          <w:noProof/>
        </w:rPr>
        <w:t>zak</w:t>
      </w:r>
      <w:r w:rsidRPr="00DD1DFA">
        <w:rPr>
          <w:noProof/>
        </w:rPr>
        <w:t xml:space="preserve">resie egzekwowania przepisów. </w:t>
      </w:r>
    </w:p>
    <w:p w14:paraId="2F3190ED" w14:textId="01B0BEE2" w:rsidR="004E75DC" w:rsidRPr="00DD1DFA" w:rsidRDefault="004E75DC" w:rsidP="004E75DC">
      <w:pPr>
        <w:pStyle w:val="Bullet1"/>
        <w:tabs>
          <w:tab w:val="clear" w:pos="1417"/>
          <w:tab w:val="num" w:pos="1287"/>
        </w:tabs>
        <w:ind w:left="1287"/>
        <w:rPr>
          <w:noProof/>
        </w:rPr>
      </w:pPr>
      <w:r w:rsidRPr="00DD1DFA">
        <w:rPr>
          <w:noProof/>
        </w:rPr>
        <w:t>Rozszerzenie roli punktów kontaktowych ds. wyrobów budowlanych</w:t>
      </w:r>
      <w:r w:rsidR="00DD1DFA" w:rsidRPr="00DD1DFA">
        <w:rPr>
          <w:noProof/>
        </w:rPr>
        <w:t xml:space="preserve"> w</w:t>
      </w:r>
      <w:r w:rsidR="00DD1DFA">
        <w:rPr>
          <w:noProof/>
        </w:rPr>
        <w:t> </w:t>
      </w:r>
      <w:r w:rsidR="00DD1DFA" w:rsidRPr="00DD1DFA">
        <w:rPr>
          <w:noProof/>
        </w:rPr>
        <w:t>cel</w:t>
      </w:r>
      <w:r w:rsidRPr="00DD1DFA">
        <w:rPr>
          <w:noProof/>
        </w:rPr>
        <w:t xml:space="preserve">u wspierania podmiotów gospodarczych. </w:t>
      </w:r>
    </w:p>
    <w:p w14:paraId="1B9190DE" w14:textId="77777777" w:rsidR="004E75DC" w:rsidRPr="00DD1DFA" w:rsidRDefault="004E75DC" w:rsidP="004E75DC">
      <w:pPr>
        <w:pStyle w:val="Bullet1"/>
        <w:tabs>
          <w:tab w:val="clear" w:pos="1417"/>
          <w:tab w:val="num" w:pos="1287"/>
        </w:tabs>
        <w:ind w:left="1287"/>
        <w:rPr>
          <w:noProof/>
        </w:rPr>
      </w:pPr>
      <w:r w:rsidRPr="00DD1DFA">
        <w:rPr>
          <w:noProof/>
        </w:rPr>
        <w:t>Ustanowienie przez Komisję nowego systemu umożliwiającego każdej osobie fizycznej lub prawnej składanie skarg lub zgłoszeń dotyczących ewentualnych naruszeń przepisów rozporządzenia.</w:t>
      </w:r>
    </w:p>
    <w:p w14:paraId="3A6F540A" w14:textId="06B47843" w:rsidR="004E75DC" w:rsidRPr="00DD1DFA" w:rsidRDefault="004E75DC" w:rsidP="004E75DC">
      <w:pPr>
        <w:pStyle w:val="Bullet1"/>
        <w:tabs>
          <w:tab w:val="clear" w:pos="1417"/>
          <w:tab w:val="num" w:pos="1287"/>
        </w:tabs>
        <w:ind w:left="1287"/>
        <w:rPr>
          <w:noProof/>
        </w:rPr>
      </w:pPr>
      <w:r w:rsidRPr="00DD1DFA">
        <w:rPr>
          <w:noProof/>
        </w:rPr>
        <w:t>Dostosowanie do rozporządzenia</w:t>
      </w:r>
      <w:r w:rsidR="00DD1DFA" w:rsidRPr="00DD1DFA">
        <w:rPr>
          <w:noProof/>
        </w:rPr>
        <w:t xml:space="preserve"> w</w:t>
      </w:r>
      <w:r w:rsidR="00DD1DFA">
        <w:rPr>
          <w:noProof/>
        </w:rPr>
        <w:t> </w:t>
      </w:r>
      <w:r w:rsidR="00DD1DFA" w:rsidRPr="00DD1DFA">
        <w:rPr>
          <w:noProof/>
        </w:rPr>
        <w:t>spr</w:t>
      </w:r>
      <w:r w:rsidRPr="00DD1DFA">
        <w:rPr>
          <w:noProof/>
        </w:rPr>
        <w:t>awie ekoprojektu dla zrównoważonych produktów</w:t>
      </w:r>
      <w:r w:rsidR="00DD1DFA" w:rsidRPr="00DD1DFA">
        <w:rPr>
          <w:noProof/>
        </w:rPr>
        <w:t xml:space="preserve"> w</w:t>
      </w:r>
      <w:r w:rsidR="00DD1DFA">
        <w:rPr>
          <w:noProof/>
        </w:rPr>
        <w:t> </w:t>
      </w:r>
      <w:r w:rsidR="00DD1DFA" w:rsidRPr="00DD1DFA">
        <w:rPr>
          <w:noProof/>
        </w:rPr>
        <w:t>zak</w:t>
      </w:r>
      <w:r w:rsidRPr="00DD1DFA">
        <w:rPr>
          <w:noProof/>
        </w:rPr>
        <w:t>resie klimatu</w:t>
      </w:r>
      <w:r w:rsidR="00DD1DFA" w:rsidRPr="00DD1DFA">
        <w:rPr>
          <w:noProof/>
        </w:rPr>
        <w:t xml:space="preserve"> i</w:t>
      </w:r>
      <w:r w:rsidR="00DD1DFA">
        <w:rPr>
          <w:noProof/>
        </w:rPr>
        <w:t> </w:t>
      </w:r>
      <w:r w:rsidR="00DD1DFA" w:rsidRPr="00DD1DFA">
        <w:rPr>
          <w:noProof/>
        </w:rPr>
        <w:t>zró</w:t>
      </w:r>
      <w:r w:rsidRPr="00DD1DFA">
        <w:rPr>
          <w:noProof/>
        </w:rPr>
        <w:t>wnoważenia środowiskowego oraz cyfrowego paszportu produktu.</w:t>
      </w:r>
    </w:p>
    <w:p w14:paraId="5BF7D0BC" w14:textId="21412BA9" w:rsidR="004E75DC" w:rsidRPr="00DD1DFA" w:rsidRDefault="004E75DC" w:rsidP="00A3032E">
      <w:pPr>
        <w:rPr>
          <w:noProof/>
        </w:rPr>
      </w:pPr>
      <w:r w:rsidRPr="00DD1DFA">
        <w:rPr>
          <w:noProof/>
        </w:rPr>
        <w:t>Wariant D przewidywał zastąpienie oznakowania CE nową etykietą (oznakowanie „European Construction Product” [Europejski wyrób budowlany] lub „ECP”). Istnieje jednak również ryzyko, że taka zmiana mogłaby zwiększyć,</w:t>
      </w:r>
      <w:r w:rsidR="00DD1DFA" w:rsidRPr="00DD1DFA">
        <w:rPr>
          <w:noProof/>
        </w:rPr>
        <w:t xml:space="preserve"> a</w:t>
      </w:r>
      <w:r w:rsidR="00DD1DFA">
        <w:rPr>
          <w:noProof/>
        </w:rPr>
        <w:t> </w:t>
      </w:r>
      <w:r w:rsidR="00DD1DFA" w:rsidRPr="00DD1DFA">
        <w:rPr>
          <w:noProof/>
        </w:rPr>
        <w:t>nie</w:t>
      </w:r>
      <w:r w:rsidRPr="00DD1DFA">
        <w:rPr>
          <w:noProof/>
        </w:rPr>
        <w:t xml:space="preserve"> zmniejszyć, brak przejrzystości dla podmiotów gospodarczych, zwłaszcza</w:t>
      </w:r>
      <w:r w:rsidR="00DD1DFA" w:rsidRPr="00DD1DFA">
        <w:rPr>
          <w:noProof/>
        </w:rPr>
        <w:t xml:space="preserve"> w</w:t>
      </w:r>
      <w:r w:rsidR="00DD1DFA">
        <w:rPr>
          <w:noProof/>
        </w:rPr>
        <w:t> </w:t>
      </w:r>
      <w:r w:rsidR="00DD1DFA" w:rsidRPr="00DD1DFA">
        <w:rPr>
          <w:noProof/>
        </w:rPr>
        <w:t>okr</w:t>
      </w:r>
      <w:r w:rsidRPr="00DD1DFA">
        <w:rPr>
          <w:noProof/>
        </w:rPr>
        <w:t>esie przejściowym, gdy wymagane byłyby dwa oznakowania</w:t>
      </w:r>
      <w:r w:rsidR="00DD1DFA" w:rsidRPr="00DD1DFA">
        <w:rPr>
          <w:noProof/>
        </w:rPr>
        <w:t>. W</w:t>
      </w:r>
      <w:r w:rsidR="00DD1DFA">
        <w:rPr>
          <w:noProof/>
        </w:rPr>
        <w:t> </w:t>
      </w:r>
      <w:r w:rsidR="00DD1DFA" w:rsidRPr="00DD1DFA">
        <w:rPr>
          <w:noProof/>
        </w:rPr>
        <w:t>zwi</w:t>
      </w:r>
      <w:r w:rsidRPr="00DD1DFA">
        <w:rPr>
          <w:noProof/>
        </w:rPr>
        <w:t>ązku</w:t>
      </w:r>
      <w:r w:rsidR="00DD1DFA" w:rsidRPr="00DD1DFA">
        <w:rPr>
          <w:noProof/>
        </w:rPr>
        <w:t xml:space="preserve"> z</w:t>
      </w:r>
      <w:r w:rsidR="00DD1DFA">
        <w:rPr>
          <w:noProof/>
        </w:rPr>
        <w:t> </w:t>
      </w:r>
      <w:r w:rsidR="00DD1DFA" w:rsidRPr="00DD1DFA">
        <w:rPr>
          <w:noProof/>
        </w:rPr>
        <w:t>tym</w:t>
      </w:r>
      <w:r w:rsidRPr="00DD1DFA">
        <w:rPr>
          <w:noProof/>
        </w:rPr>
        <w:t xml:space="preserve"> oznakowanie CE zostanie zachowane,</w:t>
      </w:r>
      <w:r w:rsidR="00DD1DFA" w:rsidRPr="00DD1DFA">
        <w:rPr>
          <w:noProof/>
        </w:rPr>
        <w:t xml:space="preserve"> a</w:t>
      </w:r>
      <w:r w:rsidR="00DD1DFA">
        <w:rPr>
          <w:noProof/>
        </w:rPr>
        <w:t> </w:t>
      </w:r>
      <w:r w:rsidR="00DD1DFA" w:rsidRPr="00DD1DFA">
        <w:rPr>
          <w:noProof/>
        </w:rPr>
        <w:t>pro</w:t>
      </w:r>
      <w:r w:rsidRPr="00DD1DFA">
        <w:rPr>
          <w:noProof/>
        </w:rPr>
        <w:t>ducenci będą musieli umieszczać je na wyrobach,</w:t>
      </w:r>
      <w:r w:rsidR="00DD1DFA" w:rsidRPr="00DD1DFA">
        <w:rPr>
          <w:noProof/>
        </w:rPr>
        <w:t xml:space="preserve"> w</w:t>
      </w:r>
      <w:r w:rsidR="00DD1DFA">
        <w:rPr>
          <w:noProof/>
        </w:rPr>
        <w:t> </w:t>
      </w:r>
      <w:r w:rsidR="00DD1DFA" w:rsidRPr="00DD1DFA">
        <w:rPr>
          <w:noProof/>
        </w:rPr>
        <w:t>prz</w:t>
      </w:r>
      <w:r w:rsidRPr="00DD1DFA">
        <w:rPr>
          <w:noProof/>
        </w:rPr>
        <w:t>ypadku których sporządzili deklarację właściwości użytkowych lub deklarację zgodności.</w:t>
      </w:r>
    </w:p>
    <w:p w14:paraId="4D0F929D" w14:textId="67AA9B14" w:rsidR="00AA79E1" w:rsidRPr="00DD1DFA" w:rsidRDefault="004E75DC" w:rsidP="004E75DC">
      <w:pPr>
        <w:spacing w:before="0" w:after="240"/>
        <w:rPr>
          <w:rFonts w:eastAsia="Calibri"/>
          <w:noProof/>
          <w:szCs w:val="24"/>
        </w:rPr>
      </w:pPr>
      <w:r w:rsidRPr="00DD1DFA">
        <w:rPr>
          <w:noProof/>
        </w:rPr>
        <w:t>Chociaż</w:t>
      </w:r>
      <w:r w:rsidR="00DD1DFA" w:rsidRPr="00DD1DFA">
        <w:rPr>
          <w:noProof/>
        </w:rPr>
        <w:t xml:space="preserve"> w</w:t>
      </w:r>
      <w:r w:rsidR="00DD1DFA">
        <w:rPr>
          <w:noProof/>
        </w:rPr>
        <w:t> </w:t>
      </w:r>
      <w:r w:rsidR="00DD1DFA" w:rsidRPr="00DD1DFA">
        <w:rPr>
          <w:noProof/>
        </w:rPr>
        <w:t>bad</w:t>
      </w:r>
      <w:r w:rsidRPr="00DD1DFA">
        <w:rPr>
          <w:noProof/>
        </w:rPr>
        <w:t>aniu uzupełniającym ocenę skutków stwierdzono, że wariant D może prowadzić do dodatkowych kosztów dla podmiotów gospodarczych, głównie ze względu na wprowadzenie deklaracji informacji</w:t>
      </w:r>
      <w:r w:rsidR="00DD1DFA" w:rsidRPr="00DD1DFA">
        <w:rPr>
          <w:noProof/>
        </w:rPr>
        <w:t xml:space="preserve"> o</w:t>
      </w:r>
      <w:r w:rsidR="00DD1DFA">
        <w:rPr>
          <w:noProof/>
        </w:rPr>
        <w:t> </w:t>
      </w:r>
      <w:r w:rsidR="00DD1DFA" w:rsidRPr="00DD1DFA">
        <w:rPr>
          <w:noProof/>
        </w:rPr>
        <w:t>efe</w:t>
      </w:r>
      <w:r w:rsidRPr="00DD1DFA">
        <w:rPr>
          <w:noProof/>
        </w:rPr>
        <w:t>ktywności środowiskowej, istniały pewne ograniczenia związane</w:t>
      </w:r>
      <w:r w:rsidR="00DD1DFA" w:rsidRPr="00DD1DFA">
        <w:rPr>
          <w:noProof/>
        </w:rPr>
        <w:t xml:space="preserve"> z</w:t>
      </w:r>
      <w:r w:rsidR="00DD1DFA">
        <w:rPr>
          <w:noProof/>
        </w:rPr>
        <w:t> </w:t>
      </w:r>
      <w:r w:rsidR="00DD1DFA" w:rsidRPr="00DD1DFA">
        <w:rPr>
          <w:noProof/>
        </w:rPr>
        <w:t>wyk</w:t>
      </w:r>
      <w:r w:rsidRPr="00DD1DFA">
        <w:rPr>
          <w:noProof/>
        </w:rPr>
        <w:t>orzystanymi danymi. Ze względu na dodatkowe uproszczenia wynikające</w:t>
      </w:r>
      <w:r w:rsidR="00DD1DFA" w:rsidRPr="00DD1DFA">
        <w:rPr>
          <w:noProof/>
        </w:rPr>
        <w:t xml:space="preserve"> z</w:t>
      </w:r>
      <w:r w:rsidR="00DD1DFA">
        <w:rPr>
          <w:noProof/>
        </w:rPr>
        <w:t> </w:t>
      </w:r>
      <w:r w:rsidR="00DD1DFA" w:rsidRPr="00DD1DFA">
        <w:rPr>
          <w:noProof/>
        </w:rPr>
        <w:t>war</w:t>
      </w:r>
      <w:r w:rsidRPr="00DD1DFA">
        <w:rPr>
          <w:noProof/>
        </w:rPr>
        <w:t>iantu D, może on</w:t>
      </w:r>
      <w:r w:rsidR="00DD1DFA" w:rsidRPr="00DD1DFA">
        <w:rPr>
          <w:noProof/>
        </w:rPr>
        <w:t xml:space="preserve"> w</w:t>
      </w:r>
      <w:r w:rsidR="00DD1DFA">
        <w:rPr>
          <w:noProof/>
        </w:rPr>
        <w:t> </w:t>
      </w:r>
      <w:r w:rsidR="00DD1DFA" w:rsidRPr="00DD1DFA">
        <w:rPr>
          <w:noProof/>
        </w:rPr>
        <w:t>rze</w:t>
      </w:r>
      <w:r w:rsidRPr="00DD1DFA">
        <w:rPr>
          <w:noProof/>
        </w:rPr>
        <w:t>czywistości przynieść zmniejszenie obciążenia administracyjnego netto</w:t>
      </w:r>
      <w:r w:rsidR="00DD1DFA" w:rsidRPr="00DD1DFA">
        <w:rPr>
          <w:noProof/>
        </w:rPr>
        <w:t xml:space="preserve"> o</w:t>
      </w:r>
      <w:r w:rsidR="00DD1DFA">
        <w:rPr>
          <w:noProof/>
        </w:rPr>
        <w:t> </w:t>
      </w:r>
      <w:r w:rsidR="00DD1DFA" w:rsidRPr="00DD1DFA">
        <w:rPr>
          <w:noProof/>
        </w:rPr>
        <w:t>oko</w:t>
      </w:r>
      <w:r w:rsidRPr="00DD1DFA">
        <w:rPr>
          <w:noProof/>
        </w:rPr>
        <w:t>ło 180 mln EUR (zob. załącznik III do sprawozdania</w:t>
      </w:r>
      <w:r w:rsidR="00DD1DFA" w:rsidRPr="00DD1DFA">
        <w:rPr>
          <w:noProof/>
        </w:rPr>
        <w:t xml:space="preserve"> z</w:t>
      </w:r>
      <w:r w:rsidR="00DD1DFA">
        <w:rPr>
          <w:noProof/>
        </w:rPr>
        <w:t> </w:t>
      </w:r>
      <w:r w:rsidR="00DD1DFA" w:rsidRPr="00DD1DFA">
        <w:rPr>
          <w:noProof/>
        </w:rPr>
        <w:t>oce</w:t>
      </w:r>
      <w:r w:rsidRPr="00DD1DFA">
        <w:rPr>
          <w:noProof/>
        </w:rPr>
        <w:t>ny skutków).</w:t>
      </w:r>
    </w:p>
    <w:p w14:paraId="69787476" w14:textId="7AC4B27C" w:rsidR="00AA79E1" w:rsidRPr="00DD1DFA" w:rsidRDefault="00AA79E1" w:rsidP="00AA79E1">
      <w:pPr>
        <w:pStyle w:val="ManualHeading2"/>
        <w:rPr>
          <w:rFonts w:eastAsia="Calibri"/>
          <w:noProof/>
          <w:bdr w:val="none" w:sz="0" w:space="0" w:color="auto" w:frame="1"/>
        </w:rPr>
      </w:pPr>
      <w:r w:rsidRPr="00DD1DFA">
        <w:rPr>
          <w:noProof/>
          <w:bdr w:val="none" w:sz="0" w:space="0" w:color="auto" w:frame="1"/>
        </w:rPr>
        <w:t>•</w:t>
      </w:r>
      <w:r w:rsidRPr="00DD1DFA">
        <w:rPr>
          <w:noProof/>
        </w:rPr>
        <w:tab/>
      </w:r>
      <w:r w:rsidRPr="00DD1DFA">
        <w:rPr>
          <w:noProof/>
          <w:bdr w:val="none" w:sz="0" w:space="0" w:color="auto" w:frame="1"/>
        </w:rPr>
        <w:t>Sprawność regulacyjna</w:t>
      </w:r>
      <w:r w:rsidR="00DD1DFA" w:rsidRPr="00DD1DFA">
        <w:rPr>
          <w:noProof/>
          <w:bdr w:val="none" w:sz="0" w:space="0" w:color="auto" w:frame="1"/>
        </w:rPr>
        <w:t xml:space="preserve"> i</w:t>
      </w:r>
      <w:r w:rsidR="00DD1DFA">
        <w:rPr>
          <w:noProof/>
          <w:bdr w:val="none" w:sz="0" w:space="0" w:color="auto" w:frame="1"/>
        </w:rPr>
        <w:t> </w:t>
      </w:r>
      <w:r w:rsidR="00DD1DFA" w:rsidRPr="00DD1DFA">
        <w:rPr>
          <w:noProof/>
          <w:bdr w:val="none" w:sz="0" w:space="0" w:color="auto" w:frame="1"/>
        </w:rPr>
        <w:t>upr</w:t>
      </w:r>
      <w:r w:rsidRPr="00DD1DFA">
        <w:rPr>
          <w:noProof/>
          <w:bdr w:val="none" w:sz="0" w:space="0" w:color="auto" w:frame="1"/>
        </w:rPr>
        <w:t>oszczenie</w:t>
      </w:r>
    </w:p>
    <w:p w14:paraId="4D18D47E" w14:textId="17BE9C35" w:rsidR="004E75DC" w:rsidRPr="00DD1DFA" w:rsidRDefault="004E75DC" w:rsidP="004E75DC">
      <w:pPr>
        <w:spacing w:before="0" w:after="240"/>
        <w:rPr>
          <w:rFonts w:eastAsia="Calibri"/>
          <w:noProof/>
        </w:rPr>
      </w:pPr>
      <w:r w:rsidRPr="00DD1DFA">
        <w:rPr>
          <w:noProof/>
        </w:rPr>
        <w:t>Wniosek przyczyni się do zminimalizowania kosztów przestrzegania przepisów dzięki sprawnie działającemu procesowi normalizacji, jaśniejszym przepisom, zachęcaniu do ponownego użycia wyrobów, mniejszej liczbie dodatkowych wymogów krajowych oraz stworzeniu we wszystkich państwach członkowskich równych szans dla wszystkich producentów, zwłaszcza dla MŚP. Ponadto planowany podział pracy</w:t>
      </w:r>
      <w:r w:rsidR="00DD1DFA" w:rsidRPr="00DD1DFA">
        <w:rPr>
          <w:noProof/>
        </w:rPr>
        <w:t xml:space="preserve"> i</w:t>
      </w:r>
      <w:r w:rsidR="00DD1DFA">
        <w:rPr>
          <w:noProof/>
        </w:rPr>
        <w:t> </w:t>
      </w:r>
      <w:r w:rsidR="00DD1DFA" w:rsidRPr="00DD1DFA">
        <w:rPr>
          <w:noProof/>
        </w:rPr>
        <w:t>dos</w:t>
      </w:r>
      <w:r w:rsidRPr="00DD1DFA">
        <w:rPr>
          <w:noProof/>
        </w:rPr>
        <w:t>tosowanie się pod kątem technicznym do rozporządzenia</w:t>
      </w:r>
      <w:r w:rsidR="00DD1DFA" w:rsidRPr="00DD1DFA">
        <w:rPr>
          <w:noProof/>
        </w:rPr>
        <w:t xml:space="preserve"> w</w:t>
      </w:r>
      <w:r w:rsidR="00DD1DFA">
        <w:rPr>
          <w:noProof/>
        </w:rPr>
        <w:t> </w:t>
      </w:r>
      <w:r w:rsidR="00DD1DFA" w:rsidRPr="00DD1DFA">
        <w:rPr>
          <w:noProof/>
        </w:rPr>
        <w:t>spr</w:t>
      </w:r>
      <w:r w:rsidRPr="00DD1DFA">
        <w:rPr>
          <w:noProof/>
        </w:rPr>
        <w:t>awie ekoprojektu dla zrównoważonych produktów pozwolą uniknąć niepotrzebnych obciążeń dla przedsiębiorstw, zwłaszcza dla MŚP.</w:t>
      </w:r>
    </w:p>
    <w:p w14:paraId="4C9CC8C1" w14:textId="0D6D0CB8" w:rsidR="004E75DC" w:rsidRPr="00DD1DFA" w:rsidRDefault="004E75DC" w:rsidP="004E75DC">
      <w:pPr>
        <w:spacing w:before="0" w:after="240"/>
        <w:rPr>
          <w:rFonts w:eastAsia="Calibri"/>
          <w:noProof/>
        </w:rPr>
      </w:pPr>
      <w:r w:rsidRPr="00DD1DFA">
        <w:rPr>
          <w:noProof/>
        </w:rPr>
        <w:t>We wniosku</w:t>
      </w:r>
      <w:r w:rsidR="00DD1DFA" w:rsidRPr="00DD1DFA">
        <w:rPr>
          <w:noProof/>
        </w:rPr>
        <w:t xml:space="preserve"> w</w:t>
      </w:r>
      <w:r w:rsidR="00DD1DFA">
        <w:rPr>
          <w:noProof/>
        </w:rPr>
        <w:t> </w:t>
      </w:r>
      <w:r w:rsidR="00DD1DFA" w:rsidRPr="00DD1DFA">
        <w:rPr>
          <w:noProof/>
        </w:rPr>
        <w:t>mak</w:t>
      </w:r>
      <w:r w:rsidRPr="00DD1DFA">
        <w:rPr>
          <w:noProof/>
        </w:rPr>
        <w:t>symalnym stopniu wykorzystuje się potencjał transformacji cyfrowej</w:t>
      </w:r>
      <w:r w:rsidR="00DD1DFA" w:rsidRPr="00DD1DFA">
        <w:rPr>
          <w:noProof/>
        </w:rPr>
        <w:t xml:space="preserve"> w</w:t>
      </w:r>
      <w:r w:rsidR="00DD1DFA">
        <w:rPr>
          <w:noProof/>
        </w:rPr>
        <w:t> </w:t>
      </w:r>
      <w:r w:rsidR="00DD1DFA" w:rsidRPr="00DD1DFA">
        <w:rPr>
          <w:noProof/>
        </w:rPr>
        <w:t>cel</w:t>
      </w:r>
      <w:r w:rsidRPr="00DD1DFA">
        <w:rPr>
          <w:noProof/>
        </w:rPr>
        <w:t>u zmniejszenia obciążeń administracyjnych, zważywszy, że rozporządzenie</w:t>
      </w:r>
      <w:r w:rsidR="00DD1DFA" w:rsidRPr="00DD1DFA">
        <w:rPr>
          <w:noProof/>
        </w:rPr>
        <w:t xml:space="preserve"> w</w:t>
      </w:r>
      <w:r w:rsidR="00DD1DFA">
        <w:rPr>
          <w:noProof/>
        </w:rPr>
        <w:t> </w:t>
      </w:r>
      <w:r w:rsidR="00DD1DFA" w:rsidRPr="00DD1DFA">
        <w:rPr>
          <w:noProof/>
        </w:rPr>
        <w:t>spr</w:t>
      </w:r>
      <w:r w:rsidRPr="00DD1DFA">
        <w:rPr>
          <w:noProof/>
        </w:rPr>
        <w:t>awie wyrobów budowlanych nie przewiduje stosowania narzędzi cyfrowych. Dokumentacja</w:t>
      </w:r>
      <w:r w:rsidR="00DD1DFA" w:rsidRPr="00DD1DFA">
        <w:rPr>
          <w:noProof/>
        </w:rPr>
        <w:t xml:space="preserve"> i</w:t>
      </w:r>
      <w:r w:rsidR="00DD1DFA">
        <w:rPr>
          <w:noProof/>
        </w:rPr>
        <w:t> </w:t>
      </w:r>
      <w:r w:rsidR="00DD1DFA" w:rsidRPr="00DD1DFA">
        <w:rPr>
          <w:noProof/>
        </w:rPr>
        <w:t>wsz</w:t>
      </w:r>
      <w:r w:rsidRPr="00DD1DFA">
        <w:rPr>
          <w:noProof/>
        </w:rPr>
        <w:t>ystkie informacje związane</w:t>
      </w:r>
      <w:r w:rsidR="00DD1DFA" w:rsidRPr="00DD1DFA">
        <w:rPr>
          <w:noProof/>
        </w:rPr>
        <w:t xml:space="preserve"> z</w:t>
      </w:r>
      <w:r w:rsidR="00DD1DFA">
        <w:rPr>
          <w:noProof/>
        </w:rPr>
        <w:t> </w:t>
      </w:r>
      <w:r w:rsidR="00DD1DFA" w:rsidRPr="00DD1DFA">
        <w:rPr>
          <w:noProof/>
        </w:rPr>
        <w:t>wni</w:t>
      </w:r>
      <w:r w:rsidRPr="00DD1DFA">
        <w:rPr>
          <w:noProof/>
        </w:rPr>
        <w:t>oskiem mogą być przetwarzane</w:t>
      </w:r>
      <w:r w:rsidR="00DD1DFA" w:rsidRPr="00DD1DFA">
        <w:rPr>
          <w:noProof/>
        </w:rPr>
        <w:t xml:space="preserve"> w</w:t>
      </w:r>
      <w:r w:rsidR="00DD1DFA">
        <w:rPr>
          <w:noProof/>
        </w:rPr>
        <w:t> </w:t>
      </w:r>
      <w:r w:rsidR="00DD1DFA" w:rsidRPr="00DD1DFA">
        <w:rPr>
          <w:noProof/>
        </w:rPr>
        <w:t>for</w:t>
      </w:r>
      <w:r w:rsidRPr="00DD1DFA">
        <w:rPr>
          <w:noProof/>
        </w:rPr>
        <w:t>mie cyfrowej (np. cyfrowy paszport wyrobu) oraz przechowywane, udostępniane</w:t>
      </w:r>
      <w:r w:rsidR="00DD1DFA" w:rsidRPr="00DD1DFA">
        <w:rPr>
          <w:noProof/>
        </w:rPr>
        <w:t xml:space="preserve"> i</w:t>
      </w:r>
      <w:r w:rsidR="00DD1DFA">
        <w:rPr>
          <w:noProof/>
        </w:rPr>
        <w:t> </w:t>
      </w:r>
      <w:r w:rsidR="00DD1DFA" w:rsidRPr="00DD1DFA">
        <w:rPr>
          <w:noProof/>
        </w:rPr>
        <w:t>dos</w:t>
      </w:r>
      <w:r w:rsidRPr="00DD1DFA">
        <w:rPr>
          <w:noProof/>
        </w:rPr>
        <w:t>tępne</w:t>
      </w:r>
      <w:r w:rsidR="00DD1DFA" w:rsidRPr="00DD1DFA">
        <w:rPr>
          <w:noProof/>
        </w:rPr>
        <w:t xml:space="preserve"> w</w:t>
      </w:r>
      <w:r w:rsidR="00DD1DFA">
        <w:rPr>
          <w:noProof/>
        </w:rPr>
        <w:t> </w:t>
      </w:r>
      <w:r w:rsidR="00DD1DFA" w:rsidRPr="00DD1DFA">
        <w:rPr>
          <w:noProof/>
        </w:rPr>
        <w:t>spo</w:t>
      </w:r>
      <w:r w:rsidRPr="00DD1DFA">
        <w:rPr>
          <w:noProof/>
        </w:rPr>
        <w:t>sób trwały</w:t>
      </w:r>
      <w:r w:rsidR="00DD1DFA" w:rsidRPr="00DD1DFA">
        <w:rPr>
          <w:noProof/>
        </w:rPr>
        <w:t xml:space="preserve"> w</w:t>
      </w:r>
      <w:r w:rsidR="00DD1DFA">
        <w:rPr>
          <w:noProof/>
        </w:rPr>
        <w:t> </w:t>
      </w:r>
      <w:r w:rsidR="00DD1DFA" w:rsidRPr="00DD1DFA">
        <w:rPr>
          <w:noProof/>
        </w:rPr>
        <w:t>sys</w:t>
      </w:r>
      <w:r w:rsidRPr="00DD1DFA">
        <w:rPr>
          <w:noProof/>
        </w:rPr>
        <w:t>temie informatycznym. Doprowadzi to do większej przejrzystości</w:t>
      </w:r>
      <w:r w:rsidR="00DD1DFA" w:rsidRPr="00DD1DFA">
        <w:rPr>
          <w:noProof/>
        </w:rPr>
        <w:t xml:space="preserve"> w</w:t>
      </w:r>
      <w:r w:rsidR="00DD1DFA">
        <w:rPr>
          <w:noProof/>
        </w:rPr>
        <w:t> </w:t>
      </w:r>
      <w:r w:rsidR="00DD1DFA" w:rsidRPr="00DD1DFA">
        <w:rPr>
          <w:noProof/>
        </w:rPr>
        <w:t>łań</w:t>
      </w:r>
      <w:r w:rsidRPr="00DD1DFA">
        <w:rPr>
          <w:noProof/>
        </w:rPr>
        <w:t>cuchach dostaw, umożliwi przechowywanie danych dotyczących wyrobów budowlanych</w:t>
      </w:r>
      <w:r w:rsidR="00DD1DFA" w:rsidRPr="00DD1DFA">
        <w:rPr>
          <w:noProof/>
        </w:rPr>
        <w:t xml:space="preserve"> w</w:t>
      </w:r>
      <w:r w:rsidR="00DD1DFA">
        <w:rPr>
          <w:noProof/>
        </w:rPr>
        <w:t> </w:t>
      </w:r>
      <w:r w:rsidR="00DD1DFA" w:rsidRPr="00DD1DFA">
        <w:rPr>
          <w:noProof/>
        </w:rPr>
        <w:t>dzi</w:t>
      </w:r>
      <w:r w:rsidRPr="00DD1DFA">
        <w:rPr>
          <w:noProof/>
        </w:rPr>
        <w:t>ennikach budowy</w:t>
      </w:r>
      <w:r w:rsidR="00DD1DFA" w:rsidRPr="00DD1DFA">
        <w:rPr>
          <w:noProof/>
        </w:rPr>
        <w:t xml:space="preserve"> i</w:t>
      </w:r>
      <w:r w:rsidR="00DD1DFA">
        <w:rPr>
          <w:noProof/>
        </w:rPr>
        <w:t> </w:t>
      </w:r>
      <w:r w:rsidR="00DD1DFA" w:rsidRPr="00DD1DFA">
        <w:rPr>
          <w:noProof/>
        </w:rPr>
        <w:t>wyk</w:t>
      </w:r>
      <w:r w:rsidRPr="00DD1DFA">
        <w:rPr>
          <w:noProof/>
        </w:rPr>
        <w:t>orzystywanie ich do obliczeń wymaganych na mocy innych przepisów (np. dyrektywy</w:t>
      </w:r>
      <w:r w:rsidR="00DD1DFA" w:rsidRPr="00DD1DFA">
        <w:rPr>
          <w:noProof/>
        </w:rPr>
        <w:t xml:space="preserve"> w</w:t>
      </w:r>
      <w:r w:rsidR="00DD1DFA">
        <w:rPr>
          <w:noProof/>
        </w:rPr>
        <w:t> </w:t>
      </w:r>
      <w:r w:rsidR="00DD1DFA" w:rsidRPr="00DD1DFA">
        <w:rPr>
          <w:noProof/>
        </w:rPr>
        <w:t>spr</w:t>
      </w:r>
      <w:r w:rsidRPr="00DD1DFA">
        <w:rPr>
          <w:noProof/>
        </w:rPr>
        <w:t>awie charakterystyki energetycznej budynków). Ułatwi to również nadzór rynku.</w:t>
      </w:r>
    </w:p>
    <w:p w14:paraId="35CE6BEE" w14:textId="1C1893D2" w:rsidR="004E75DC" w:rsidRPr="00DD1DFA" w:rsidRDefault="004E75DC" w:rsidP="004E75DC">
      <w:pPr>
        <w:spacing w:before="0" w:after="240"/>
        <w:rPr>
          <w:rFonts w:eastAsia="Times New Roman"/>
          <w:noProof/>
        </w:rPr>
      </w:pPr>
      <w:r w:rsidRPr="00DD1DFA">
        <w:rPr>
          <w:noProof/>
        </w:rPr>
        <w:t>Dalsze zmniejszenie obciążenia administracyjnego dla producentów zostanie osiągnięte dzięki eliminacji pokrywania się oznakowania CE</w:t>
      </w:r>
      <w:r w:rsidR="00DD1DFA" w:rsidRPr="00DD1DFA">
        <w:rPr>
          <w:noProof/>
        </w:rPr>
        <w:t xml:space="preserve"> i</w:t>
      </w:r>
      <w:r w:rsidR="00DD1DFA">
        <w:rPr>
          <w:noProof/>
        </w:rPr>
        <w:t> </w:t>
      </w:r>
      <w:r w:rsidR="00DD1DFA" w:rsidRPr="00DD1DFA">
        <w:rPr>
          <w:noProof/>
        </w:rPr>
        <w:t>dek</w:t>
      </w:r>
      <w:r w:rsidRPr="00DD1DFA">
        <w:rPr>
          <w:noProof/>
        </w:rPr>
        <w:t>laracji właściwości użytkowych. Państwa członkowskie mogłyby również zwolnić mikroprzedsiębiorstwa, które nie prowadzą handlu transgranicznego,</w:t>
      </w:r>
      <w:r w:rsidR="00DD1DFA" w:rsidRPr="00DD1DFA">
        <w:rPr>
          <w:noProof/>
        </w:rPr>
        <w:t xml:space="preserve"> z</w:t>
      </w:r>
      <w:r w:rsidR="00DD1DFA">
        <w:rPr>
          <w:noProof/>
        </w:rPr>
        <w:t> </w:t>
      </w:r>
      <w:r w:rsidR="00DD1DFA" w:rsidRPr="00DD1DFA">
        <w:rPr>
          <w:noProof/>
        </w:rPr>
        <w:t>obo</w:t>
      </w:r>
      <w:r w:rsidRPr="00DD1DFA">
        <w:rPr>
          <w:noProof/>
        </w:rPr>
        <w:t>wiązków wynikających</w:t>
      </w:r>
      <w:r w:rsidR="00DD1DFA" w:rsidRPr="00DD1DFA">
        <w:rPr>
          <w:noProof/>
        </w:rPr>
        <w:t xml:space="preserve"> z</w:t>
      </w:r>
      <w:r w:rsidR="00DD1DFA">
        <w:rPr>
          <w:noProof/>
        </w:rPr>
        <w:t> </w:t>
      </w:r>
      <w:r w:rsidR="00DD1DFA" w:rsidRPr="00DD1DFA">
        <w:rPr>
          <w:noProof/>
        </w:rPr>
        <w:t>roz</w:t>
      </w:r>
      <w:r w:rsidRPr="00DD1DFA">
        <w:rPr>
          <w:noProof/>
        </w:rPr>
        <w:t>porządzenia.</w:t>
      </w:r>
    </w:p>
    <w:p w14:paraId="4B0F5ECE" w14:textId="2921C755" w:rsidR="00AA79E1" w:rsidRPr="00DD1DFA" w:rsidRDefault="004E75DC" w:rsidP="004E75DC">
      <w:pPr>
        <w:spacing w:before="0" w:after="240"/>
        <w:rPr>
          <w:rFonts w:eastAsia="Calibri"/>
          <w:noProof/>
        </w:rPr>
      </w:pPr>
      <w:r w:rsidRPr="00DD1DFA">
        <w:rPr>
          <w:noProof/>
        </w:rPr>
        <w:t>Dzięki nowym uprawnieniom dla Komisji do wprowadzenia minimalnej liczby kontroli, które mają być przeprowadzane przez organy nadzoru rynku, wniosek ma na celu poprawę nierównomiernego stosowania przepisów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na rynku. Może to wymagać zwiększenia zdolności organów nadzoru rynku, ale pozwoli na lepsze wsparcie państw członkowskich</w:t>
      </w:r>
      <w:r w:rsidR="00DD1DFA" w:rsidRPr="00DD1DFA">
        <w:rPr>
          <w:noProof/>
        </w:rPr>
        <w:t xml:space="preserve"> w</w:t>
      </w:r>
      <w:r w:rsidR="00DD1DFA">
        <w:rPr>
          <w:noProof/>
        </w:rPr>
        <w:t> </w:t>
      </w:r>
      <w:r w:rsidR="00DD1DFA" w:rsidRPr="00DD1DFA">
        <w:rPr>
          <w:noProof/>
        </w:rPr>
        <w:t>wyp</w:t>
      </w:r>
      <w:r w:rsidRPr="00DD1DFA">
        <w:rPr>
          <w:noProof/>
        </w:rPr>
        <w:t>ełnianiu ich obowiązków</w:t>
      </w:r>
      <w:r w:rsidR="00DD1DFA" w:rsidRPr="00DD1DFA">
        <w:rPr>
          <w:noProof/>
        </w:rPr>
        <w:t xml:space="preserve"> w</w:t>
      </w:r>
      <w:r w:rsidR="00DD1DFA">
        <w:rPr>
          <w:noProof/>
        </w:rPr>
        <w:t> </w:t>
      </w:r>
      <w:r w:rsidR="00DD1DFA" w:rsidRPr="00DD1DFA">
        <w:rPr>
          <w:noProof/>
        </w:rPr>
        <w:t>zak</w:t>
      </w:r>
      <w:r w:rsidRPr="00DD1DFA">
        <w:rPr>
          <w:noProof/>
        </w:rPr>
        <w:t>resie zapewnienia bezpieczeństwa</w:t>
      </w:r>
      <w:r w:rsidR="00DD1DFA" w:rsidRPr="00DD1DFA">
        <w:rPr>
          <w:noProof/>
        </w:rPr>
        <w:t xml:space="preserve"> i</w:t>
      </w:r>
      <w:r w:rsidR="00DD1DFA">
        <w:rPr>
          <w:noProof/>
        </w:rPr>
        <w:t> </w:t>
      </w:r>
      <w:r w:rsidR="00DD1DFA" w:rsidRPr="00DD1DFA">
        <w:rPr>
          <w:noProof/>
        </w:rPr>
        <w:t>zró</w:t>
      </w:r>
      <w:r w:rsidRPr="00DD1DFA">
        <w:rPr>
          <w:noProof/>
        </w:rPr>
        <w:t>wnoważoności obiektów budowlanych.</w:t>
      </w:r>
    </w:p>
    <w:p w14:paraId="27B4DA68" w14:textId="77777777" w:rsidR="00AA79E1" w:rsidRPr="00DD1DFA" w:rsidRDefault="00AA79E1" w:rsidP="00AA79E1">
      <w:pPr>
        <w:pStyle w:val="ManualHeading2"/>
        <w:rPr>
          <w:rFonts w:eastAsia="Calibri"/>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Prawa podstawowe</w:t>
      </w:r>
    </w:p>
    <w:p w14:paraId="602B8BE4" w14:textId="77777777" w:rsidR="00AA79E1" w:rsidRPr="00DD1DFA" w:rsidRDefault="004E75DC" w:rsidP="00AA79E1">
      <w:pPr>
        <w:spacing w:before="0" w:after="240"/>
        <w:rPr>
          <w:rFonts w:eastAsia="Times New Roman"/>
          <w:noProof/>
          <w:szCs w:val="24"/>
        </w:rPr>
      </w:pPr>
      <w:r w:rsidRPr="00DD1DFA">
        <w:rPr>
          <w:noProof/>
        </w:rPr>
        <w:t xml:space="preserve">Niniejszy wniosek </w:t>
      </w:r>
      <w:r w:rsidRPr="00DD1DFA">
        <w:rPr>
          <w:b/>
          <w:noProof/>
        </w:rPr>
        <w:t>nie</w:t>
      </w:r>
      <w:r w:rsidRPr="00DD1DFA">
        <w:rPr>
          <w:noProof/>
        </w:rPr>
        <w:t xml:space="preserve"> ma wpływu na ochronę praw podstawowych.</w:t>
      </w:r>
    </w:p>
    <w:p w14:paraId="01A287F1" w14:textId="77777777" w:rsidR="00AA79E1" w:rsidRPr="00DD1DFA" w:rsidRDefault="00AA79E1" w:rsidP="00AA79E1">
      <w:pPr>
        <w:pStyle w:val="ManualHeading1"/>
        <w:rPr>
          <w:rFonts w:eastAsia="Arial Unicode MS"/>
          <w:noProof/>
          <w:bdr w:val="none" w:sz="0" w:space="0" w:color="auto" w:frame="1"/>
        </w:rPr>
      </w:pPr>
      <w:r w:rsidRPr="00DD1DFA">
        <w:rPr>
          <w:smallCaps w:val="0"/>
          <w:noProof/>
        </w:rPr>
        <w:t>4.</w:t>
      </w:r>
      <w:r w:rsidRPr="00DD1DFA">
        <w:rPr>
          <w:noProof/>
        </w:rPr>
        <w:tab/>
        <w:t>WPŁYW NA BUDŻET</w:t>
      </w:r>
    </w:p>
    <w:p w14:paraId="5345E16C" w14:textId="6478116B" w:rsidR="004E75DC" w:rsidRPr="00DD1DFA" w:rsidRDefault="004E75DC" w:rsidP="004E75DC">
      <w:pPr>
        <w:rPr>
          <w:rFonts w:eastAsia="Times New Roman"/>
          <w:noProof/>
        </w:rPr>
      </w:pPr>
      <w:r w:rsidRPr="00DD1DFA">
        <w:rPr>
          <w:noProof/>
        </w:rPr>
        <w:t>W związku</w:t>
      </w:r>
      <w:r w:rsidR="00DD1DFA" w:rsidRPr="00DD1DFA">
        <w:rPr>
          <w:noProof/>
        </w:rPr>
        <w:t xml:space="preserve"> z</w:t>
      </w:r>
      <w:r w:rsidR="00DD1DFA">
        <w:rPr>
          <w:noProof/>
        </w:rPr>
        <w:t> </w:t>
      </w:r>
      <w:r w:rsidR="00DD1DFA" w:rsidRPr="00DD1DFA">
        <w:rPr>
          <w:noProof/>
        </w:rPr>
        <w:t>wni</w:t>
      </w:r>
      <w:r w:rsidRPr="00DD1DFA">
        <w:rPr>
          <w:noProof/>
        </w:rPr>
        <w:t>oskiem wymagane będą dodatkowe zasoby, aby skutecznie zarządzać ramami prawnymi rozporządzenia</w:t>
      </w:r>
      <w:r w:rsidR="00DD1DFA" w:rsidRPr="00DD1DFA">
        <w:rPr>
          <w:noProof/>
        </w:rPr>
        <w:t xml:space="preserve"> w</w:t>
      </w:r>
      <w:r w:rsidR="00DD1DFA">
        <w:rPr>
          <w:noProof/>
        </w:rPr>
        <w:t> </w:t>
      </w:r>
      <w:r w:rsidR="00DD1DFA" w:rsidRPr="00DD1DFA">
        <w:rPr>
          <w:noProof/>
        </w:rPr>
        <w:t>spr</w:t>
      </w:r>
      <w:r w:rsidRPr="00DD1DFA">
        <w:rPr>
          <w:noProof/>
        </w:rPr>
        <w:t xml:space="preserve">awie wyrobów budowlanych. Wnioskowane </w:t>
      </w:r>
      <w:r w:rsidRPr="00DD1DFA">
        <w:rPr>
          <w:b/>
          <w:bCs/>
          <w:noProof/>
        </w:rPr>
        <w:t>zwiększenie potrzeb kadrowych</w:t>
      </w:r>
      <w:r w:rsidR="00DD1DFA" w:rsidRPr="00DD1DFA">
        <w:rPr>
          <w:b/>
          <w:bCs/>
          <w:noProof/>
        </w:rPr>
        <w:t xml:space="preserve"> o</w:t>
      </w:r>
      <w:r w:rsidR="00DD1DFA">
        <w:rPr>
          <w:b/>
          <w:bCs/>
          <w:noProof/>
        </w:rPr>
        <w:t> </w:t>
      </w:r>
      <w:r w:rsidR="00DD1DFA" w:rsidRPr="00DD1DFA">
        <w:rPr>
          <w:b/>
          <w:bCs/>
          <w:noProof/>
        </w:rPr>
        <w:t>7</w:t>
      </w:r>
      <w:r w:rsidRPr="00DD1DFA">
        <w:rPr>
          <w:b/>
          <w:bCs/>
          <w:noProof/>
        </w:rPr>
        <w:t xml:space="preserve"> EPC</w:t>
      </w:r>
      <w:r w:rsidRPr="00DD1DFA">
        <w:rPr>
          <w:rStyle w:val="Odwoanieprzypisudolnego"/>
          <w:b/>
          <w:bCs/>
          <w:noProof/>
        </w:rPr>
        <w:footnoteReference w:id="32"/>
      </w:r>
      <w:r w:rsidRPr="00DD1DFA">
        <w:rPr>
          <w:noProof/>
        </w:rPr>
        <w:t xml:space="preserve"> jest proporcjonalne do celów. Personel Komisji będzie realizować następujące główne działania:</w:t>
      </w:r>
    </w:p>
    <w:p w14:paraId="3AE5C0E8" w14:textId="322FFFB8" w:rsidR="004E75DC" w:rsidRPr="00DD1DFA" w:rsidRDefault="004E75DC" w:rsidP="004E75DC">
      <w:pPr>
        <w:pStyle w:val="Bullet1"/>
        <w:tabs>
          <w:tab w:val="clear" w:pos="1417"/>
          <w:tab w:val="num" w:pos="1287"/>
        </w:tabs>
        <w:ind w:left="1287"/>
        <w:rPr>
          <w:rFonts w:ascii="Calibri" w:hAnsi="Calibri"/>
          <w:noProof/>
        </w:rPr>
      </w:pPr>
      <w:r w:rsidRPr="00DD1DFA">
        <w:rPr>
          <w:noProof/>
        </w:rPr>
        <w:t>opracowanie</w:t>
      </w:r>
      <w:r w:rsidR="00DD1DFA" w:rsidRPr="00DD1DFA">
        <w:rPr>
          <w:noProof/>
        </w:rPr>
        <w:t xml:space="preserve"> i</w:t>
      </w:r>
      <w:r w:rsidR="00DD1DFA">
        <w:rPr>
          <w:noProof/>
        </w:rPr>
        <w:t> </w:t>
      </w:r>
      <w:r w:rsidR="00DD1DFA" w:rsidRPr="00DD1DFA">
        <w:rPr>
          <w:noProof/>
        </w:rPr>
        <w:t>wdr</w:t>
      </w:r>
      <w:r w:rsidRPr="00DD1DFA">
        <w:rPr>
          <w:noProof/>
        </w:rPr>
        <w:t>ożenie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w:t>
      </w:r>
    </w:p>
    <w:p w14:paraId="1B264CF7" w14:textId="05C47A1C" w:rsidR="004E75DC" w:rsidRPr="00DD1DFA" w:rsidRDefault="004E75DC" w:rsidP="004E75DC">
      <w:pPr>
        <w:pStyle w:val="Bullet1"/>
        <w:tabs>
          <w:tab w:val="clear" w:pos="1417"/>
          <w:tab w:val="num" w:pos="1287"/>
        </w:tabs>
        <w:ind w:left="1287"/>
        <w:rPr>
          <w:rFonts w:ascii="Calibri" w:hAnsi="Calibri"/>
          <w:noProof/>
          <w:szCs w:val="24"/>
        </w:rPr>
      </w:pPr>
      <w:r w:rsidRPr="00DD1DFA">
        <w:rPr>
          <w:noProof/>
        </w:rPr>
        <w:t>opracowanie prawa wtórnego (akty wykonawcze</w:t>
      </w:r>
      <w:r w:rsidR="00DD1DFA" w:rsidRPr="00DD1DFA">
        <w:rPr>
          <w:noProof/>
        </w:rPr>
        <w:t xml:space="preserve"> i</w:t>
      </w:r>
      <w:r w:rsidR="00DD1DFA">
        <w:rPr>
          <w:noProof/>
        </w:rPr>
        <w:t> </w:t>
      </w:r>
      <w:r w:rsidR="00DD1DFA" w:rsidRPr="00DD1DFA">
        <w:rPr>
          <w:noProof/>
        </w:rPr>
        <w:t>del</w:t>
      </w:r>
      <w:r w:rsidRPr="00DD1DFA">
        <w:rPr>
          <w:noProof/>
        </w:rPr>
        <w:t>egowane);</w:t>
      </w:r>
    </w:p>
    <w:p w14:paraId="27635A8D" w14:textId="437703FB" w:rsidR="004E75DC" w:rsidRPr="00DD1DFA" w:rsidRDefault="004E75DC" w:rsidP="004E75DC">
      <w:pPr>
        <w:pStyle w:val="Bullet1"/>
        <w:tabs>
          <w:tab w:val="clear" w:pos="1417"/>
          <w:tab w:val="num" w:pos="1287"/>
        </w:tabs>
        <w:ind w:left="1287"/>
        <w:rPr>
          <w:rFonts w:ascii="Calibri" w:hAnsi="Calibri"/>
          <w:noProof/>
        </w:rPr>
      </w:pPr>
      <w:r w:rsidRPr="00DD1DFA">
        <w:rPr>
          <w:noProof/>
        </w:rPr>
        <w:t>opracowywanie zleceń normalizacji</w:t>
      </w:r>
      <w:r w:rsidR="00DD1DFA" w:rsidRPr="00DD1DFA">
        <w:rPr>
          <w:noProof/>
        </w:rPr>
        <w:t xml:space="preserve"> i</w:t>
      </w:r>
      <w:r w:rsidR="00DD1DFA">
        <w:rPr>
          <w:noProof/>
        </w:rPr>
        <w:t> </w:t>
      </w:r>
      <w:r w:rsidR="00DD1DFA" w:rsidRPr="00DD1DFA">
        <w:rPr>
          <w:noProof/>
        </w:rPr>
        <w:t>akt</w:t>
      </w:r>
      <w:r w:rsidRPr="00DD1DFA">
        <w:rPr>
          <w:noProof/>
        </w:rPr>
        <w:t>ów Komisji oraz zarządzanie nimi;</w:t>
      </w:r>
    </w:p>
    <w:p w14:paraId="29959D41" w14:textId="2AC841B1" w:rsidR="004E75DC" w:rsidRPr="00DD1DFA" w:rsidRDefault="004E75DC" w:rsidP="004E75DC">
      <w:pPr>
        <w:pStyle w:val="Bullet1"/>
        <w:tabs>
          <w:tab w:val="clear" w:pos="1417"/>
          <w:tab w:val="num" w:pos="1287"/>
        </w:tabs>
        <w:ind w:left="1287"/>
        <w:rPr>
          <w:rFonts w:ascii="Calibri" w:hAnsi="Calibri"/>
          <w:noProof/>
          <w:szCs w:val="24"/>
        </w:rPr>
      </w:pPr>
      <w:r w:rsidRPr="00DD1DFA">
        <w:rPr>
          <w:noProof/>
        </w:rPr>
        <w:t>ocena</w:t>
      </w:r>
      <w:r w:rsidR="00DD1DFA" w:rsidRPr="00DD1DFA">
        <w:rPr>
          <w:noProof/>
        </w:rPr>
        <w:t xml:space="preserve"> i</w:t>
      </w:r>
      <w:r w:rsidR="00DD1DFA">
        <w:rPr>
          <w:noProof/>
        </w:rPr>
        <w:t> </w:t>
      </w:r>
      <w:r w:rsidR="00DD1DFA" w:rsidRPr="00DD1DFA">
        <w:rPr>
          <w:noProof/>
        </w:rPr>
        <w:t>cyt</w:t>
      </w:r>
      <w:r w:rsidRPr="00DD1DFA">
        <w:rPr>
          <w:noProof/>
        </w:rPr>
        <w:t>owanie zharmonizowanych specyfikacji technicznych;</w:t>
      </w:r>
    </w:p>
    <w:p w14:paraId="6BBE8BC5" w14:textId="77777777" w:rsidR="004E75DC" w:rsidRPr="00DD1DFA" w:rsidRDefault="004E75DC" w:rsidP="004E75DC">
      <w:pPr>
        <w:pStyle w:val="Bullet1"/>
        <w:tabs>
          <w:tab w:val="clear" w:pos="1417"/>
          <w:tab w:val="num" w:pos="1287"/>
        </w:tabs>
        <w:ind w:left="1287"/>
        <w:rPr>
          <w:rFonts w:ascii="Calibri" w:hAnsi="Calibri"/>
          <w:noProof/>
          <w:szCs w:val="24"/>
        </w:rPr>
      </w:pPr>
      <w:r w:rsidRPr="00DD1DFA">
        <w:rPr>
          <w:noProof/>
        </w:rPr>
        <w:t>opracowanie wspólnych specyfikacji technicznych;</w:t>
      </w:r>
    </w:p>
    <w:p w14:paraId="0804F783" w14:textId="4D51B57D" w:rsidR="004E75DC" w:rsidRPr="00DD1DFA" w:rsidRDefault="004E75DC" w:rsidP="004E75DC">
      <w:pPr>
        <w:pStyle w:val="Bullet1"/>
        <w:tabs>
          <w:tab w:val="clear" w:pos="1417"/>
          <w:tab w:val="num" w:pos="1287"/>
        </w:tabs>
        <w:ind w:left="1287"/>
        <w:rPr>
          <w:rFonts w:ascii="Calibri" w:hAnsi="Calibri"/>
          <w:noProof/>
          <w:szCs w:val="24"/>
        </w:rPr>
      </w:pPr>
      <w:r w:rsidRPr="00DD1DFA">
        <w:rPr>
          <w:noProof/>
        </w:rPr>
        <w:t>Współpraca</w:t>
      </w:r>
      <w:r w:rsidR="00DD1DFA" w:rsidRPr="00DD1DFA">
        <w:rPr>
          <w:noProof/>
        </w:rPr>
        <w:t xml:space="preserve"> z</w:t>
      </w:r>
      <w:r w:rsidR="00DD1DFA">
        <w:rPr>
          <w:noProof/>
        </w:rPr>
        <w:t> </w:t>
      </w:r>
      <w:r w:rsidR="00DD1DFA" w:rsidRPr="00DD1DFA">
        <w:rPr>
          <w:noProof/>
        </w:rPr>
        <w:t>eur</w:t>
      </w:r>
      <w:r w:rsidRPr="00DD1DFA">
        <w:rPr>
          <w:noProof/>
        </w:rPr>
        <w:t>opejskimi organizacjami normalizacyjnymi</w:t>
      </w:r>
      <w:r w:rsidR="00DD1DFA" w:rsidRPr="00DD1DFA">
        <w:rPr>
          <w:noProof/>
        </w:rPr>
        <w:t xml:space="preserve"> w</w:t>
      </w:r>
      <w:r w:rsidR="00DD1DFA">
        <w:rPr>
          <w:noProof/>
        </w:rPr>
        <w:t> </w:t>
      </w:r>
      <w:r w:rsidR="00DD1DFA" w:rsidRPr="00DD1DFA">
        <w:rPr>
          <w:noProof/>
        </w:rPr>
        <w:t>zak</w:t>
      </w:r>
      <w:r w:rsidRPr="00DD1DFA">
        <w:rPr>
          <w:noProof/>
        </w:rPr>
        <w:t>resie prac przednormalizacyjnych</w:t>
      </w:r>
      <w:r w:rsidR="00DD1DFA" w:rsidRPr="00DD1DFA">
        <w:rPr>
          <w:noProof/>
        </w:rPr>
        <w:t xml:space="preserve"> i</w:t>
      </w:r>
      <w:r w:rsidR="00DD1DFA">
        <w:rPr>
          <w:noProof/>
        </w:rPr>
        <w:t> </w:t>
      </w:r>
      <w:r w:rsidR="00DD1DFA" w:rsidRPr="00DD1DFA">
        <w:rPr>
          <w:noProof/>
        </w:rPr>
        <w:t>nor</w:t>
      </w:r>
      <w:r w:rsidRPr="00DD1DFA">
        <w:rPr>
          <w:noProof/>
        </w:rPr>
        <w:t>malizacji;</w:t>
      </w:r>
    </w:p>
    <w:p w14:paraId="41980247" w14:textId="3B8C4487" w:rsidR="004E75DC" w:rsidRPr="00DD1DFA" w:rsidRDefault="004E75DC" w:rsidP="004E75DC">
      <w:pPr>
        <w:pStyle w:val="Bullet1"/>
        <w:tabs>
          <w:tab w:val="clear" w:pos="1417"/>
          <w:tab w:val="num" w:pos="1287"/>
        </w:tabs>
        <w:ind w:left="1287"/>
        <w:rPr>
          <w:rFonts w:ascii="Calibri" w:hAnsi="Calibri"/>
          <w:noProof/>
          <w:szCs w:val="24"/>
        </w:rPr>
      </w:pPr>
      <w:r w:rsidRPr="00DD1DFA">
        <w:rPr>
          <w:noProof/>
        </w:rPr>
        <w:t>współpraca</w:t>
      </w:r>
      <w:r w:rsidR="00DD1DFA" w:rsidRPr="00DD1DFA">
        <w:rPr>
          <w:noProof/>
        </w:rPr>
        <w:t xml:space="preserve"> w</w:t>
      </w:r>
      <w:r w:rsidR="00DD1DFA">
        <w:rPr>
          <w:noProof/>
        </w:rPr>
        <w:t> </w:t>
      </w:r>
      <w:r w:rsidR="00DD1DFA" w:rsidRPr="00DD1DFA">
        <w:rPr>
          <w:noProof/>
        </w:rPr>
        <w:t>kwe</w:t>
      </w:r>
      <w:r w:rsidRPr="00DD1DFA">
        <w:rPr>
          <w:noProof/>
        </w:rPr>
        <w:t>stiach technicznych</w:t>
      </w:r>
      <w:r w:rsidR="00DD1DFA" w:rsidRPr="00DD1DFA">
        <w:rPr>
          <w:noProof/>
        </w:rPr>
        <w:t xml:space="preserve"> z</w:t>
      </w:r>
      <w:r w:rsidR="00DD1DFA">
        <w:rPr>
          <w:noProof/>
        </w:rPr>
        <w:t> </w:t>
      </w:r>
      <w:r w:rsidR="00DD1DFA" w:rsidRPr="00DD1DFA">
        <w:rPr>
          <w:noProof/>
        </w:rPr>
        <w:t>zai</w:t>
      </w:r>
      <w:r w:rsidRPr="00DD1DFA">
        <w:rPr>
          <w:noProof/>
        </w:rPr>
        <w:t>nteresowanymi stronami;</w:t>
      </w:r>
    </w:p>
    <w:p w14:paraId="7F9C45A4" w14:textId="77777777" w:rsidR="004E75DC" w:rsidRPr="00DD1DFA" w:rsidRDefault="004E75DC" w:rsidP="004E75DC">
      <w:pPr>
        <w:pStyle w:val="Bullet1"/>
        <w:tabs>
          <w:tab w:val="clear" w:pos="1417"/>
          <w:tab w:val="num" w:pos="1287"/>
        </w:tabs>
        <w:ind w:left="1287"/>
        <w:rPr>
          <w:rFonts w:eastAsia="Calibri"/>
          <w:noProof/>
          <w:szCs w:val="24"/>
        </w:rPr>
      </w:pPr>
      <w:r w:rsidRPr="00DD1DFA">
        <w:rPr>
          <w:noProof/>
        </w:rPr>
        <w:t>zapewnienie wsparcia organom państw członkowskich;</w:t>
      </w:r>
    </w:p>
    <w:p w14:paraId="29289B57" w14:textId="2C5C6552" w:rsidR="004E75DC" w:rsidRPr="00DD1DFA" w:rsidRDefault="004E75DC" w:rsidP="004E75DC">
      <w:pPr>
        <w:pStyle w:val="Bullet1"/>
        <w:tabs>
          <w:tab w:val="clear" w:pos="1417"/>
          <w:tab w:val="num" w:pos="1287"/>
        </w:tabs>
        <w:ind w:left="1287"/>
        <w:rPr>
          <w:rFonts w:eastAsia="Calibri"/>
          <w:noProof/>
          <w:szCs w:val="24"/>
        </w:rPr>
      </w:pPr>
      <w:r w:rsidRPr="00DD1DFA">
        <w:rPr>
          <w:noProof/>
        </w:rPr>
        <w:t>prowadzenie szkoleń dla organów państw członkowskich, jednostek notyfikowanych</w:t>
      </w:r>
      <w:r w:rsidR="00DD1DFA" w:rsidRPr="00DD1DFA">
        <w:rPr>
          <w:noProof/>
        </w:rPr>
        <w:t xml:space="preserve"> i</w:t>
      </w:r>
      <w:r w:rsidR="00DD1DFA">
        <w:rPr>
          <w:noProof/>
        </w:rPr>
        <w:t> </w:t>
      </w:r>
      <w:r w:rsidR="00DD1DFA" w:rsidRPr="00DD1DFA">
        <w:rPr>
          <w:noProof/>
        </w:rPr>
        <w:t>inn</w:t>
      </w:r>
      <w:r w:rsidRPr="00DD1DFA">
        <w:rPr>
          <w:noProof/>
        </w:rPr>
        <w:t xml:space="preserve">ych organów; </w:t>
      </w:r>
    </w:p>
    <w:p w14:paraId="15DC2EB3" w14:textId="7FCD9278" w:rsidR="004E75DC" w:rsidRPr="00DD1DFA" w:rsidRDefault="004E75DC" w:rsidP="004E75DC">
      <w:pPr>
        <w:pStyle w:val="Bullet1"/>
        <w:tabs>
          <w:tab w:val="clear" w:pos="1417"/>
          <w:tab w:val="num" w:pos="1287"/>
        </w:tabs>
        <w:ind w:left="1287"/>
        <w:rPr>
          <w:rFonts w:eastAsia="Calibri"/>
          <w:noProof/>
          <w:szCs w:val="24"/>
        </w:rPr>
      </w:pPr>
      <w:r w:rsidRPr="00DD1DFA">
        <w:rPr>
          <w:noProof/>
        </w:rPr>
        <w:t>zapewnienie wytycznych dla państw członkowskich</w:t>
      </w:r>
      <w:r w:rsidR="00DD1DFA" w:rsidRPr="00DD1DFA">
        <w:rPr>
          <w:noProof/>
        </w:rPr>
        <w:t xml:space="preserve"> i</w:t>
      </w:r>
      <w:r w:rsidR="00DD1DFA">
        <w:rPr>
          <w:noProof/>
        </w:rPr>
        <w:t> </w:t>
      </w:r>
      <w:r w:rsidR="00DD1DFA" w:rsidRPr="00DD1DFA">
        <w:rPr>
          <w:noProof/>
        </w:rPr>
        <w:t>prz</w:t>
      </w:r>
      <w:r w:rsidRPr="00DD1DFA">
        <w:rPr>
          <w:noProof/>
        </w:rPr>
        <w:t>edsiębiorstw.</w:t>
      </w:r>
    </w:p>
    <w:p w14:paraId="3AF8578E" w14:textId="695E836C" w:rsidR="00AA79E1" w:rsidRPr="00DD1DFA" w:rsidRDefault="004E75DC" w:rsidP="004E75DC">
      <w:pPr>
        <w:rPr>
          <w:noProof/>
        </w:rPr>
      </w:pPr>
      <w:r w:rsidRPr="00DD1DFA">
        <w:rPr>
          <w:noProof/>
        </w:rPr>
        <w:t>Działania te mają charakter prawny, techniczny</w:t>
      </w:r>
      <w:r w:rsidR="00DD1DFA" w:rsidRPr="00DD1DFA">
        <w:rPr>
          <w:noProof/>
        </w:rPr>
        <w:t xml:space="preserve"> i</w:t>
      </w:r>
      <w:r w:rsidR="00DD1DFA">
        <w:rPr>
          <w:noProof/>
        </w:rPr>
        <w:t> </w:t>
      </w:r>
      <w:r w:rsidR="00DD1DFA" w:rsidRPr="00DD1DFA">
        <w:rPr>
          <w:noProof/>
        </w:rPr>
        <w:t>adm</w:t>
      </w:r>
      <w:r w:rsidRPr="00DD1DFA">
        <w:rPr>
          <w:noProof/>
        </w:rPr>
        <w:t>inistracyjny</w:t>
      </w:r>
      <w:r w:rsidR="00DD1DFA" w:rsidRPr="00DD1DFA">
        <w:rPr>
          <w:noProof/>
        </w:rPr>
        <w:t xml:space="preserve"> i</w:t>
      </w:r>
      <w:r w:rsidR="00DD1DFA">
        <w:rPr>
          <w:noProof/>
        </w:rPr>
        <w:t> </w:t>
      </w:r>
      <w:r w:rsidR="00DD1DFA" w:rsidRPr="00DD1DFA">
        <w:rPr>
          <w:noProof/>
        </w:rPr>
        <w:t>mus</w:t>
      </w:r>
      <w:r w:rsidRPr="00DD1DFA">
        <w:rPr>
          <w:noProof/>
        </w:rPr>
        <w:t>zą być prowadzone</w:t>
      </w:r>
      <w:r w:rsidR="00DD1DFA" w:rsidRPr="00DD1DFA">
        <w:rPr>
          <w:noProof/>
        </w:rPr>
        <w:t xml:space="preserve"> w</w:t>
      </w:r>
      <w:r w:rsidR="00DD1DFA">
        <w:rPr>
          <w:noProof/>
        </w:rPr>
        <w:t> </w:t>
      </w:r>
      <w:r w:rsidR="00DD1DFA" w:rsidRPr="00DD1DFA">
        <w:rPr>
          <w:noProof/>
        </w:rPr>
        <w:t>dep</w:t>
      </w:r>
      <w:r w:rsidRPr="00DD1DFA">
        <w:rPr>
          <w:noProof/>
        </w:rPr>
        <w:t>artamentach Komisji (lub,</w:t>
      </w:r>
      <w:r w:rsidR="00DD1DFA" w:rsidRPr="00DD1DFA">
        <w:rPr>
          <w:noProof/>
        </w:rPr>
        <w:t xml:space="preserve"> w</w:t>
      </w:r>
      <w:r w:rsidR="00DD1DFA">
        <w:rPr>
          <w:noProof/>
        </w:rPr>
        <w:t> </w:t>
      </w:r>
      <w:r w:rsidR="00DD1DFA" w:rsidRPr="00DD1DFA">
        <w:rPr>
          <w:noProof/>
        </w:rPr>
        <w:t>nie</w:t>
      </w:r>
      <w:r w:rsidRPr="00DD1DFA">
        <w:rPr>
          <w:noProof/>
        </w:rPr>
        <w:t>których przypadkach, pod ich nadzorem)</w:t>
      </w:r>
      <w:r w:rsidR="00DD1DFA" w:rsidRPr="00DD1DFA">
        <w:rPr>
          <w:noProof/>
        </w:rPr>
        <w:t>. W</w:t>
      </w:r>
      <w:r w:rsidR="00DD1DFA">
        <w:rPr>
          <w:noProof/>
        </w:rPr>
        <w:t> </w:t>
      </w:r>
      <w:r w:rsidR="00DD1DFA" w:rsidRPr="00DD1DFA">
        <w:rPr>
          <w:noProof/>
        </w:rPr>
        <w:t>zwi</w:t>
      </w:r>
      <w:r w:rsidRPr="00DD1DFA">
        <w:rPr>
          <w:noProof/>
        </w:rPr>
        <w:t>ązku</w:t>
      </w:r>
      <w:r w:rsidR="00DD1DFA" w:rsidRPr="00DD1DFA">
        <w:rPr>
          <w:noProof/>
        </w:rPr>
        <w:t xml:space="preserve"> z</w:t>
      </w:r>
      <w:r w:rsidR="00DD1DFA">
        <w:rPr>
          <w:noProof/>
        </w:rPr>
        <w:t> </w:t>
      </w:r>
      <w:r w:rsidR="00DD1DFA" w:rsidRPr="00DD1DFA">
        <w:rPr>
          <w:noProof/>
        </w:rPr>
        <w:t>tym</w:t>
      </w:r>
      <w:r w:rsidRPr="00DD1DFA">
        <w:rPr>
          <w:noProof/>
        </w:rPr>
        <w:t xml:space="preserve"> należałoby zwiększyć liczbę pracowników odpowiedzialnych za zarządzanie obecnymi ramami prawnymi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oraz zapewnić im wsparcie ze strony innych departamentów Komisji (np. Wspólnego Centrum Badawczego) lub skorzystać</w:t>
      </w:r>
      <w:r w:rsidR="00DD1DFA" w:rsidRPr="00DD1DFA">
        <w:rPr>
          <w:noProof/>
        </w:rPr>
        <w:t xml:space="preserve"> z</w:t>
      </w:r>
      <w:r w:rsidR="00DD1DFA">
        <w:rPr>
          <w:noProof/>
        </w:rPr>
        <w:t> </w:t>
      </w:r>
      <w:r w:rsidR="00DD1DFA" w:rsidRPr="00DD1DFA">
        <w:rPr>
          <w:noProof/>
        </w:rPr>
        <w:t>out</w:t>
      </w:r>
      <w:r w:rsidRPr="00DD1DFA">
        <w:rPr>
          <w:noProof/>
        </w:rPr>
        <w:t>sourcingu</w:t>
      </w:r>
      <w:r w:rsidR="00DD1DFA" w:rsidRPr="00DD1DFA">
        <w:rPr>
          <w:noProof/>
        </w:rPr>
        <w:t>. W</w:t>
      </w:r>
      <w:r w:rsidR="00DD1DFA">
        <w:rPr>
          <w:noProof/>
        </w:rPr>
        <w:t> </w:t>
      </w:r>
      <w:r w:rsidR="00DD1DFA" w:rsidRPr="00DD1DFA">
        <w:rPr>
          <w:noProof/>
        </w:rPr>
        <w:t>szc</w:t>
      </w:r>
      <w:r w:rsidRPr="00DD1DFA">
        <w:rPr>
          <w:noProof/>
        </w:rPr>
        <w:t>zególności dla zapewnienia wsparcia naukowego</w:t>
      </w:r>
      <w:r w:rsidR="00DD1DFA" w:rsidRPr="00DD1DFA">
        <w:rPr>
          <w:noProof/>
        </w:rPr>
        <w:t xml:space="preserve"> i</w:t>
      </w:r>
      <w:r w:rsidR="00DD1DFA">
        <w:rPr>
          <w:noProof/>
        </w:rPr>
        <w:t> </w:t>
      </w:r>
      <w:r w:rsidR="00DD1DFA" w:rsidRPr="00DD1DFA">
        <w:rPr>
          <w:noProof/>
        </w:rPr>
        <w:t>tec</w:t>
      </w:r>
      <w:r w:rsidRPr="00DD1DFA">
        <w:rPr>
          <w:noProof/>
        </w:rPr>
        <w:t>hnicznego</w:t>
      </w:r>
      <w:r w:rsidR="00DD1DFA" w:rsidRPr="00DD1DFA">
        <w:rPr>
          <w:noProof/>
        </w:rPr>
        <w:t xml:space="preserve"> w</w:t>
      </w:r>
      <w:r w:rsidR="00DD1DFA">
        <w:rPr>
          <w:noProof/>
        </w:rPr>
        <w:t> </w:t>
      </w:r>
      <w:r w:rsidR="00DD1DFA" w:rsidRPr="00DD1DFA">
        <w:rPr>
          <w:noProof/>
        </w:rPr>
        <w:t>prz</w:t>
      </w:r>
      <w:r w:rsidRPr="00DD1DFA">
        <w:rPr>
          <w:noProof/>
        </w:rPr>
        <w:t>ygotowywaniu aktów delegowanych</w:t>
      </w:r>
      <w:r w:rsidR="00DD1DFA" w:rsidRPr="00DD1DFA">
        <w:rPr>
          <w:noProof/>
        </w:rPr>
        <w:t xml:space="preserve"> i</w:t>
      </w:r>
      <w:r w:rsidR="00DD1DFA">
        <w:rPr>
          <w:noProof/>
        </w:rPr>
        <w:t> </w:t>
      </w:r>
      <w:r w:rsidR="00DD1DFA" w:rsidRPr="00DD1DFA">
        <w:rPr>
          <w:noProof/>
        </w:rPr>
        <w:t>wyk</w:t>
      </w:r>
      <w:r w:rsidRPr="00DD1DFA">
        <w:rPr>
          <w:noProof/>
        </w:rPr>
        <w:t>onawczych oraz</w:t>
      </w:r>
      <w:r w:rsidR="00DD1DFA" w:rsidRPr="00DD1DFA">
        <w:rPr>
          <w:noProof/>
        </w:rPr>
        <w:t xml:space="preserve"> w</w:t>
      </w:r>
      <w:r w:rsidR="00DD1DFA">
        <w:rPr>
          <w:noProof/>
        </w:rPr>
        <w:t> </w:t>
      </w:r>
      <w:r w:rsidR="00DD1DFA" w:rsidRPr="00DD1DFA">
        <w:rPr>
          <w:noProof/>
        </w:rPr>
        <w:t>rea</w:t>
      </w:r>
      <w:r w:rsidRPr="00DD1DFA">
        <w:rPr>
          <w:noProof/>
        </w:rPr>
        <w:t>lizacji zadań horyzontalnych. Stopień,</w:t>
      </w:r>
      <w:r w:rsidR="00DD1DFA" w:rsidRPr="00DD1DFA">
        <w:rPr>
          <w:noProof/>
        </w:rPr>
        <w:t xml:space="preserve"> w</w:t>
      </w:r>
      <w:r w:rsidR="00DD1DFA">
        <w:rPr>
          <w:noProof/>
        </w:rPr>
        <w:t> </w:t>
      </w:r>
      <w:r w:rsidR="00DD1DFA" w:rsidRPr="00DD1DFA">
        <w:rPr>
          <w:noProof/>
        </w:rPr>
        <w:t>jak</w:t>
      </w:r>
      <w:r w:rsidRPr="00DD1DFA">
        <w:rPr>
          <w:noProof/>
        </w:rPr>
        <w:t>im</w:t>
      </w:r>
      <w:r w:rsidR="00DD1DFA" w:rsidRPr="00DD1DFA">
        <w:rPr>
          <w:noProof/>
        </w:rPr>
        <w:t xml:space="preserve"> w</w:t>
      </w:r>
      <w:r w:rsidR="00DD1DFA">
        <w:rPr>
          <w:noProof/>
        </w:rPr>
        <w:t> </w:t>
      </w:r>
      <w:r w:rsidR="00DD1DFA" w:rsidRPr="00DD1DFA">
        <w:rPr>
          <w:noProof/>
        </w:rPr>
        <w:t>ram</w:t>
      </w:r>
      <w:r w:rsidRPr="00DD1DFA">
        <w:rPr>
          <w:noProof/>
        </w:rPr>
        <w:t>ach wniosku będzie możliwe realizacja tych celów, będzie</w:t>
      </w:r>
      <w:r w:rsidR="00DD1DFA" w:rsidRPr="00DD1DFA">
        <w:rPr>
          <w:noProof/>
        </w:rPr>
        <w:t xml:space="preserve"> w</w:t>
      </w:r>
      <w:r w:rsidR="00DD1DFA">
        <w:rPr>
          <w:noProof/>
        </w:rPr>
        <w:t> </w:t>
      </w:r>
      <w:r w:rsidR="00DD1DFA" w:rsidRPr="00DD1DFA">
        <w:rPr>
          <w:noProof/>
        </w:rPr>
        <w:t>duż</w:t>
      </w:r>
      <w:r w:rsidRPr="00DD1DFA">
        <w:rPr>
          <w:noProof/>
        </w:rPr>
        <w:t>ej mierze zależał od dostępnych zasobów Komisji.</w:t>
      </w:r>
    </w:p>
    <w:p w14:paraId="6443A3D9" w14:textId="77777777" w:rsidR="00AA79E1" w:rsidRPr="00DD1DFA" w:rsidRDefault="00AA79E1" w:rsidP="00AA79E1">
      <w:pPr>
        <w:pStyle w:val="ManualHeading1"/>
        <w:rPr>
          <w:rFonts w:eastAsia="Calibri"/>
          <w:noProof/>
        </w:rPr>
      </w:pPr>
      <w:r w:rsidRPr="00DD1DFA">
        <w:rPr>
          <w:smallCaps w:val="0"/>
          <w:noProof/>
        </w:rPr>
        <w:t>5.</w:t>
      </w:r>
      <w:r w:rsidRPr="00DD1DFA">
        <w:rPr>
          <w:noProof/>
        </w:rPr>
        <w:tab/>
        <w:t>ELEMENTY FAKULTATYWNE</w:t>
      </w:r>
    </w:p>
    <w:p w14:paraId="11F19DB1" w14:textId="28DC6F31" w:rsidR="00AA79E1" w:rsidRPr="00DD1DFA" w:rsidRDefault="00AA79E1" w:rsidP="00AA79E1">
      <w:pPr>
        <w:pStyle w:val="ManualHeading2"/>
        <w:rPr>
          <w:rFonts w:eastAsia="Calibri"/>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Plany wdrożenia</w:t>
      </w:r>
      <w:r w:rsidR="00DD1DFA" w:rsidRPr="00DD1DFA">
        <w:rPr>
          <w:noProof/>
          <w:bdr w:val="none" w:sz="0" w:space="0" w:color="auto" w:frame="1"/>
        </w:rPr>
        <w:t xml:space="preserve"> i</w:t>
      </w:r>
      <w:r w:rsidR="00DD1DFA">
        <w:rPr>
          <w:noProof/>
          <w:bdr w:val="none" w:sz="0" w:space="0" w:color="auto" w:frame="1"/>
        </w:rPr>
        <w:t> </w:t>
      </w:r>
      <w:r w:rsidR="00DD1DFA" w:rsidRPr="00DD1DFA">
        <w:rPr>
          <w:noProof/>
          <w:bdr w:val="none" w:sz="0" w:space="0" w:color="auto" w:frame="1"/>
        </w:rPr>
        <w:t>mon</w:t>
      </w:r>
      <w:r w:rsidRPr="00DD1DFA">
        <w:rPr>
          <w:noProof/>
          <w:bdr w:val="none" w:sz="0" w:space="0" w:color="auto" w:frame="1"/>
        </w:rPr>
        <w:t>itorowanie, ocena</w:t>
      </w:r>
      <w:r w:rsidR="00DD1DFA" w:rsidRPr="00DD1DFA">
        <w:rPr>
          <w:noProof/>
          <w:bdr w:val="none" w:sz="0" w:space="0" w:color="auto" w:frame="1"/>
        </w:rPr>
        <w:t xml:space="preserve"> i</w:t>
      </w:r>
      <w:r w:rsidR="00DD1DFA">
        <w:rPr>
          <w:noProof/>
          <w:bdr w:val="none" w:sz="0" w:space="0" w:color="auto" w:frame="1"/>
        </w:rPr>
        <w:t> </w:t>
      </w:r>
      <w:r w:rsidR="00DD1DFA" w:rsidRPr="00DD1DFA">
        <w:rPr>
          <w:noProof/>
          <w:bdr w:val="none" w:sz="0" w:space="0" w:color="auto" w:frame="1"/>
        </w:rPr>
        <w:t>spr</w:t>
      </w:r>
      <w:r w:rsidRPr="00DD1DFA">
        <w:rPr>
          <w:noProof/>
          <w:bdr w:val="none" w:sz="0" w:space="0" w:color="auto" w:frame="1"/>
        </w:rPr>
        <w:t>awozdania</w:t>
      </w:r>
    </w:p>
    <w:p w14:paraId="7D3B4B51" w14:textId="76650CFF" w:rsidR="004E75DC" w:rsidRPr="00DD1DFA" w:rsidRDefault="004E75DC" w:rsidP="004E75DC">
      <w:pPr>
        <w:rPr>
          <w:noProof/>
        </w:rPr>
      </w:pPr>
      <w:r w:rsidRPr="00DD1DFA">
        <w:rPr>
          <w:noProof/>
        </w:rPr>
        <w:t>Komisja będzie monitorować wdrażanie, stosowanie</w:t>
      </w:r>
      <w:r w:rsidR="00DD1DFA" w:rsidRPr="00DD1DFA">
        <w:rPr>
          <w:noProof/>
        </w:rPr>
        <w:t xml:space="preserve"> i</w:t>
      </w:r>
      <w:r w:rsidR="00DD1DFA">
        <w:rPr>
          <w:noProof/>
        </w:rPr>
        <w:t> </w:t>
      </w:r>
      <w:r w:rsidR="00DD1DFA" w:rsidRPr="00DD1DFA">
        <w:rPr>
          <w:noProof/>
        </w:rPr>
        <w:t>zgo</w:t>
      </w:r>
      <w:r w:rsidRPr="00DD1DFA">
        <w:rPr>
          <w:noProof/>
        </w:rPr>
        <w:t>dność</w:t>
      </w:r>
      <w:r w:rsidR="00DD1DFA" w:rsidRPr="00DD1DFA">
        <w:rPr>
          <w:noProof/>
        </w:rPr>
        <w:t xml:space="preserve"> z</w:t>
      </w:r>
      <w:r w:rsidR="00DD1DFA">
        <w:rPr>
          <w:noProof/>
        </w:rPr>
        <w:t> </w:t>
      </w:r>
      <w:r w:rsidR="00DD1DFA" w:rsidRPr="00DD1DFA">
        <w:rPr>
          <w:noProof/>
        </w:rPr>
        <w:t>tym</w:t>
      </w:r>
      <w:r w:rsidRPr="00DD1DFA">
        <w:rPr>
          <w:noProof/>
        </w:rPr>
        <w:t>i nowymi przepisami</w:t>
      </w:r>
      <w:r w:rsidR="00DD1DFA" w:rsidRPr="00DD1DFA">
        <w:rPr>
          <w:noProof/>
        </w:rPr>
        <w:t xml:space="preserve"> w</w:t>
      </w:r>
      <w:r w:rsidR="00DD1DFA">
        <w:rPr>
          <w:noProof/>
        </w:rPr>
        <w:t> </w:t>
      </w:r>
      <w:r w:rsidR="00DD1DFA" w:rsidRPr="00DD1DFA">
        <w:rPr>
          <w:noProof/>
        </w:rPr>
        <w:t>cel</w:t>
      </w:r>
      <w:r w:rsidRPr="00DD1DFA">
        <w:rPr>
          <w:noProof/>
        </w:rPr>
        <w:t>u oceny ich skuteczności. Monitorowanie</w:t>
      </w:r>
      <w:r w:rsidR="00DD1DFA" w:rsidRPr="00DD1DFA">
        <w:rPr>
          <w:noProof/>
        </w:rPr>
        <w:t xml:space="preserve"> i</w:t>
      </w:r>
      <w:r w:rsidR="00DD1DFA">
        <w:rPr>
          <w:noProof/>
        </w:rPr>
        <w:t> </w:t>
      </w:r>
      <w:r w:rsidR="00DD1DFA" w:rsidRPr="00DD1DFA">
        <w:rPr>
          <w:noProof/>
        </w:rPr>
        <w:t>oce</w:t>
      </w:r>
      <w:r w:rsidRPr="00DD1DFA">
        <w:rPr>
          <w:noProof/>
        </w:rPr>
        <w:t>na polityki związane</w:t>
      </w:r>
      <w:r w:rsidR="00DD1DFA" w:rsidRPr="00DD1DFA">
        <w:rPr>
          <w:noProof/>
        </w:rPr>
        <w:t xml:space="preserve"> z</w:t>
      </w:r>
      <w:r w:rsidR="00DD1DFA">
        <w:rPr>
          <w:noProof/>
        </w:rPr>
        <w:t> </w:t>
      </w:r>
      <w:r w:rsidR="00DD1DFA" w:rsidRPr="00DD1DFA">
        <w:rPr>
          <w:noProof/>
        </w:rPr>
        <w:t>wni</w:t>
      </w:r>
      <w:r w:rsidRPr="00DD1DFA">
        <w:rPr>
          <w:noProof/>
        </w:rPr>
        <w:t>oskiem będą koncentrować się na głównych zagadnieniach, które mają być przedmiotem rewizji: funkcjonowaniu procesu normalizacji, dostępności informacji dotyczących środowiska</w:t>
      </w:r>
      <w:r w:rsidR="00DD1DFA" w:rsidRPr="00DD1DFA">
        <w:rPr>
          <w:noProof/>
        </w:rPr>
        <w:t xml:space="preserve"> i</w:t>
      </w:r>
      <w:r w:rsidR="00DD1DFA">
        <w:rPr>
          <w:noProof/>
        </w:rPr>
        <w:t> </w:t>
      </w:r>
      <w:r w:rsidR="00DD1DFA" w:rsidRPr="00DD1DFA">
        <w:rPr>
          <w:noProof/>
        </w:rPr>
        <w:t>bez</w:t>
      </w:r>
      <w:r w:rsidRPr="00DD1DFA">
        <w:rPr>
          <w:noProof/>
        </w:rPr>
        <w:t>pieczeństwa produktów oraz wymogów</w:t>
      </w:r>
      <w:r w:rsidR="00DD1DFA" w:rsidRPr="00DD1DFA">
        <w:rPr>
          <w:noProof/>
        </w:rPr>
        <w:t xml:space="preserve"> w</w:t>
      </w:r>
      <w:r w:rsidR="00DD1DFA">
        <w:rPr>
          <w:noProof/>
        </w:rPr>
        <w:t> </w:t>
      </w:r>
      <w:r w:rsidR="00DD1DFA" w:rsidRPr="00DD1DFA">
        <w:rPr>
          <w:noProof/>
        </w:rPr>
        <w:t>zak</w:t>
      </w:r>
      <w:r w:rsidRPr="00DD1DFA">
        <w:rPr>
          <w:noProof/>
        </w:rPr>
        <w:t>resie ochrony środowiska</w:t>
      </w:r>
      <w:r w:rsidR="00DD1DFA" w:rsidRPr="00DD1DFA">
        <w:rPr>
          <w:noProof/>
        </w:rPr>
        <w:t xml:space="preserve"> i</w:t>
      </w:r>
      <w:r w:rsidR="00DD1DFA">
        <w:rPr>
          <w:noProof/>
        </w:rPr>
        <w:t> </w:t>
      </w:r>
      <w:r w:rsidR="00DD1DFA" w:rsidRPr="00DD1DFA">
        <w:rPr>
          <w:noProof/>
        </w:rPr>
        <w:t>bez</w:t>
      </w:r>
      <w:r w:rsidRPr="00DD1DFA">
        <w:rPr>
          <w:noProof/>
        </w:rPr>
        <w:t>pieczeństwa wyrobów zawartych</w:t>
      </w:r>
      <w:r w:rsidR="00DD1DFA" w:rsidRPr="00DD1DFA">
        <w:rPr>
          <w:noProof/>
        </w:rPr>
        <w:t xml:space="preserve"> w</w:t>
      </w:r>
      <w:r w:rsidR="00DD1DFA">
        <w:rPr>
          <w:noProof/>
        </w:rPr>
        <w:t> </w:t>
      </w:r>
      <w:r w:rsidR="00DD1DFA" w:rsidRPr="00DD1DFA">
        <w:rPr>
          <w:noProof/>
        </w:rPr>
        <w:t>spe</w:t>
      </w:r>
      <w:r w:rsidRPr="00DD1DFA">
        <w:rPr>
          <w:noProof/>
        </w:rPr>
        <w:t xml:space="preserve">cyfikacjach technicznych oraz skutków dla funkcjonowania nadzoru rynku. </w:t>
      </w:r>
    </w:p>
    <w:p w14:paraId="66C54F38" w14:textId="13088CFE" w:rsidR="00AA79E1" w:rsidRPr="00DD1DFA" w:rsidRDefault="004E75DC" w:rsidP="004E75DC">
      <w:pPr>
        <w:spacing w:before="0" w:after="240"/>
        <w:rPr>
          <w:rFonts w:eastAsia="Calibri"/>
          <w:noProof/>
        </w:rPr>
      </w:pPr>
      <w:r w:rsidRPr="00DD1DFA">
        <w:rPr>
          <w:noProof/>
        </w:rPr>
        <w:t xml:space="preserve">Proponuje się, aby ocena wniosku miała miejsce nie wcześniej niż po upływie </w:t>
      </w:r>
      <w:r w:rsidRPr="00DD1DFA">
        <w:rPr>
          <w:noProof/>
          <w:color w:val="000000" w:themeColor="text1"/>
        </w:rPr>
        <w:t>8 lat od daty rozpoczęcia stosowania</w:t>
      </w:r>
      <w:r w:rsidRPr="00DD1DFA">
        <w:rPr>
          <w:noProof/>
        </w:rPr>
        <w:t>, co pozwoli na ukształtowanie się wyników</w:t>
      </w:r>
      <w:r w:rsidR="00DD1DFA" w:rsidRPr="00DD1DFA">
        <w:rPr>
          <w:noProof/>
        </w:rPr>
        <w:t xml:space="preserve"> i</w:t>
      </w:r>
      <w:r w:rsidR="00DD1DFA">
        <w:rPr>
          <w:noProof/>
        </w:rPr>
        <w:t> </w:t>
      </w:r>
      <w:r w:rsidR="00DD1DFA" w:rsidRPr="00DD1DFA">
        <w:rPr>
          <w:noProof/>
        </w:rPr>
        <w:t>sku</w:t>
      </w:r>
      <w:r w:rsidRPr="00DD1DFA">
        <w:rPr>
          <w:noProof/>
        </w:rPr>
        <w:t>tków nowych przepisów.</w:t>
      </w:r>
    </w:p>
    <w:p w14:paraId="3A7D0DA8" w14:textId="77777777" w:rsidR="00AA79E1" w:rsidRPr="00DD1DFA" w:rsidRDefault="00AA79E1" w:rsidP="00AA79E1">
      <w:pPr>
        <w:pStyle w:val="ManualHeading2"/>
        <w:rPr>
          <w:rFonts w:eastAsia="Calibri"/>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Dokumenty wyjaśniające (w przypadku dyrektyw)</w:t>
      </w:r>
    </w:p>
    <w:p w14:paraId="6A81B89A" w14:textId="486ADFAF" w:rsidR="00AA79E1" w:rsidRPr="00DD1DFA" w:rsidRDefault="004E75DC" w:rsidP="00AA79E1">
      <w:pPr>
        <w:rPr>
          <w:noProof/>
        </w:rPr>
      </w:pPr>
      <w:r w:rsidRPr="00DD1DFA">
        <w:rPr>
          <w:noProof/>
        </w:rPr>
        <w:t>Ponieważ instrument prawny jest rozporządzeniem, które ma bezpośrednie zastosowanie</w:t>
      </w:r>
      <w:r w:rsidR="00DD1DFA" w:rsidRPr="00DD1DFA">
        <w:rPr>
          <w:noProof/>
        </w:rPr>
        <w:t xml:space="preserve"> w</w:t>
      </w:r>
      <w:r w:rsidR="00DD1DFA">
        <w:rPr>
          <w:noProof/>
        </w:rPr>
        <w:t> </w:t>
      </w:r>
      <w:r w:rsidR="00DD1DFA" w:rsidRPr="00DD1DFA">
        <w:rPr>
          <w:noProof/>
        </w:rPr>
        <w:t>pań</w:t>
      </w:r>
      <w:r w:rsidRPr="00DD1DFA">
        <w:rPr>
          <w:noProof/>
        </w:rPr>
        <w:t>stwach członkowskich, nie ma potrzeby sporządzania dokumentu wyjaśniającego.</w:t>
      </w:r>
    </w:p>
    <w:p w14:paraId="0D93CC3B" w14:textId="77777777" w:rsidR="00AA79E1" w:rsidRPr="00DD1DFA" w:rsidRDefault="00AA79E1" w:rsidP="00AA79E1">
      <w:pPr>
        <w:pStyle w:val="ManualHeading2"/>
        <w:rPr>
          <w:rFonts w:eastAsia="Calibri"/>
          <w:noProof/>
          <w:bdr w:val="none" w:sz="0" w:space="0" w:color="auto" w:frame="1"/>
        </w:rPr>
      </w:pPr>
      <w:r w:rsidRPr="00DD1DFA">
        <w:rPr>
          <w:b w:val="0"/>
          <w:noProof/>
          <w:bdr w:val="none" w:sz="0" w:space="0" w:color="auto" w:frame="1"/>
        </w:rPr>
        <w:t>•</w:t>
      </w:r>
      <w:r w:rsidRPr="00DD1DFA">
        <w:rPr>
          <w:noProof/>
        </w:rPr>
        <w:tab/>
      </w:r>
      <w:r w:rsidRPr="00DD1DFA">
        <w:rPr>
          <w:noProof/>
          <w:bdr w:val="none" w:sz="0" w:space="0" w:color="auto" w:frame="1"/>
        </w:rPr>
        <w:t>Szczegółowe objaśnienia poszczególnych przepisów wniosku</w:t>
      </w:r>
    </w:p>
    <w:p w14:paraId="7A0EB691" w14:textId="77777777" w:rsidR="004E75DC" w:rsidRPr="00DD1DFA" w:rsidRDefault="004E75DC" w:rsidP="004E75DC">
      <w:pPr>
        <w:rPr>
          <w:rFonts w:eastAsia="Calibri"/>
          <w:noProof/>
        </w:rPr>
      </w:pPr>
      <w:r w:rsidRPr="00DD1DFA">
        <w:rPr>
          <w:noProof/>
        </w:rPr>
        <w:t>Rozdział I niniejszego rozporządzenia zawiera przepisy ogólne.</w:t>
      </w:r>
    </w:p>
    <w:p w14:paraId="217ECF4A" w14:textId="3336D9D7"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1 zawarto opis przedmiotowy, wyraźnie odnosząc się do właściwości użytkowych wyrobów budowlanych</w:t>
      </w:r>
      <w:r w:rsidR="00DD1DFA" w:rsidRPr="00DD1DFA">
        <w:rPr>
          <w:noProof/>
        </w:rPr>
        <w:t xml:space="preserve"> w</w:t>
      </w:r>
      <w:r w:rsidR="00DD1DFA">
        <w:rPr>
          <w:noProof/>
        </w:rPr>
        <w:t> </w:t>
      </w:r>
      <w:r w:rsidR="00DD1DFA" w:rsidRPr="00DD1DFA">
        <w:rPr>
          <w:noProof/>
        </w:rPr>
        <w:t>zak</w:t>
      </w:r>
      <w:r w:rsidRPr="00DD1DFA">
        <w:rPr>
          <w:noProof/>
        </w:rPr>
        <w:t>resie środowiska, klimatu</w:t>
      </w:r>
      <w:r w:rsidR="00DD1DFA" w:rsidRPr="00DD1DFA">
        <w:rPr>
          <w:noProof/>
        </w:rPr>
        <w:t xml:space="preserve"> i</w:t>
      </w:r>
      <w:r w:rsidR="00DD1DFA">
        <w:rPr>
          <w:noProof/>
        </w:rPr>
        <w:t> </w:t>
      </w:r>
      <w:r w:rsidR="00DD1DFA" w:rsidRPr="00DD1DFA">
        <w:rPr>
          <w:noProof/>
        </w:rPr>
        <w:t>bez</w:t>
      </w:r>
      <w:r w:rsidRPr="00DD1DFA">
        <w:rPr>
          <w:noProof/>
        </w:rPr>
        <w:t>pieczeństwa</w:t>
      </w:r>
      <w:r w:rsidR="00DD1DFA" w:rsidRPr="00DD1DFA">
        <w:rPr>
          <w:noProof/>
        </w:rPr>
        <w:t xml:space="preserve"> w</w:t>
      </w:r>
      <w:r w:rsidR="00DD1DFA">
        <w:rPr>
          <w:noProof/>
        </w:rPr>
        <w:t> </w:t>
      </w:r>
      <w:r w:rsidR="00DD1DFA" w:rsidRPr="00DD1DFA">
        <w:rPr>
          <w:noProof/>
        </w:rPr>
        <w:t>odn</w:t>
      </w:r>
      <w:r w:rsidRPr="00DD1DFA">
        <w:rPr>
          <w:noProof/>
        </w:rPr>
        <w:t>iesieniu do ich zasadniczych charakterystyk, jak również do wymogów środowiskowych, klimatycznych, funkcjonalnych</w:t>
      </w:r>
      <w:r w:rsidR="00DD1DFA" w:rsidRPr="00DD1DFA">
        <w:rPr>
          <w:noProof/>
        </w:rPr>
        <w:t xml:space="preserve"> i</w:t>
      </w:r>
      <w:r w:rsidR="00DD1DFA">
        <w:rPr>
          <w:noProof/>
        </w:rPr>
        <w:t> </w:t>
      </w:r>
      <w:r w:rsidR="00DD1DFA" w:rsidRPr="00DD1DFA">
        <w:rPr>
          <w:noProof/>
        </w:rPr>
        <w:t>dot</w:t>
      </w:r>
      <w:r w:rsidRPr="00DD1DFA">
        <w:rPr>
          <w:noProof/>
        </w:rPr>
        <w:t xml:space="preserve">yczących bezpieczeństwa wyrobów. </w:t>
      </w:r>
    </w:p>
    <w:p w14:paraId="18E3120B" w14:textId="6903706D"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2 określono zakres rozporządzenia, między innymi wyroby budowlane, wyroby</w:t>
      </w:r>
      <w:r w:rsidR="00DD1DFA" w:rsidRPr="00DD1DFA">
        <w:rPr>
          <w:noProof/>
        </w:rPr>
        <w:t xml:space="preserve"> i</w:t>
      </w:r>
      <w:r w:rsidR="00DD1DFA">
        <w:rPr>
          <w:noProof/>
        </w:rPr>
        <w:t> </w:t>
      </w:r>
      <w:r w:rsidR="00DD1DFA" w:rsidRPr="00DD1DFA">
        <w:rPr>
          <w:noProof/>
        </w:rPr>
        <w:t>usł</w:t>
      </w:r>
      <w:r w:rsidRPr="00DD1DFA">
        <w:rPr>
          <w:noProof/>
        </w:rPr>
        <w:t>ugi związane</w:t>
      </w:r>
      <w:r w:rsidR="00DD1DFA" w:rsidRPr="00DD1DFA">
        <w:rPr>
          <w:noProof/>
        </w:rPr>
        <w:t xml:space="preserve"> z</w:t>
      </w:r>
      <w:r w:rsidR="00DD1DFA">
        <w:rPr>
          <w:noProof/>
        </w:rPr>
        <w:t> </w:t>
      </w:r>
      <w:r w:rsidR="00DD1DFA" w:rsidRPr="00DD1DFA">
        <w:rPr>
          <w:noProof/>
        </w:rPr>
        <w:t>dru</w:t>
      </w:r>
      <w:r w:rsidRPr="00DD1DFA">
        <w:rPr>
          <w:noProof/>
        </w:rPr>
        <w:t>kowaniem przestrzennym, części kluczowe, części lub materiały na życzenie producenta, zestawy lub zespoły objęte zharmonizowaną specyfikacją techniczną lub europejskimi dokumentami oceny, prefabrykowane domy jednorodzinne</w:t>
      </w:r>
      <w:r w:rsidR="00DD1DFA" w:rsidRPr="00DD1DFA">
        <w:rPr>
          <w:noProof/>
        </w:rPr>
        <w:t>. W</w:t>
      </w:r>
      <w:r w:rsidR="00DD1DFA">
        <w:rPr>
          <w:noProof/>
        </w:rPr>
        <w:t> </w:t>
      </w:r>
      <w:r w:rsidR="00DD1DFA" w:rsidRPr="00DD1DFA">
        <w:rPr>
          <w:noProof/>
        </w:rPr>
        <w:t>okr</w:t>
      </w:r>
      <w:r w:rsidRPr="00DD1DFA">
        <w:rPr>
          <w:noProof/>
        </w:rPr>
        <w:t>eślonych przypadkach rozporządzenie ma zastosowanie również do wyrobów używanych</w:t>
      </w:r>
      <w:r w:rsidR="00DD1DFA" w:rsidRPr="00DD1DFA">
        <w:rPr>
          <w:noProof/>
        </w:rPr>
        <w:t>. W</w:t>
      </w:r>
      <w:r w:rsidR="00DD1DFA">
        <w:rPr>
          <w:noProof/>
        </w:rPr>
        <w:t> </w:t>
      </w:r>
      <w:r w:rsidR="00DD1DFA" w:rsidRPr="00DD1DFA">
        <w:rPr>
          <w:noProof/>
        </w:rPr>
        <w:t>por</w:t>
      </w:r>
      <w:r w:rsidRPr="00DD1DFA">
        <w:rPr>
          <w:noProof/>
        </w:rPr>
        <w:t>ównaniu</w:t>
      </w:r>
      <w:r w:rsidR="00DD1DFA" w:rsidRPr="00DD1DFA">
        <w:rPr>
          <w:noProof/>
        </w:rPr>
        <w:t xml:space="preserve"> z</w:t>
      </w:r>
      <w:r w:rsidR="00DD1DFA">
        <w:rPr>
          <w:noProof/>
        </w:rPr>
        <w:t> </w:t>
      </w:r>
      <w:r w:rsidR="00DD1DFA" w:rsidRPr="00DD1DFA">
        <w:rPr>
          <w:noProof/>
        </w:rPr>
        <w:t>roz</w:t>
      </w:r>
      <w:r w:rsidRPr="00DD1DFA">
        <w:rPr>
          <w:noProof/>
        </w:rPr>
        <w:t>porządzeniem</w:t>
      </w:r>
      <w:r w:rsidR="00DD1DFA" w:rsidRPr="00DD1DFA">
        <w:rPr>
          <w:noProof/>
        </w:rPr>
        <w:t xml:space="preserve"> w</w:t>
      </w:r>
      <w:r w:rsidR="00DD1DFA">
        <w:rPr>
          <w:noProof/>
        </w:rPr>
        <w:t> </w:t>
      </w:r>
      <w:r w:rsidR="00DD1DFA" w:rsidRPr="00DD1DFA">
        <w:rPr>
          <w:noProof/>
        </w:rPr>
        <w:t>spr</w:t>
      </w:r>
      <w:r w:rsidRPr="00DD1DFA">
        <w:rPr>
          <w:noProof/>
        </w:rPr>
        <w:t>awie wyrobów budowlanych zakres został zmieniony, aby uniknąć pokrywania się przepisów, np.</w:t>
      </w:r>
      <w:r w:rsidR="00DD1DFA" w:rsidRPr="00DD1DFA">
        <w:rPr>
          <w:noProof/>
        </w:rPr>
        <w:t xml:space="preserve"> z</w:t>
      </w:r>
      <w:r w:rsidR="00DD1DFA">
        <w:rPr>
          <w:noProof/>
        </w:rPr>
        <w:t> </w:t>
      </w:r>
      <w:r w:rsidR="00DD1DFA" w:rsidRPr="00DD1DFA">
        <w:rPr>
          <w:noProof/>
        </w:rPr>
        <w:t>dyr</w:t>
      </w:r>
      <w:r w:rsidRPr="00DD1DFA">
        <w:rPr>
          <w:noProof/>
        </w:rPr>
        <w:t>ektywą</w:t>
      </w:r>
      <w:r w:rsidR="00DD1DFA" w:rsidRPr="00DD1DFA">
        <w:rPr>
          <w:noProof/>
        </w:rPr>
        <w:t xml:space="preserve"> w</w:t>
      </w:r>
      <w:r w:rsidR="00DD1DFA">
        <w:rPr>
          <w:noProof/>
        </w:rPr>
        <w:t> </w:t>
      </w:r>
      <w:r w:rsidR="00DD1DFA" w:rsidRPr="00DD1DFA">
        <w:rPr>
          <w:noProof/>
        </w:rPr>
        <w:t>spr</w:t>
      </w:r>
      <w:r w:rsidRPr="00DD1DFA">
        <w:rPr>
          <w:noProof/>
        </w:rPr>
        <w:t>awie wody pitnej</w:t>
      </w:r>
      <w:r w:rsidRPr="00DD1DFA">
        <w:rPr>
          <w:rStyle w:val="Odwoanieprzypisudolnego"/>
          <w:noProof/>
        </w:rPr>
        <w:footnoteReference w:id="33"/>
      </w:r>
      <w:r w:rsidR="00DD1DFA" w:rsidRPr="00DD1DFA">
        <w:rPr>
          <w:noProof/>
        </w:rPr>
        <w:t xml:space="preserve"> i</w:t>
      </w:r>
      <w:r w:rsidR="00DD1DFA">
        <w:rPr>
          <w:noProof/>
        </w:rPr>
        <w:t> </w:t>
      </w:r>
      <w:r w:rsidR="00DD1DFA" w:rsidRPr="00DD1DFA">
        <w:rPr>
          <w:noProof/>
        </w:rPr>
        <w:t>dyr</w:t>
      </w:r>
      <w:r w:rsidRPr="00DD1DFA">
        <w:rPr>
          <w:noProof/>
        </w:rPr>
        <w:t>ektywą</w:t>
      </w:r>
      <w:r w:rsidR="00DD1DFA" w:rsidRPr="00DD1DFA">
        <w:rPr>
          <w:noProof/>
        </w:rPr>
        <w:t xml:space="preserve"> o</w:t>
      </w:r>
      <w:r w:rsidR="00DD1DFA">
        <w:rPr>
          <w:noProof/>
        </w:rPr>
        <w:t> </w:t>
      </w:r>
      <w:r w:rsidR="00DD1DFA" w:rsidRPr="00DD1DFA">
        <w:rPr>
          <w:noProof/>
        </w:rPr>
        <w:t>ści</w:t>
      </w:r>
      <w:r w:rsidRPr="00DD1DFA">
        <w:rPr>
          <w:noProof/>
        </w:rPr>
        <w:t>ekach komunalnych</w:t>
      </w:r>
      <w:r w:rsidRPr="00DD1DFA">
        <w:rPr>
          <w:rStyle w:val="Odwoanieprzypisudolnego"/>
          <w:noProof/>
        </w:rPr>
        <w:footnoteReference w:id="34"/>
      </w:r>
      <w:r w:rsidRPr="00DD1DFA">
        <w:rPr>
          <w:noProof/>
        </w:rPr>
        <w:t xml:space="preserve">. </w:t>
      </w:r>
    </w:p>
    <w:p w14:paraId="5A37E066" w14:textId="75A8407B"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3 określono definicje.</w:t>
      </w:r>
    </w:p>
    <w:p w14:paraId="2CA88FEF" w14:textId="2E81005B"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4 określono podstawowe wstępne wymogi</w:t>
      </w:r>
      <w:r w:rsidR="00DD1DFA" w:rsidRPr="00DD1DFA">
        <w:rPr>
          <w:noProof/>
        </w:rPr>
        <w:t xml:space="preserve"> i</w:t>
      </w:r>
      <w:r w:rsidR="00DD1DFA">
        <w:rPr>
          <w:noProof/>
        </w:rPr>
        <w:t> </w:t>
      </w:r>
      <w:r w:rsidR="00DD1DFA" w:rsidRPr="00DD1DFA">
        <w:rPr>
          <w:noProof/>
        </w:rPr>
        <w:t>spo</w:t>
      </w:r>
      <w:r w:rsidRPr="00DD1DFA">
        <w:rPr>
          <w:noProof/>
        </w:rPr>
        <w:t>soby ustalania zasadniczych charakterystyk wyrobów budowlanych (opartych na właściwościach użytkowych, np. zawartość materiałów</w:t>
      </w:r>
      <w:r w:rsidR="00DD1DFA" w:rsidRPr="00DD1DFA">
        <w:rPr>
          <w:noProof/>
        </w:rPr>
        <w:t xml:space="preserve"> z</w:t>
      </w:r>
      <w:r w:rsidR="00DD1DFA">
        <w:rPr>
          <w:noProof/>
        </w:rPr>
        <w:t> </w:t>
      </w:r>
      <w:r w:rsidR="00DD1DFA" w:rsidRPr="00DD1DFA">
        <w:rPr>
          <w:noProof/>
        </w:rPr>
        <w:t>rec</w:t>
      </w:r>
      <w:r w:rsidRPr="00DD1DFA">
        <w:rPr>
          <w:noProof/>
        </w:rPr>
        <w:t>yklingu). Zostaną one opracowane na podstawie podstawowych wymagań dotyczących obiektów budowlanych określonych</w:t>
      </w:r>
      <w:r w:rsidR="00DD1DFA" w:rsidRPr="00DD1DFA">
        <w:rPr>
          <w:noProof/>
        </w:rPr>
        <w:t xml:space="preserve"> w</w:t>
      </w:r>
      <w:r w:rsidR="00DD1DFA">
        <w:rPr>
          <w:noProof/>
        </w:rPr>
        <w:t> </w:t>
      </w:r>
      <w:r w:rsidR="00DD1DFA" w:rsidRPr="00DD1DFA">
        <w:rPr>
          <w:noProof/>
        </w:rPr>
        <w:t>czę</w:t>
      </w:r>
      <w:r w:rsidRPr="00DD1DFA">
        <w:rPr>
          <w:noProof/>
        </w:rPr>
        <w:t>ści A załącznika I i, wraz</w:t>
      </w:r>
      <w:r w:rsidR="00DD1DFA" w:rsidRPr="00DD1DFA">
        <w:rPr>
          <w:noProof/>
        </w:rPr>
        <w:t xml:space="preserve"> z</w:t>
      </w:r>
      <w:r w:rsidR="00DD1DFA">
        <w:rPr>
          <w:noProof/>
        </w:rPr>
        <w:t> </w:t>
      </w:r>
      <w:r w:rsidR="00DD1DFA" w:rsidRPr="00DD1DFA">
        <w:rPr>
          <w:noProof/>
        </w:rPr>
        <w:t>met</w:t>
      </w:r>
      <w:r w:rsidRPr="00DD1DFA">
        <w:rPr>
          <w:noProof/>
        </w:rPr>
        <w:t>odami oceny, będą stanowić część norm uznanych za obowiązujące do celów stosowania niniejszego rozporządzenia. Komisja jest również uprawniona do przyjmowania aktów delegowanych określających progi</w:t>
      </w:r>
      <w:r w:rsidR="00DD1DFA" w:rsidRPr="00DD1DFA">
        <w:rPr>
          <w:noProof/>
        </w:rPr>
        <w:t xml:space="preserve"> i</w:t>
      </w:r>
      <w:r w:rsidR="00DD1DFA">
        <w:rPr>
          <w:noProof/>
        </w:rPr>
        <w:t> </w:t>
      </w:r>
      <w:r w:rsidR="00DD1DFA" w:rsidRPr="00DD1DFA">
        <w:rPr>
          <w:noProof/>
        </w:rPr>
        <w:t>kla</w:t>
      </w:r>
      <w:r w:rsidRPr="00DD1DFA">
        <w:rPr>
          <w:noProof/>
        </w:rPr>
        <w:t>sy właściwości użytkowych</w:t>
      </w:r>
      <w:r w:rsidR="00DD1DFA" w:rsidRPr="00DD1DFA">
        <w:rPr>
          <w:noProof/>
        </w:rPr>
        <w:t xml:space="preserve"> w</w:t>
      </w:r>
      <w:r w:rsidR="00DD1DFA">
        <w:rPr>
          <w:noProof/>
        </w:rPr>
        <w:t> </w:t>
      </w:r>
      <w:r w:rsidR="00DD1DFA" w:rsidRPr="00DD1DFA">
        <w:rPr>
          <w:noProof/>
        </w:rPr>
        <w:t>odn</w:t>
      </w:r>
      <w:r w:rsidRPr="00DD1DFA">
        <w:rPr>
          <w:noProof/>
        </w:rPr>
        <w:t>iesieniu do zasadniczych charakterystyk. Ponadto</w:t>
      </w:r>
      <w:r w:rsidR="00DD1DFA" w:rsidRPr="00DD1DFA">
        <w:rPr>
          <w:noProof/>
        </w:rPr>
        <w:t xml:space="preserve"> w</w:t>
      </w:r>
      <w:r w:rsidR="00DD1DFA">
        <w:rPr>
          <w:noProof/>
        </w:rPr>
        <w:t> </w:t>
      </w:r>
      <w:r w:rsidR="00DD1DFA" w:rsidRPr="00DD1DFA">
        <w:rPr>
          <w:noProof/>
        </w:rPr>
        <w:t>prz</w:t>
      </w:r>
      <w:r w:rsidRPr="00DD1DFA">
        <w:rPr>
          <w:noProof/>
        </w:rPr>
        <w:t>ypadku opóźnień lub braków</w:t>
      </w:r>
      <w:r w:rsidR="00DD1DFA" w:rsidRPr="00DD1DFA">
        <w:rPr>
          <w:noProof/>
        </w:rPr>
        <w:t xml:space="preserve"> w</w:t>
      </w:r>
      <w:r w:rsidR="00DD1DFA">
        <w:rPr>
          <w:noProof/>
        </w:rPr>
        <w:t> </w:t>
      </w:r>
      <w:r w:rsidR="00DD1DFA" w:rsidRPr="00DD1DFA">
        <w:rPr>
          <w:noProof/>
        </w:rPr>
        <w:t>pro</w:t>
      </w:r>
      <w:r w:rsidRPr="00DD1DFA">
        <w:rPr>
          <w:noProof/>
        </w:rPr>
        <w:t>cesie normalizacji Komisja jest uprawniona do przyjmowania aktów delegowanych zawierających specyfikacje techniczne. Co więcej, Komisja jest uprawniona do zmiany części A załącznika I</w:t>
      </w:r>
      <w:r w:rsidR="00DD1DFA" w:rsidRPr="00DD1DFA">
        <w:rPr>
          <w:noProof/>
        </w:rPr>
        <w:t xml:space="preserve"> w</w:t>
      </w:r>
      <w:r w:rsidR="00DD1DFA">
        <w:rPr>
          <w:noProof/>
        </w:rPr>
        <w:t> </w:t>
      </w:r>
      <w:r w:rsidR="00DD1DFA" w:rsidRPr="00DD1DFA">
        <w:rPr>
          <w:noProof/>
        </w:rPr>
        <w:t>dro</w:t>
      </w:r>
      <w:r w:rsidRPr="00DD1DFA">
        <w:rPr>
          <w:noProof/>
        </w:rPr>
        <w:t>dze aktów delegowanych</w:t>
      </w:r>
      <w:r w:rsidR="00DD1DFA" w:rsidRPr="00DD1DFA">
        <w:rPr>
          <w:noProof/>
        </w:rPr>
        <w:t xml:space="preserve"> w</w:t>
      </w:r>
      <w:r w:rsidR="00DD1DFA">
        <w:rPr>
          <w:noProof/>
        </w:rPr>
        <w:t> </w:t>
      </w:r>
      <w:r w:rsidR="00DD1DFA" w:rsidRPr="00DD1DFA">
        <w:rPr>
          <w:noProof/>
        </w:rPr>
        <w:t>zwi</w:t>
      </w:r>
      <w:r w:rsidRPr="00DD1DFA">
        <w:rPr>
          <w:noProof/>
        </w:rPr>
        <w:t>ązku</w:t>
      </w:r>
      <w:r w:rsidR="00DD1DFA" w:rsidRPr="00DD1DFA">
        <w:rPr>
          <w:noProof/>
        </w:rPr>
        <w:t xml:space="preserve"> z</w:t>
      </w:r>
      <w:r w:rsidR="00DD1DFA">
        <w:rPr>
          <w:noProof/>
        </w:rPr>
        <w:t> </w:t>
      </w:r>
      <w:r w:rsidR="00DD1DFA" w:rsidRPr="00DD1DFA">
        <w:rPr>
          <w:noProof/>
        </w:rPr>
        <w:t>pos</w:t>
      </w:r>
      <w:r w:rsidRPr="00DD1DFA">
        <w:rPr>
          <w:noProof/>
        </w:rPr>
        <w:t>tępem technicznym lub</w:t>
      </w:r>
      <w:r w:rsidR="00DD1DFA" w:rsidRPr="00DD1DFA">
        <w:rPr>
          <w:noProof/>
        </w:rPr>
        <w:t xml:space="preserve"> w</w:t>
      </w:r>
      <w:r w:rsidR="00DD1DFA">
        <w:rPr>
          <w:noProof/>
        </w:rPr>
        <w:t> </w:t>
      </w:r>
      <w:r w:rsidR="00DD1DFA" w:rsidRPr="00DD1DFA">
        <w:rPr>
          <w:noProof/>
        </w:rPr>
        <w:t>cel</w:t>
      </w:r>
      <w:r w:rsidRPr="00DD1DFA">
        <w:rPr>
          <w:noProof/>
        </w:rPr>
        <w:t>u uwzględnienia nowych rodzajów ryzyka</w:t>
      </w:r>
      <w:r w:rsidR="00DD1DFA" w:rsidRPr="00DD1DFA">
        <w:rPr>
          <w:noProof/>
        </w:rPr>
        <w:t xml:space="preserve"> i</w:t>
      </w:r>
      <w:r w:rsidR="00DD1DFA">
        <w:rPr>
          <w:noProof/>
        </w:rPr>
        <w:t> </w:t>
      </w:r>
      <w:r w:rsidR="00DD1DFA" w:rsidRPr="00DD1DFA">
        <w:rPr>
          <w:noProof/>
        </w:rPr>
        <w:t>asp</w:t>
      </w:r>
      <w:r w:rsidRPr="00DD1DFA">
        <w:rPr>
          <w:noProof/>
        </w:rPr>
        <w:t xml:space="preserve">ektów środowiskowych. </w:t>
      </w:r>
    </w:p>
    <w:p w14:paraId="59A6865C" w14:textId="17FEB423" w:rsidR="004E75DC" w:rsidRPr="00DD1DFA" w:rsidRDefault="004E75DC" w:rsidP="004E75DC">
      <w:pPr>
        <w:rPr>
          <w:rFonts w:eastAsia="Times New Roman"/>
          <w:noProof/>
        </w:rPr>
      </w:pPr>
      <w:r w:rsidRPr="00DD1DFA">
        <w:rPr>
          <w:noProof/>
        </w:rPr>
        <w:t>Art. 5 stanowi, że wszystkie wyroby objęte rozporządzeniem muszą spełniać ogólne, bezpośrednio stosowane wymogi oraz odpowiednie wymogi dotyczące rodziny lub kategorii wyrobów, określone</w:t>
      </w:r>
      <w:r w:rsidR="00DD1DFA" w:rsidRPr="00DD1DFA">
        <w:rPr>
          <w:noProof/>
        </w:rPr>
        <w:t xml:space="preserve"> w</w:t>
      </w:r>
      <w:r w:rsidR="00DD1DFA">
        <w:rPr>
          <w:noProof/>
        </w:rPr>
        <w:t> </w:t>
      </w:r>
      <w:r w:rsidR="00DD1DFA" w:rsidRPr="00DD1DFA">
        <w:rPr>
          <w:noProof/>
        </w:rPr>
        <w:t>czę</w:t>
      </w:r>
      <w:r w:rsidRPr="00DD1DFA">
        <w:rPr>
          <w:noProof/>
        </w:rPr>
        <w:t>ści D załącznika I</w:t>
      </w:r>
      <w:r w:rsidR="00DD1DFA" w:rsidRPr="00DD1DFA">
        <w:rPr>
          <w:noProof/>
        </w:rPr>
        <w:t>. W</w:t>
      </w:r>
      <w:r w:rsidR="00DD1DFA">
        <w:rPr>
          <w:noProof/>
        </w:rPr>
        <w:t> </w:t>
      </w:r>
      <w:r w:rsidR="00DD1DFA" w:rsidRPr="00DD1DFA">
        <w:rPr>
          <w:noProof/>
        </w:rPr>
        <w:t>art</w:t>
      </w:r>
      <w:r w:rsidRPr="00DD1DFA">
        <w:rPr>
          <w:noProof/>
        </w:rPr>
        <w:t>ykule tym upoważniono również Komisję do przyjmowania aktów delegowanych określających bardziej szczegółowo wymogi dotyczące wyrobów zgodnie</w:t>
      </w:r>
      <w:r w:rsidR="00DD1DFA" w:rsidRPr="00DD1DFA">
        <w:rPr>
          <w:noProof/>
        </w:rPr>
        <w:t xml:space="preserve"> z</w:t>
      </w:r>
      <w:r w:rsidR="00DD1DFA">
        <w:rPr>
          <w:noProof/>
        </w:rPr>
        <w:t> </w:t>
      </w:r>
      <w:r w:rsidR="00DD1DFA" w:rsidRPr="00DD1DFA">
        <w:rPr>
          <w:noProof/>
        </w:rPr>
        <w:t>czę</w:t>
      </w:r>
      <w:r w:rsidRPr="00DD1DFA">
        <w:rPr>
          <w:noProof/>
        </w:rPr>
        <w:t>ścią B, C i D załącznika I. Te akty delegowane mogą być dodatkowo uzupełnione dobrowolnymi normami zharmonizowanymi opracowanymi</w:t>
      </w:r>
      <w:r w:rsidR="00DD1DFA" w:rsidRPr="00DD1DFA">
        <w:rPr>
          <w:noProof/>
        </w:rPr>
        <w:t xml:space="preserve"> w</w:t>
      </w:r>
      <w:r w:rsidR="00DD1DFA">
        <w:rPr>
          <w:noProof/>
        </w:rPr>
        <w:t> </w:t>
      </w:r>
      <w:r w:rsidR="00DD1DFA" w:rsidRPr="00DD1DFA">
        <w:rPr>
          <w:noProof/>
        </w:rPr>
        <w:t>ram</w:t>
      </w:r>
      <w:r w:rsidRPr="00DD1DFA">
        <w:rPr>
          <w:noProof/>
        </w:rPr>
        <w:t>ach zlecenia normalizacji. Ponadto Komisja jest również uprawniona do zmiany części B, C i D załącznika I</w:t>
      </w:r>
      <w:r w:rsidR="00DD1DFA" w:rsidRPr="00DD1DFA">
        <w:rPr>
          <w:noProof/>
        </w:rPr>
        <w:t xml:space="preserve"> w</w:t>
      </w:r>
      <w:r w:rsidR="00DD1DFA">
        <w:rPr>
          <w:noProof/>
        </w:rPr>
        <w:t> </w:t>
      </w:r>
      <w:r w:rsidR="00DD1DFA" w:rsidRPr="00DD1DFA">
        <w:rPr>
          <w:noProof/>
        </w:rPr>
        <w:t>dro</w:t>
      </w:r>
      <w:r w:rsidRPr="00DD1DFA">
        <w:rPr>
          <w:noProof/>
        </w:rPr>
        <w:t>dze aktów delegowanych</w:t>
      </w:r>
      <w:r w:rsidR="00DD1DFA" w:rsidRPr="00DD1DFA">
        <w:rPr>
          <w:noProof/>
        </w:rPr>
        <w:t xml:space="preserve"> w</w:t>
      </w:r>
      <w:r w:rsidR="00DD1DFA">
        <w:rPr>
          <w:noProof/>
        </w:rPr>
        <w:t> </w:t>
      </w:r>
      <w:r w:rsidR="00DD1DFA" w:rsidRPr="00DD1DFA">
        <w:rPr>
          <w:noProof/>
        </w:rPr>
        <w:t>zwi</w:t>
      </w:r>
      <w:r w:rsidRPr="00DD1DFA">
        <w:rPr>
          <w:noProof/>
        </w:rPr>
        <w:t>ązku</w:t>
      </w:r>
      <w:r w:rsidR="00DD1DFA" w:rsidRPr="00DD1DFA">
        <w:rPr>
          <w:noProof/>
        </w:rPr>
        <w:t xml:space="preserve"> z</w:t>
      </w:r>
      <w:r w:rsidR="00DD1DFA">
        <w:rPr>
          <w:noProof/>
        </w:rPr>
        <w:t> </w:t>
      </w:r>
      <w:r w:rsidR="00DD1DFA" w:rsidRPr="00DD1DFA">
        <w:rPr>
          <w:noProof/>
        </w:rPr>
        <w:t>pos</w:t>
      </w:r>
      <w:r w:rsidRPr="00DD1DFA">
        <w:rPr>
          <w:noProof/>
        </w:rPr>
        <w:t>tępem technicznym lub</w:t>
      </w:r>
      <w:r w:rsidR="00DD1DFA" w:rsidRPr="00DD1DFA">
        <w:rPr>
          <w:noProof/>
        </w:rPr>
        <w:t xml:space="preserve"> w</w:t>
      </w:r>
      <w:r w:rsidR="00DD1DFA">
        <w:rPr>
          <w:noProof/>
        </w:rPr>
        <w:t> </w:t>
      </w:r>
      <w:r w:rsidR="00DD1DFA" w:rsidRPr="00DD1DFA">
        <w:rPr>
          <w:noProof/>
        </w:rPr>
        <w:t>cel</w:t>
      </w:r>
      <w:r w:rsidRPr="00DD1DFA">
        <w:rPr>
          <w:noProof/>
        </w:rPr>
        <w:t>u uwzględnienia nowych rodzajów ryzyka</w:t>
      </w:r>
      <w:r w:rsidR="00DD1DFA" w:rsidRPr="00DD1DFA">
        <w:rPr>
          <w:noProof/>
        </w:rPr>
        <w:t xml:space="preserve"> i</w:t>
      </w:r>
      <w:r w:rsidR="00DD1DFA">
        <w:rPr>
          <w:noProof/>
        </w:rPr>
        <w:t> </w:t>
      </w:r>
      <w:r w:rsidR="00DD1DFA" w:rsidRPr="00DD1DFA">
        <w:rPr>
          <w:noProof/>
        </w:rPr>
        <w:t>asp</w:t>
      </w:r>
      <w:r w:rsidRPr="00DD1DFA">
        <w:rPr>
          <w:noProof/>
        </w:rPr>
        <w:t xml:space="preserve">ektów środowiskowych. </w:t>
      </w:r>
    </w:p>
    <w:p w14:paraId="647D5CA6" w14:textId="4A2B6FFB"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6 upoważniono Komisję do określenia właściwego systemu oceny</w:t>
      </w:r>
      <w:r w:rsidR="00DD1DFA" w:rsidRPr="00DD1DFA">
        <w:rPr>
          <w:noProof/>
        </w:rPr>
        <w:t xml:space="preserve"> i</w:t>
      </w:r>
      <w:r w:rsidR="00DD1DFA">
        <w:rPr>
          <w:noProof/>
        </w:rPr>
        <w:t> </w:t>
      </w:r>
      <w:r w:rsidR="00DD1DFA" w:rsidRPr="00DD1DFA">
        <w:rPr>
          <w:noProof/>
        </w:rPr>
        <w:t>wer</w:t>
      </w:r>
      <w:r w:rsidRPr="00DD1DFA">
        <w:rPr>
          <w:noProof/>
        </w:rPr>
        <w:t>yfikacji,</w:t>
      </w:r>
      <w:r w:rsidR="00DD1DFA" w:rsidRPr="00DD1DFA">
        <w:rPr>
          <w:noProof/>
        </w:rPr>
        <w:t xml:space="preserve"> w</w:t>
      </w:r>
      <w:r w:rsidR="00DD1DFA">
        <w:rPr>
          <w:noProof/>
        </w:rPr>
        <w:t> </w:t>
      </w:r>
      <w:r w:rsidR="00DD1DFA" w:rsidRPr="00DD1DFA">
        <w:rPr>
          <w:noProof/>
        </w:rPr>
        <w:t>tym</w:t>
      </w:r>
      <w:r w:rsidRPr="00DD1DFA">
        <w:rPr>
          <w:noProof/>
        </w:rPr>
        <w:t xml:space="preserve"> dodatkowych kroków niezbędnych do przeciwdziałania systematycznym niezgodnościom. </w:t>
      </w:r>
    </w:p>
    <w:p w14:paraId="3858355B" w14:textId="0059DD81"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7 zdefiniowano „strefę zharmonizowaną”</w:t>
      </w:r>
      <w:r w:rsidR="00DD1DFA" w:rsidRPr="00DD1DFA">
        <w:rPr>
          <w:noProof/>
        </w:rPr>
        <w:t xml:space="preserve"> w</w:t>
      </w:r>
      <w:r w:rsidR="00DD1DFA">
        <w:rPr>
          <w:noProof/>
        </w:rPr>
        <w:t> </w:t>
      </w:r>
      <w:r w:rsidR="00DD1DFA" w:rsidRPr="00DD1DFA">
        <w:rPr>
          <w:noProof/>
        </w:rPr>
        <w:t>odr</w:t>
      </w:r>
      <w:r w:rsidRPr="00DD1DFA">
        <w:rPr>
          <w:noProof/>
        </w:rPr>
        <w:t>óżnieniu od obszarów, za które odpowiadają państwa członkowskie. Ponadto ustanowiono</w:t>
      </w:r>
      <w:r w:rsidR="00DD1DFA" w:rsidRPr="00DD1DFA">
        <w:rPr>
          <w:noProof/>
        </w:rPr>
        <w:t xml:space="preserve"> w</w:t>
      </w:r>
      <w:r w:rsidR="00DD1DFA">
        <w:rPr>
          <w:noProof/>
        </w:rPr>
        <w:t> </w:t>
      </w:r>
      <w:r w:rsidR="00DD1DFA" w:rsidRPr="00DD1DFA">
        <w:rPr>
          <w:noProof/>
        </w:rPr>
        <w:t>nim</w:t>
      </w:r>
      <w:r w:rsidRPr="00DD1DFA">
        <w:rPr>
          <w:noProof/>
        </w:rPr>
        <w:t xml:space="preserve"> mechanizm zaspokajania potrzeb regulacyjnych państw członkowskich</w:t>
      </w:r>
      <w:r w:rsidR="00DD1DFA" w:rsidRPr="00DD1DFA">
        <w:rPr>
          <w:noProof/>
        </w:rPr>
        <w:t xml:space="preserve"> w</w:t>
      </w:r>
      <w:r w:rsidR="00DD1DFA">
        <w:rPr>
          <w:noProof/>
        </w:rPr>
        <w:t> </w:t>
      </w:r>
      <w:r w:rsidR="00DD1DFA" w:rsidRPr="00DD1DFA">
        <w:rPr>
          <w:noProof/>
        </w:rPr>
        <w:t>zak</w:t>
      </w:r>
      <w:r w:rsidRPr="00DD1DFA">
        <w:rPr>
          <w:noProof/>
        </w:rPr>
        <w:t>resie zdrowia, bezpieczeństwa lub ochrony środowiska,</w:t>
      </w:r>
      <w:r w:rsidR="00DD1DFA" w:rsidRPr="00DD1DFA">
        <w:rPr>
          <w:noProof/>
        </w:rPr>
        <w:t xml:space="preserve"> w</w:t>
      </w:r>
      <w:r w:rsidR="00DD1DFA">
        <w:rPr>
          <w:noProof/>
        </w:rPr>
        <w:t> </w:t>
      </w:r>
      <w:r w:rsidR="00DD1DFA" w:rsidRPr="00DD1DFA">
        <w:rPr>
          <w:noProof/>
        </w:rPr>
        <w:t>tym</w:t>
      </w:r>
      <w:r w:rsidRPr="00DD1DFA">
        <w:rPr>
          <w:noProof/>
        </w:rPr>
        <w:t xml:space="preserve"> klimatu. </w:t>
      </w:r>
    </w:p>
    <w:p w14:paraId="2B03B0DD" w14:textId="246639A9"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8 przewidziano uprawnienie do przyjmowania aktów delegowanych określających sposoby unikania podwójnej oceny wyrobów na podstawie niniejszego rozporządzenia</w:t>
      </w:r>
      <w:r w:rsidR="00DD1DFA" w:rsidRPr="00DD1DFA">
        <w:rPr>
          <w:noProof/>
        </w:rPr>
        <w:t xml:space="preserve"> i</w:t>
      </w:r>
      <w:r w:rsidR="00DD1DFA">
        <w:rPr>
          <w:noProof/>
        </w:rPr>
        <w:t> </w:t>
      </w:r>
      <w:r w:rsidR="00DD1DFA" w:rsidRPr="00DD1DFA">
        <w:rPr>
          <w:noProof/>
        </w:rPr>
        <w:t>inn</w:t>
      </w:r>
      <w:r w:rsidRPr="00DD1DFA">
        <w:rPr>
          <w:noProof/>
        </w:rPr>
        <w:t xml:space="preserve">ych przepisów prawa Unii. </w:t>
      </w:r>
    </w:p>
    <w:p w14:paraId="47A4C8BB" w14:textId="024D9946" w:rsidR="004E75DC" w:rsidRPr="00DD1DFA" w:rsidRDefault="004E75DC" w:rsidP="004E75DC">
      <w:pPr>
        <w:rPr>
          <w:rFonts w:eastAsia="Calibri"/>
          <w:bCs/>
          <w:iCs/>
          <w:noProof/>
        </w:rPr>
      </w:pPr>
      <w:r w:rsidRPr="00DD1DFA">
        <w:rPr>
          <w:noProof/>
        </w:rPr>
        <w:t>W rozdziale II (art.</w:t>
      </w:r>
      <w:r w:rsidR="00DD1DFA" w:rsidRPr="00DD1DFA">
        <w:rPr>
          <w:noProof/>
        </w:rPr>
        <w:t> </w:t>
      </w:r>
      <w:r w:rsidRPr="00DD1DFA">
        <w:rPr>
          <w:noProof/>
        </w:rPr>
        <w:t>9-18) określono procedurę, deklaracje</w:t>
      </w:r>
      <w:r w:rsidR="00DD1DFA" w:rsidRPr="00DD1DFA">
        <w:rPr>
          <w:noProof/>
        </w:rPr>
        <w:t xml:space="preserve"> i</w:t>
      </w:r>
      <w:r w:rsidR="00DD1DFA">
        <w:rPr>
          <w:noProof/>
        </w:rPr>
        <w:t> </w:t>
      </w:r>
      <w:r w:rsidR="00DD1DFA" w:rsidRPr="00DD1DFA">
        <w:rPr>
          <w:noProof/>
        </w:rPr>
        <w:t>ozn</w:t>
      </w:r>
      <w:r w:rsidRPr="00DD1DFA">
        <w:rPr>
          <w:noProof/>
        </w:rPr>
        <w:t xml:space="preserve">akowanie. </w:t>
      </w:r>
    </w:p>
    <w:p w14:paraId="17B57B7D" w14:textId="75054D74"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9–12 uregulowano kwestię deklaracji właściwości użytkowych</w:t>
      </w:r>
      <w:r w:rsidR="00DD1DFA" w:rsidRPr="00DD1DFA">
        <w:rPr>
          <w:noProof/>
        </w:rPr>
        <w:t xml:space="preserve"> i</w:t>
      </w:r>
      <w:r w:rsidR="00DD1DFA">
        <w:rPr>
          <w:noProof/>
        </w:rPr>
        <w:t> </w:t>
      </w:r>
      <w:r w:rsidR="00DD1DFA" w:rsidRPr="00DD1DFA">
        <w:rPr>
          <w:noProof/>
        </w:rPr>
        <w:t>obo</w:t>
      </w:r>
      <w:r w:rsidRPr="00DD1DFA">
        <w:rPr>
          <w:noProof/>
        </w:rPr>
        <w:t>wiązujących</w:t>
      </w:r>
      <w:r w:rsidR="00DD1DFA" w:rsidRPr="00DD1DFA">
        <w:rPr>
          <w:noProof/>
        </w:rPr>
        <w:t xml:space="preserve"> w</w:t>
      </w:r>
      <w:r w:rsidR="00DD1DFA">
        <w:rPr>
          <w:noProof/>
        </w:rPr>
        <w:t> </w:t>
      </w:r>
      <w:r w:rsidR="00DD1DFA" w:rsidRPr="00DD1DFA">
        <w:rPr>
          <w:noProof/>
        </w:rPr>
        <w:t>nie</w:t>
      </w:r>
      <w:r w:rsidRPr="00DD1DFA">
        <w:rPr>
          <w:noProof/>
        </w:rPr>
        <w:t>j zwolnień (w tym</w:t>
      </w:r>
      <w:r w:rsidR="00DD1DFA" w:rsidRPr="00DD1DFA">
        <w:rPr>
          <w:noProof/>
        </w:rPr>
        <w:t xml:space="preserve"> w</w:t>
      </w:r>
      <w:r w:rsidR="00DD1DFA">
        <w:rPr>
          <w:noProof/>
        </w:rPr>
        <w:t> </w:t>
      </w:r>
      <w:r w:rsidR="00DD1DFA" w:rsidRPr="00DD1DFA">
        <w:rPr>
          <w:noProof/>
        </w:rPr>
        <w:t>odn</w:t>
      </w:r>
      <w:r w:rsidRPr="00DD1DFA">
        <w:rPr>
          <w:noProof/>
        </w:rPr>
        <w:t>iesieniu do mikroprzedsiębiorstw, które nie prowadzą handlu transgranicznego, pod pewnymi warunkami:</w:t>
      </w:r>
      <w:r w:rsidR="00DD1DFA" w:rsidRPr="00DD1DFA">
        <w:rPr>
          <w:noProof/>
        </w:rPr>
        <w:t xml:space="preserve"> w</w:t>
      </w:r>
      <w:r w:rsidR="00DD1DFA">
        <w:rPr>
          <w:noProof/>
        </w:rPr>
        <w:t> </w:t>
      </w:r>
      <w:r w:rsidR="00DD1DFA" w:rsidRPr="00DD1DFA">
        <w:rPr>
          <w:noProof/>
        </w:rPr>
        <w:t>prz</w:t>
      </w:r>
      <w:r w:rsidRPr="00DD1DFA">
        <w:rPr>
          <w:noProof/>
        </w:rPr>
        <w:t xml:space="preserve">ypadku wyrobów poddawanych regeneracji lub części obiektów budowlanych </w:t>
      </w:r>
      <w:r w:rsidRPr="00DD1DFA">
        <w:rPr>
          <w:noProof/>
          <w:color w:val="000000" w:themeColor="text1"/>
          <w:szCs w:val="24"/>
        </w:rPr>
        <w:t>przygotowanych do ponownego użycia lub poddawanych regeneracji</w:t>
      </w:r>
      <w:r w:rsidRPr="00DD1DFA">
        <w:rPr>
          <w:noProof/>
        </w:rPr>
        <w:t xml:space="preserve">). </w:t>
      </w:r>
    </w:p>
    <w:p w14:paraId="284F1DD0" w14:textId="2DAC0EC0"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13</w:t>
      </w:r>
      <w:r w:rsidR="00DD1DFA" w:rsidRPr="00DD1DFA">
        <w:rPr>
          <w:noProof/>
        </w:rPr>
        <w:t xml:space="preserve"> i</w:t>
      </w:r>
      <w:r w:rsidR="00DD1DFA">
        <w:rPr>
          <w:noProof/>
        </w:rPr>
        <w:t> </w:t>
      </w:r>
      <w:r w:rsidR="00DD1DFA" w:rsidRPr="00DD1DFA">
        <w:rPr>
          <w:noProof/>
        </w:rPr>
        <w:t>1</w:t>
      </w:r>
      <w:r w:rsidRPr="00DD1DFA">
        <w:rPr>
          <w:noProof/>
        </w:rPr>
        <w:t>4 określono zasady dotyczące deklaracji zgodności (DoC, zgodność</w:t>
      </w:r>
      <w:r w:rsidR="00DD1DFA" w:rsidRPr="00DD1DFA">
        <w:rPr>
          <w:noProof/>
        </w:rPr>
        <w:t xml:space="preserve"> z</w:t>
      </w:r>
      <w:r w:rsidR="00DD1DFA">
        <w:rPr>
          <w:noProof/>
        </w:rPr>
        <w:t> </w:t>
      </w:r>
      <w:r w:rsidR="00DD1DFA" w:rsidRPr="00DD1DFA">
        <w:rPr>
          <w:noProof/>
        </w:rPr>
        <w:t>wym</w:t>
      </w:r>
      <w:r w:rsidRPr="00DD1DFA">
        <w:rPr>
          <w:noProof/>
        </w:rPr>
        <w:t>ogami dotyczącymi wyrobów na podstawie art.</w:t>
      </w:r>
      <w:r w:rsidR="00DD1DFA" w:rsidRPr="00DD1DFA">
        <w:rPr>
          <w:noProof/>
        </w:rPr>
        <w:t> </w:t>
      </w:r>
      <w:r w:rsidRPr="00DD1DFA">
        <w:rPr>
          <w:noProof/>
        </w:rPr>
        <w:t>5). Aby zminimalizować obciążenia administracyjne, deklaracja zgodności jest łączona</w:t>
      </w:r>
      <w:r w:rsidR="00DD1DFA" w:rsidRPr="00DD1DFA">
        <w:rPr>
          <w:noProof/>
        </w:rPr>
        <w:t xml:space="preserve"> z</w:t>
      </w:r>
      <w:r w:rsidR="00DD1DFA">
        <w:rPr>
          <w:noProof/>
        </w:rPr>
        <w:t> </w:t>
      </w:r>
      <w:r w:rsidR="00DD1DFA" w:rsidRPr="00DD1DFA">
        <w:rPr>
          <w:noProof/>
        </w:rPr>
        <w:t>dek</w:t>
      </w:r>
      <w:r w:rsidRPr="00DD1DFA">
        <w:rPr>
          <w:noProof/>
        </w:rPr>
        <w:t>laracją właściwości użytkowych.</w:t>
      </w:r>
    </w:p>
    <w:p w14:paraId="7E377F43" w14:textId="26A0CA09" w:rsidR="004E75DC" w:rsidRPr="00DD1DFA" w:rsidRDefault="004E75DC" w:rsidP="004E75DC">
      <w:pPr>
        <w:rPr>
          <w:rFonts w:eastAsia="Times New Roman"/>
          <w:noProof/>
          <w:szCs w:val="24"/>
        </w:rPr>
      </w:pPr>
      <w:r w:rsidRPr="00DD1DFA">
        <w:rPr>
          <w:noProof/>
        </w:rPr>
        <w:t>Zgodnie</w:t>
      </w:r>
      <w:r w:rsidR="00DD1DFA" w:rsidRPr="00DD1DFA">
        <w:rPr>
          <w:noProof/>
        </w:rPr>
        <w:t xml:space="preserve"> z</w:t>
      </w:r>
      <w:r w:rsidR="00DD1DFA">
        <w:rPr>
          <w:noProof/>
        </w:rPr>
        <w:t> </w:t>
      </w:r>
      <w:r w:rsidR="00DD1DFA" w:rsidRPr="00DD1DFA">
        <w:rPr>
          <w:noProof/>
        </w:rPr>
        <w:t>art</w:t>
      </w:r>
      <w:r w:rsidRPr="00DD1DFA">
        <w:rPr>
          <w:noProof/>
        </w:rPr>
        <w:t>.</w:t>
      </w:r>
      <w:r w:rsidR="00DD1DFA" w:rsidRPr="00DD1DFA">
        <w:rPr>
          <w:noProof/>
        </w:rPr>
        <w:t> </w:t>
      </w:r>
      <w:r w:rsidRPr="00DD1DFA">
        <w:rPr>
          <w:noProof/>
        </w:rPr>
        <w:t>15 deklaracja właściwości użytkowych</w:t>
      </w:r>
      <w:r w:rsidR="00DD1DFA" w:rsidRPr="00DD1DFA">
        <w:rPr>
          <w:noProof/>
        </w:rPr>
        <w:t xml:space="preserve"> i</w:t>
      </w:r>
      <w:r w:rsidR="00DD1DFA">
        <w:rPr>
          <w:noProof/>
        </w:rPr>
        <w:t> </w:t>
      </w:r>
      <w:r w:rsidR="00DD1DFA" w:rsidRPr="00DD1DFA">
        <w:rPr>
          <w:noProof/>
        </w:rPr>
        <w:t>dek</w:t>
      </w:r>
      <w:r w:rsidRPr="00DD1DFA">
        <w:rPr>
          <w:noProof/>
        </w:rPr>
        <w:t>laracja zgodności mogą być dostarczane</w:t>
      </w:r>
      <w:r w:rsidR="00DD1DFA" w:rsidRPr="00DD1DFA">
        <w:rPr>
          <w:noProof/>
        </w:rPr>
        <w:t xml:space="preserve"> w</w:t>
      </w:r>
      <w:r w:rsidR="00DD1DFA">
        <w:rPr>
          <w:noProof/>
        </w:rPr>
        <w:t> </w:t>
      </w:r>
      <w:r w:rsidR="00DD1DFA" w:rsidRPr="00DD1DFA">
        <w:rPr>
          <w:noProof/>
        </w:rPr>
        <w:t>for</w:t>
      </w:r>
      <w:r w:rsidRPr="00DD1DFA">
        <w:rPr>
          <w:noProof/>
        </w:rPr>
        <w:t>macie elektronicznym lub za pośrednictwem odnośnika bezpośredniego. Należy je dostarczać</w:t>
      </w:r>
      <w:r w:rsidR="00DD1DFA" w:rsidRPr="00DD1DFA">
        <w:rPr>
          <w:noProof/>
        </w:rPr>
        <w:t xml:space="preserve"> w</w:t>
      </w:r>
      <w:r w:rsidR="00DD1DFA">
        <w:rPr>
          <w:noProof/>
        </w:rPr>
        <w:t> </w:t>
      </w:r>
      <w:r w:rsidR="00DD1DFA" w:rsidRPr="00DD1DFA">
        <w:rPr>
          <w:noProof/>
        </w:rPr>
        <w:t>jęz</w:t>
      </w:r>
      <w:r w:rsidRPr="00DD1DFA">
        <w:rPr>
          <w:noProof/>
        </w:rPr>
        <w:t>ykach wymaganych przez państwa członkowskie,</w:t>
      </w:r>
      <w:r w:rsidR="00DD1DFA" w:rsidRPr="00DD1DFA">
        <w:rPr>
          <w:noProof/>
        </w:rPr>
        <w:t xml:space="preserve"> w</w:t>
      </w:r>
      <w:r w:rsidR="00DD1DFA">
        <w:rPr>
          <w:noProof/>
        </w:rPr>
        <w:t> </w:t>
      </w:r>
      <w:r w:rsidR="00DD1DFA" w:rsidRPr="00DD1DFA">
        <w:rPr>
          <w:noProof/>
        </w:rPr>
        <w:t>któ</w:t>
      </w:r>
      <w:r w:rsidRPr="00DD1DFA">
        <w:rPr>
          <w:noProof/>
        </w:rPr>
        <w:t>rych producent zamierza udostępnić wyrób.</w:t>
      </w:r>
    </w:p>
    <w:p w14:paraId="321A3137" w14:textId="776F7D5B" w:rsidR="004E75DC" w:rsidRPr="00DD1DFA" w:rsidRDefault="004E75DC" w:rsidP="004E75DC">
      <w:pPr>
        <w:rPr>
          <w:rFonts w:eastAsia="Calibri"/>
          <w:noProof/>
        </w:rPr>
      </w:pPr>
      <w:r w:rsidRPr="00DD1DFA">
        <w:rPr>
          <w:noProof/>
        </w:rPr>
        <w:t>W art.</w:t>
      </w:r>
      <w:r w:rsidR="00DD1DFA" w:rsidRPr="00DD1DFA">
        <w:rPr>
          <w:noProof/>
        </w:rPr>
        <w:t> </w:t>
      </w:r>
      <w:r w:rsidRPr="00DD1DFA">
        <w:rPr>
          <w:noProof/>
        </w:rPr>
        <w:t>16–18 określono ogólne zasady</w:t>
      </w:r>
      <w:r w:rsidR="00DD1DFA" w:rsidRPr="00DD1DFA">
        <w:rPr>
          <w:noProof/>
        </w:rPr>
        <w:t xml:space="preserve"> i</w:t>
      </w:r>
      <w:r w:rsidR="00DD1DFA">
        <w:rPr>
          <w:noProof/>
        </w:rPr>
        <w:t> </w:t>
      </w:r>
      <w:r w:rsidR="00DD1DFA" w:rsidRPr="00DD1DFA">
        <w:rPr>
          <w:noProof/>
        </w:rPr>
        <w:t>war</w:t>
      </w:r>
      <w:r w:rsidRPr="00DD1DFA">
        <w:rPr>
          <w:noProof/>
        </w:rPr>
        <w:t xml:space="preserve">unki dotyczące oznakowania CE oraz stosowania innych oznakowań. </w:t>
      </w:r>
    </w:p>
    <w:p w14:paraId="31DED8D5" w14:textId="1EDA9F9E" w:rsidR="004E75DC" w:rsidRPr="00DD1DFA" w:rsidRDefault="004E75DC" w:rsidP="004E75DC">
      <w:pPr>
        <w:rPr>
          <w:rFonts w:eastAsia="Times New Roman"/>
          <w:noProof/>
          <w:color w:val="000000" w:themeColor="text1"/>
        </w:rPr>
      </w:pPr>
      <w:r w:rsidRPr="00DD1DFA">
        <w:rPr>
          <w:noProof/>
          <w:color w:val="000000" w:themeColor="text1"/>
        </w:rPr>
        <w:t>W rozdziale III (art.</w:t>
      </w:r>
      <w:r w:rsidR="00DD1DFA" w:rsidRPr="00DD1DFA">
        <w:rPr>
          <w:noProof/>
          <w:color w:val="000000" w:themeColor="text1"/>
        </w:rPr>
        <w:t> </w:t>
      </w:r>
      <w:r w:rsidRPr="00DD1DFA">
        <w:rPr>
          <w:noProof/>
          <w:color w:val="000000" w:themeColor="text1"/>
        </w:rPr>
        <w:t>19–33) określono prawa</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obo</w:t>
      </w:r>
      <w:r w:rsidRPr="00DD1DFA">
        <w:rPr>
          <w:noProof/>
          <w:color w:val="000000" w:themeColor="text1"/>
        </w:rPr>
        <w:t>wiązki podmiotów gospodarczych. Określono</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nim</w:t>
      </w:r>
      <w:r w:rsidRPr="00DD1DFA">
        <w:rPr>
          <w:noProof/>
          <w:color w:val="000000" w:themeColor="text1"/>
        </w:rPr>
        <w:t xml:space="preserve"> ogólne</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szc</w:t>
      </w:r>
      <w:r w:rsidRPr="00DD1DFA">
        <w:rPr>
          <w:noProof/>
          <w:color w:val="000000" w:themeColor="text1"/>
        </w:rPr>
        <w:t>zegółowe obowiązki producentów,</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tym</w:t>
      </w:r>
      <w:r w:rsidRPr="00DD1DFA">
        <w:rPr>
          <w:noProof/>
          <w:color w:val="000000" w:themeColor="text1"/>
        </w:rPr>
        <w:t xml:space="preserve"> dotyczące sposobu stosowania odpowiednich zharmonizowanych specyfikacji technicznych (norm zharmonizowanych</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akt</w:t>
      </w:r>
      <w:r w:rsidRPr="00DD1DFA">
        <w:rPr>
          <w:noProof/>
          <w:color w:val="000000" w:themeColor="text1"/>
        </w:rPr>
        <w:t>ów delegowanych)</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cel</w:t>
      </w:r>
      <w:r w:rsidRPr="00DD1DFA">
        <w:rPr>
          <w:noProof/>
          <w:color w:val="000000" w:themeColor="text1"/>
        </w:rPr>
        <w:t>u oceny</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dek</w:t>
      </w:r>
      <w:r w:rsidRPr="00DD1DFA">
        <w:rPr>
          <w:noProof/>
          <w:color w:val="000000" w:themeColor="text1"/>
        </w:rPr>
        <w:t xml:space="preserve">larowania właściwości użytkowych wyrobu. </w:t>
      </w:r>
    </w:p>
    <w:p w14:paraId="4D3132A7" w14:textId="2B4B0F8A" w:rsidR="004E75DC" w:rsidRPr="00DD1DFA" w:rsidRDefault="004E75DC" w:rsidP="004E75DC">
      <w:pPr>
        <w:rPr>
          <w:rFonts w:eastAsia="Calibri"/>
          <w:noProof/>
          <w:color w:val="000000" w:themeColor="text1"/>
        </w:rPr>
      </w:pPr>
      <w:r w:rsidRPr="00DD1DFA">
        <w:rPr>
          <w:noProof/>
          <w:color w:val="000000" w:themeColor="text1"/>
        </w:rPr>
        <w:t>W szczególności</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22 określono obowiązki producentów</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zak</w:t>
      </w:r>
      <w:r w:rsidRPr="00DD1DFA">
        <w:rPr>
          <w:noProof/>
          <w:color w:val="000000" w:themeColor="text1"/>
        </w:rPr>
        <w:t>resie ochrony środowiska naturalnego,</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tym</w:t>
      </w:r>
      <w:r w:rsidRPr="00DD1DFA">
        <w:rPr>
          <w:noProof/>
          <w:color w:val="000000" w:themeColor="text1"/>
        </w:rPr>
        <w:t xml:space="preserve"> obowiązek deklarowania obowiązkowych właściwości dotyczących zrównoważonego rozwoju określonych</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zał</w:t>
      </w:r>
      <w:r w:rsidRPr="00DD1DFA">
        <w:rPr>
          <w:noProof/>
          <w:color w:val="000000" w:themeColor="text1"/>
        </w:rPr>
        <w:t>ączniku I część A sekcja 2, współczynnika globalnego ocieplenia oraz wymogów opartych na właściwościach użytkowych lub minimalnej zawartości materiałów</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rec</w:t>
      </w:r>
      <w:r w:rsidRPr="00DD1DFA">
        <w:rPr>
          <w:noProof/>
          <w:color w:val="000000" w:themeColor="text1"/>
        </w:rPr>
        <w:t xml:space="preserve">yklingu. Po przyjęciu aktów delegowanych dla danej rodziny wyrobów producenci są również zobowiązani do </w:t>
      </w:r>
    </w:p>
    <w:p w14:paraId="7371113F" w14:textId="7C664F01" w:rsidR="004E75DC" w:rsidRPr="00DD1DFA" w:rsidRDefault="004E75DC" w:rsidP="00D810F6">
      <w:pPr>
        <w:pStyle w:val="Tiret1"/>
        <w:numPr>
          <w:ilvl w:val="0"/>
          <w:numId w:val="122"/>
        </w:numPr>
        <w:rPr>
          <w:rFonts w:ascii="Calibri" w:eastAsia="Times New Roman" w:hAnsi="Calibri"/>
          <w:noProof/>
        </w:rPr>
      </w:pPr>
      <w:r w:rsidRPr="00DD1DFA">
        <w:rPr>
          <w:noProof/>
        </w:rPr>
        <w:t>projektowania</w:t>
      </w:r>
      <w:r w:rsidR="00DD1DFA" w:rsidRPr="00DD1DFA">
        <w:rPr>
          <w:noProof/>
        </w:rPr>
        <w:t xml:space="preserve"> i</w:t>
      </w:r>
      <w:r w:rsidR="00DD1DFA">
        <w:rPr>
          <w:noProof/>
        </w:rPr>
        <w:t> </w:t>
      </w:r>
      <w:r w:rsidR="00DD1DFA" w:rsidRPr="00DD1DFA">
        <w:rPr>
          <w:noProof/>
        </w:rPr>
        <w:t>wyt</w:t>
      </w:r>
      <w:r w:rsidRPr="00DD1DFA">
        <w:rPr>
          <w:noProof/>
        </w:rPr>
        <w:t>warzania wyrobów</w:t>
      </w:r>
      <w:r w:rsidR="00DD1DFA" w:rsidRPr="00DD1DFA">
        <w:rPr>
          <w:noProof/>
        </w:rPr>
        <w:t xml:space="preserve"> i</w:t>
      </w:r>
      <w:r w:rsidR="00DD1DFA">
        <w:rPr>
          <w:noProof/>
        </w:rPr>
        <w:t> </w:t>
      </w:r>
      <w:r w:rsidR="00DD1DFA" w:rsidRPr="00DD1DFA">
        <w:rPr>
          <w:noProof/>
        </w:rPr>
        <w:t>ich</w:t>
      </w:r>
      <w:r w:rsidRPr="00DD1DFA">
        <w:rPr>
          <w:noProof/>
        </w:rPr>
        <w:t xml:space="preserve"> opakowań</w:t>
      </w:r>
      <w:r w:rsidR="00DD1DFA" w:rsidRPr="00DD1DFA">
        <w:rPr>
          <w:noProof/>
        </w:rPr>
        <w:t xml:space="preserve"> w</w:t>
      </w:r>
      <w:r w:rsidR="00DD1DFA">
        <w:rPr>
          <w:noProof/>
        </w:rPr>
        <w:t> </w:t>
      </w:r>
      <w:r w:rsidR="00DD1DFA" w:rsidRPr="00DD1DFA">
        <w:rPr>
          <w:noProof/>
        </w:rPr>
        <w:t>tak</w:t>
      </w:r>
      <w:r w:rsidRPr="00DD1DFA">
        <w:rPr>
          <w:noProof/>
        </w:rPr>
        <w:t>i sposób, aby ich ogólna zrównoważoność środowiskowa</w:t>
      </w:r>
      <w:r w:rsidR="00DD1DFA" w:rsidRPr="00DD1DFA">
        <w:rPr>
          <w:noProof/>
        </w:rPr>
        <w:t xml:space="preserve"> i</w:t>
      </w:r>
      <w:r w:rsidR="00DD1DFA">
        <w:rPr>
          <w:noProof/>
        </w:rPr>
        <w:t> </w:t>
      </w:r>
      <w:r w:rsidR="00DD1DFA" w:rsidRPr="00DD1DFA">
        <w:rPr>
          <w:noProof/>
        </w:rPr>
        <w:t>kli</w:t>
      </w:r>
      <w:r w:rsidRPr="00DD1DFA">
        <w:rPr>
          <w:noProof/>
        </w:rPr>
        <w:t>matyczna osiągnęła poziom zgodny ze stanem wiedzy naukowej</w:t>
      </w:r>
      <w:r w:rsidR="00DD1DFA" w:rsidRPr="00DD1DFA">
        <w:rPr>
          <w:noProof/>
        </w:rPr>
        <w:t xml:space="preserve"> i</w:t>
      </w:r>
      <w:r w:rsidR="00DD1DFA">
        <w:rPr>
          <w:noProof/>
        </w:rPr>
        <w:t> </w:t>
      </w:r>
      <w:r w:rsidR="00DD1DFA" w:rsidRPr="00DD1DFA">
        <w:rPr>
          <w:noProof/>
        </w:rPr>
        <w:t>tec</w:t>
      </w:r>
      <w:r w:rsidRPr="00DD1DFA">
        <w:rPr>
          <w:noProof/>
        </w:rPr>
        <w:t>hnicznej;</w:t>
      </w:r>
    </w:p>
    <w:p w14:paraId="53AFA342" w14:textId="097BAFFA" w:rsidR="004E75DC" w:rsidRPr="00DD1DFA" w:rsidRDefault="004E75DC" w:rsidP="00E94CD9">
      <w:pPr>
        <w:pStyle w:val="Tiret1"/>
        <w:rPr>
          <w:noProof/>
        </w:rPr>
      </w:pPr>
      <w:r w:rsidRPr="00DD1DFA">
        <w:rPr>
          <w:noProof/>
        </w:rPr>
        <w:t>przyznawania pierwszeństwa materiałom nadającym się do recyklingu</w:t>
      </w:r>
      <w:r w:rsidR="00DD1DFA" w:rsidRPr="00DD1DFA">
        <w:rPr>
          <w:noProof/>
        </w:rPr>
        <w:t xml:space="preserve"> i</w:t>
      </w:r>
      <w:r w:rsidR="00DD1DFA">
        <w:rPr>
          <w:noProof/>
        </w:rPr>
        <w:t> </w:t>
      </w:r>
      <w:r w:rsidR="00DD1DFA" w:rsidRPr="00DD1DFA">
        <w:rPr>
          <w:noProof/>
        </w:rPr>
        <w:t>mat</w:t>
      </w:r>
      <w:r w:rsidRPr="00DD1DFA">
        <w:rPr>
          <w:noProof/>
        </w:rPr>
        <w:t>eriałom wyprodukowanym</w:t>
      </w:r>
      <w:r w:rsidR="00DD1DFA" w:rsidRPr="00DD1DFA">
        <w:rPr>
          <w:noProof/>
        </w:rPr>
        <w:t xml:space="preserve"> w</w:t>
      </w:r>
      <w:r w:rsidR="00DD1DFA">
        <w:rPr>
          <w:noProof/>
        </w:rPr>
        <w:t> </w:t>
      </w:r>
      <w:r w:rsidR="00DD1DFA" w:rsidRPr="00DD1DFA">
        <w:rPr>
          <w:noProof/>
        </w:rPr>
        <w:t>wyn</w:t>
      </w:r>
      <w:r w:rsidRPr="00DD1DFA">
        <w:rPr>
          <w:noProof/>
        </w:rPr>
        <w:t>iku recyklingu;</w:t>
      </w:r>
    </w:p>
    <w:p w14:paraId="1417011B" w14:textId="572375D1" w:rsidR="004E75DC" w:rsidRPr="00DD1DFA" w:rsidRDefault="004E75DC" w:rsidP="00E94CD9">
      <w:pPr>
        <w:pStyle w:val="Tiret1"/>
        <w:rPr>
          <w:noProof/>
        </w:rPr>
      </w:pPr>
      <w:r w:rsidRPr="00DD1DFA">
        <w:rPr>
          <w:noProof/>
        </w:rPr>
        <w:t>przestrzegania zobowiązań dotyczących minimalnej zawartości materiałów</w:t>
      </w:r>
      <w:r w:rsidR="00DD1DFA" w:rsidRPr="00DD1DFA">
        <w:rPr>
          <w:noProof/>
        </w:rPr>
        <w:t xml:space="preserve"> z</w:t>
      </w:r>
      <w:r w:rsidR="00DD1DFA">
        <w:rPr>
          <w:noProof/>
        </w:rPr>
        <w:t> </w:t>
      </w:r>
      <w:r w:rsidR="00DD1DFA" w:rsidRPr="00DD1DFA">
        <w:rPr>
          <w:noProof/>
        </w:rPr>
        <w:t>rec</w:t>
      </w:r>
      <w:r w:rsidRPr="00DD1DFA">
        <w:rPr>
          <w:noProof/>
        </w:rPr>
        <w:t>yklingu oraz innych wartości granicznych</w:t>
      </w:r>
      <w:r w:rsidR="00DD1DFA" w:rsidRPr="00DD1DFA">
        <w:rPr>
          <w:noProof/>
        </w:rPr>
        <w:t xml:space="preserve"> w</w:t>
      </w:r>
      <w:r w:rsidR="00DD1DFA">
        <w:rPr>
          <w:noProof/>
        </w:rPr>
        <w:t> </w:t>
      </w:r>
      <w:r w:rsidR="00DD1DFA" w:rsidRPr="00DD1DFA">
        <w:rPr>
          <w:noProof/>
        </w:rPr>
        <w:t>zak</w:t>
      </w:r>
      <w:r w:rsidRPr="00DD1DFA">
        <w:rPr>
          <w:noProof/>
        </w:rPr>
        <w:t>resie zrównoważenia środowiskowego zawartych</w:t>
      </w:r>
      <w:r w:rsidR="00DD1DFA" w:rsidRPr="00DD1DFA">
        <w:rPr>
          <w:noProof/>
        </w:rPr>
        <w:t xml:space="preserve"> w</w:t>
      </w:r>
      <w:r w:rsidR="00DD1DFA">
        <w:rPr>
          <w:noProof/>
        </w:rPr>
        <w:t> </w:t>
      </w:r>
      <w:r w:rsidR="00DD1DFA" w:rsidRPr="00DD1DFA">
        <w:rPr>
          <w:noProof/>
        </w:rPr>
        <w:t>zha</w:t>
      </w:r>
      <w:r w:rsidRPr="00DD1DFA">
        <w:rPr>
          <w:noProof/>
        </w:rPr>
        <w:t>rmonizowanych specyfikacjach technicznych;</w:t>
      </w:r>
    </w:p>
    <w:p w14:paraId="51923263" w14:textId="3869C3AB" w:rsidR="004E75DC" w:rsidRPr="00DD1DFA" w:rsidRDefault="004E75DC" w:rsidP="00E94CD9">
      <w:pPr>
        <w:pStyle w:val="Tiret1"/>
        <w:rPr>
          <w:noProof/>
        </w:rPr>
      </w:pPr>
      <w:r w:rsidRPr="00DD1DFA">
        <w:rPr>
          <w:noProof/>
        </w:rPr>
        <w:t>zapobiegania przedwczesnej utracie przydatności wyrobów, stosowania niezawodnych części</w:t>
      </w:r>
      <w:r w:rsidR="00DD1DFA" w:rsidRPr="00DD1DFA">
        <w:rPr>
          <w:noProof/>
        </w:rPr>
        <w:t xml:space="preserve"> i</w:t>
      </w:r>
      <w:r w:rsidR="00DD1DFA">
        <w:rPr>
          <w:noProof/>
        </w:rPr>
        <w:t> </w:t>
      </w:r>
      <w:r w:rsidR="00DD1DFA" w:rsidRPr="00DD1DFA">
        <w:rPr>
          <w:noProof/>
        </w:rPr>
        <w:t>pro</w:t>
      </w:r>
      <w:r w:rsidRPr="00DD1DFA">
        <w:rPr>
          <w:noProof/>
        </w:rPr>
        <w:t>jektowania wyrobów</w:t>
      </w:r>
      <w:r w:rsidR="00DD1DFA" w:rsidRPr="00DD1DFA">
        <w:rPr>
          <w:noProof/>
        </w:rPr>
        <w:t xml:space="preserve"> w</w:t>
      </w:r>
      <w:r w:rsidR="00DD1DFA">
        <w:rPr>
          <w:noProof/>
        </w:rPr>
        <w:t> </w:t>
      </w:r>
      <w:r w:rsidR="00DD1DFA" w:rsidRPr="00DD1DFA">
        <w:rPr>
          <w:noProof/>
        </w:rPr>
        <w:t>tak</w:t>
      </w:r>
      <w:r w:rsidRPr="00DD1DFA">
        <w:rPr>
          <w:noProof/>
        </w:rPr>
        <w:t>i sposób, aby ich trwałość nie spadała poniżej średniej trwałości wyrobów</w:t>
      </w:r>
      <w:r w:rsidR="00DD1DFA" w:rsidRPr="00DD1DFA">
        <w:rPr>
          <w:noProof/>
        </w:rPr>
        <w:t xml:space="preserve"> w</w:t>
      </w:r>
      <w:r w:rsidR="00DD1DFA">
        <w:rPr>
          <w:noProof/>
        </w:rPr>
        <w:t> </w:t>
      </w:r>
      <w:r w:rsidR="00DD1DFA" w:rsidRPr="00DD1DFA">
        <w:rPr>
          <w:noProof/>
        </w:rPr>
        <w:t>dan</w:t>
      </w:r>
      <w:r w:rsidRPr="00DD1DFA">
        <w:rPr>
          <w:noProof/>
        </w:rPr>
        <w:t>ej kategorii;</w:t>
      </w:r>
    </w:p>
    <w:p w14:paraId="70A3E80A" w14:textId="63088D92" w:rsidR="004E75DC" w:rsidRPr="00DD1DFA" w:rsidRDefault="004E75DC" w:rsidP="00E94CD9">
      <w:pPr>
        <w:pStyle w:val="Tiret1"/>
        <w:rPr>
          <w:noProof/>
        </w:rPr>
      </w:pPr>
      <w:r w:rsidRPr="00DD1DFA">
        <w:rPr>
          <w:noProof/>
        </w:rPr>
        <w:t>projektowania wyrobów</w:t>
      </w:r>
      <w:r w:rsidR="00DD1DFA" w:rsidRPr="00DD1DFA">
        <w:rPr>
          <w:noProof/>
        </w:rPr>
        <w:t xml:space="preserve"> w</w:t>
      </w:r>
      <w:r w:rsidR="00DD1DFA">
        <w:rPr>
          <w:noProof/>
        </w:rPr>
        <w:t> </w:t>
      </w:r>
      <w:r w:rsidR="00DD1DFA" w:rsidRPr="00DD1DFA">
        <w:rPr>
          <w:noProof/>
        </w:rPr>
        <w:t>tak</w:t>
      </w:r>
      <w:r w:rsidRPr="00DD1DFA">
        <w:rPr>
          <w:noProof/>
        </w:rPr>
        <w:t>i sposób, aby można je było łatwo naprawiać, odtwarzać</w:t>
      </w:r>
      <w:r w:rsidR="00DD1DFA" w:rsidRPr="00DD1DFA">
        <w:rPr>
          <w:noProof/>
        </w:rPr>
        <w:t xml:space="preserve"> i</w:t>
      </w:r>
      <w:r w:rsidR="00DD1DFA">
        <w:rPr>
          <w:noProof/>
        </w:rPr>
        <w:t> </w:t>
      </w:r>
      <w:r w:rsidR="00DD1DFA" w:rsidRPr="00DD1DFA">
        <w:rPr>
          <w:noProof/>
        </w:rPr>
        <w:t>akt</w:t>
      </w:r>
      <w:r w:rsidRPr="00DD1DFA">
        <w:rPr>
          <w:noProof/>
        </w:rPr>
        <w:t>ualizować.</w:t>
      </w:r>
    </w:p>
    <w:p w14:paraId="5B09ACEF" w14:textId="38504101" w:rsidR="004E75DC" w:rsidRPr="00DD1DFA" w:rsidRDefault="004E75DC" w:rsidP="004E75DC">
      <w:pPr>
        <w:rPr>
          <w:rFonts w:eastAsia="Times New Roman"/>
          <w:noProof/>
          <w:color w:val="000000" w:themeColor="text1"/>
        </w:rPr>
      </w:pPr>
      <w:r w:rsidRPr="00DD1DFA">
        <w:rPr>
          <w:noProof/>
          <w:color w:val="000000" w:themeColor="text1"/>
        </w:rPr>
        <w:t>W kolejnych artykułach określono szczegółowe obowiązki upoważnionych przedstawicieli (art.</w:t>
      </w:r>
      <w:r w:rsidR="00DD1DFA" w:rsidRPr="00DD1DFA">
        <w:rPr>
          <w:noProof/>
          <w:color w:val="000000" w:themeColor="text1"/>
        </w:rPr>
        <w:t> </w:t>
      </w:r>
      <w:r w:rsidRPr="00DD1DFA">
        <w:rPr>
          <w:noProof/>
          <w:color w:val="000000" w:themeColor="text1"/>
        </w:rPr>
        <w:t>23), importerów (art.</w:t>
      </w:r>
      <w:r w:rsidR="00DD1DFA" w:rsidRPr="00DD1DFA">
        <w:rPr>
          <w:noProof/>
          <w:color w:val="000000" w:themeColor="text1"/>
        </w:rPr>
        <w:t> </w:t>
      </w:r>
      <w:r w:rsidRPr="00DD1DFA">
        <w:rPr>
          <w:noProof/>
          <w:color w:val="000000" w:themeColor="text1"/>
        </w:rPr>
        <w:t>24), takie jak zapewnienie bezpieczeństwa wyrobów będących pod ich kontrolą, sprawdzenie, czy producent wypełnił swoje ogólne obowiązki, dystrybutorów (art.</w:t>
      </w:r>
      <w:r w:rsidR="00DD1DFA" w:rsidRPr="00DD1DFA">
        <w:rPr>
          <w:noProof/>
          <w:color w:val="000000" w:themeColor="text1"/>
        </w:rPr>
        <w:t> </w:t>
      </w:r>
      <w:r w:rsidRPr="00DD1DFA">
        <w:rPr>
          <w:noProof/>
          <w:color w:val="000000" w:themeColor="text1"/>
        </w:rPr>
        <w:t>25), obowiązki dostawców usług realizacji zamówień, brokerów, rynków internetowych, sprzedawców internetowych</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skl</w:t>
      </w:r>
      <w:r w:rsidRPr="00DD1DFA">
        <w:rPr>
          <w:noProof/>
          <w:color w:val="000000" w:themeColor="text1"/>
        </w:rPr>
        <w:t>epów internetowych (tym samym włączając ich do struktury zapewniania zgodności) (art.</w:t>
      </w:r>
      <w:r w:rsidR="00DD1DFA" w:rsidRPr="00DD1DFA">
        <w:rPr>
          <w:noProof/>
          <w:color w:val="000000" w:themeColor="text1"/>
        </w:rPr>
        <w:t> </w:t>
      </w:r>
      <w:r w:rsidRPr="00DD1DFA">
        <w:rPr>
          <w:noProof/>
          <w:color w:val="000000" w:themeColor="text1"/>
        </w:rPr>
        <w:t>27) oraz dostawców usług drukowania przestrzennego (art.</w:t>
      </w:r>
      <w:r w:rsidR="00DD1DFA" w:rsidRPr="00DD1DFA">
        <w:rPr>
          <w:noProof/>
          <w:color w:val="000000" w:themeColor="text1"/>
        </w:rPr>
        <w:t> </w:t>
      </w:r>
      <w:r w:rsidRPr="00DD1DFA">
        <w:rPr>
          <w:noProof/>
          <w:color w:val="000000" w:themeColor="text1"/>
        </w:rPr>
        <w:t>28). Wprowadzono zatem przepisy umożliwiające uwzględnienie</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ram</w:t>
      </w:r>
      <w:r w:rsidRPr="00DD1DFA">
        <w:rPr>
          <w:noProof/>
          <w:color w:val="000000" w:themeColor="text1"/>
        </w:rPr>
        <w:t>ach prawnych także nowych modeli biznesowych. Wprowadzono także nowe szczegółowe obowiązki podmiotów gospodarczych zajmujących się demontażem lub przetwarzaniem wyrobów używanych</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cel</w:t>
      </w:r>
      <w:r w:rsidRPr="00DD1DFA">
        <w:rPr>
          <w:noProof/>
          <w:color w:val="000000" w:themeColor="text1"/>
        </w:rPr>
        <w:t>u ich ponownego użycia lub regeneracji (art.</w:t>
      </w:r>
      <w:r w:rsidR="00DD1DFA" w:rsidRPr="00DD1DFA">
        <w:rPr>
          <w:noProof/>
          <w:color w:val="000000" w:themeColor="text1"/>
        </w:rPr>
        <w:t> </w:t>
      </w:r>
      <w:r w:rsidRPr="00DD1DFA">
        <w:rPr>
          <w:noProof/>
          <w:color w:val="000000" w:themeColor="text1"/>
        </w:rPr>
        <w:t>29) oraz obowiązki dotyczące wyrobów podwójnego zastosowania</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pse</w:t>
      </w:r>
      <w:r w:rsidRPr="00DD1DFA">
        <w:rPr>
          <w:noProof/>
          <w:color w:val="000000" w:themeColor="text1"/>
        </w:rPr>
        <w:t>udo wyrobów (art.</w:t>
      </w:r>
      <w:r w:rsidR="00DD1DFA" w:rsidRPr="00DD1DFA">
        <w:rPr>
          <w:noProof/>
          <w:color w:val="000000" w:themeColor="text1"/>
        </w:rPr>
        <w:t> </w:t>
      </w:r>
      <w:r w:rsidRPr="00DD1DFA">
        <w:rPr>
          <w:noProof/>
          <w:color w:val="000000" w:themeColor="text1"/>
        </w:rPr>
        <w:t xml:space="preserve">31). Uregulowano sprzedaż wyrobów budowlanych </w:t>
      </w:r>
      <w:r w:rsidRPr="00DD1DFA">
        <w:rPr>
          <w:i/>
          <w:iCs/>
          <w:noProof/>
          <w:color w:val="000000" w:themeColor="text1"/>
        </w:rPr>
        <w:t>online</w:t>
      </w:r>
      <w:r w:rsidRPr="00DD1DFA">
        <w:rPr>
          <w:noProof/>
          <w:color w:val="000000" w:themeColor="text1"/>
        </w:rPr>
        <w:t xml:space="preserve"> lub na odległość (art.</w:t>
      </w:r>
      <w:r w:rsidR="00DD1DFA" w:rsidRPr="00DD1DFA">
        <w:rPr>
          <w:noProof/>
          <w:color w:val="000000" w:themeColor="text1"/>
        </w:rPr>
        <w:t> </w:t>
      </w:r>
      <w:r w:rsidRPr="00DD1DFA">
        <w:rPr>
          <w:noProof/>
          <w:color w:val="000000" w:themeColor="text1"/>
        </w:rPr>
        <w:t xml:space="preserve">32). </w:t>
      </w:r>
    </w:p>
    <w:p w14:paraId="1D3C3CD8" w14:textId="531D4D1B" w:rsidR="004E75DC" w:rsidRPr="00DD1DFA" w:rsidRDefault="004E75DC" w:rsidP="004E75DC">
      <w:pPr>
        <w:rPr>
          <w:rFonts w:eastAsia="Times New Roman"/>
          <w:noProof/>
          <w:color w:val="000000" w:themeColor="text1"/>
        </w:rPr>
      </w:pPr>
      <w:r w:rsidRPr="00DD1DFA">
        <w:rPr>
          <w:noProof/>
          <w:color w:val="000000" w:themeColor="text1"/>
        </w:rPr>
        <w:t>W rozdziale IV (art.</w:t>
      </w:r>
      <w:r w:rsidR="00DD1DFA" w:rsidRPr="00DD1DFA">
        <w:rPr>
          <w:noProof/>
          <w:color w:val="000000" w:themeColor="text1"/>
        </w:rPr>
        <w:t> </w:t>
      </w:r>
      <w:r w:rsidRPr="00DD1DFA">
        <w:rPr>
          <w:noProof/>
          <w:color w:val="000000" w:themeColor="text1"/>
        </w:rPr>
        <w:t>34–42) zawarto przepisy</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zak</w:t>
      </w:r>
      <w:r w:rsidRPr="00DD1DFA">
        <w:rPr>
          <w:noProof/>
          <w:color w:val="000000" w:themeColor="text1"/>
        </w:rPr>
        <w:t>resie norm dotyczących wyrobów budowlanych</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eur</w:t>
      </w:r>
      <w:r w:rsidRPr="00DD1DFA">
        <w:rPr>
          <w:noProof/>
          <w:color w:val="000000" w:themeColor="text1"/>
        </w:rPr>
        <w:t>opejskich dokumentów oceny. Uwzględniono</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nim</w:t>
      </w:r>
      <w:r w:rsidRPr="00DD1DFA">
        <w:rPr>
          <w:noProof/>
          <w:color w:val="000000" w:themeColor="text1"/>
        </w:rPr>
        <w:t xml:space="preserve"> obowiązkowe stosowanie wszystkich wymogów dotyczących właściwości użytkowych</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dob</w:t>
      </w:r>
      <w:r w:rsidRPr="00DD1DFA">
        <w:rPr>
          <w:noProof/>
          <w:color w:val="000000" w:themeColor="text1"/>
        </w:rPr>
        <w:t>rowolne stosowanie wymogów nieodłącznie związanych</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wyr</w:t>
      </w:r>
      <w:r w:rsidRPr="00DD1DFA">
        <w:rPr>
          <w:noProof/>
          <w:color w:val="000000" w:themeColor="text1"/>
        </w:rPr>
        <w:t>obem. Ustanowiono</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nim</w:t>
      </w:r>
      <w:r w:rsidRPr="00DD1DFA">
        <w:rPr>
          <w:noProof/>
          <w:color w:val="000000" w:themeColor="text1"/>
        </w:rPr>
        <w:t xml:space="preserve"> zasady dotyczące europejskich dokumentów oceny</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ich</w:t>
      </w:r>
      <w:r w:rsidRPr="00DD1DFA">
        <w:rPr>
          <w:noProof/>
          <w:color w:val="000000" w:themeColor="text1"/>
        </w:rPr>
        <w:t xml:space="preserve"> powiązań</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dek</w:t>
      </w:r>
      <w:r w:rsidRPr="00DD1DFA">
        <w:rPr>
          <w:noProof/>
          <w:color w:val="000000" w:themeColor="text1"/>
        </w:rPr>
        <w:t>laracją właściwości użytkowych</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dek</w:t>
      </w:r>
      <w:r w:rsidRPr="00DD1DFA">
        <w:rPr>
          <w:noProof/>
          <w:color w:val="000000" w:themeColor="text1"/>
        </w:rPr>
        <w:t>laracją zgodności (art.</w:t>
      </w:r>
      <w:r w:rsidR="00DD1DFA" w:rsidRPr="00DD1DFA">
        <w:rPr>
          <w:noProof/>
          <w:color w:val="000000" w:themeColor="text1"/>
        </w:rPr>
        <w:t> </w:t>
      </w:r>
      <w:r w:rsidRPr="00DD1DFA">
        <w:rPr>
          <w:noProof/>
          <w:color w:val="000000" w:themeColor="text1"/>
        </w:rPr>
        <w:t>35), opracowywania, przyjmowania (art.</w:t>
      </w:r>
      <w:r w:rsidR="00DD1DFA" w:rsidRPr="00DD1DFA">
        <w:rPr>
          <w:noProof/>
          <w:color w:val="000000" w:themeColor="text1"/>
        </w:rPr>
        <w:t> </w:t>
      </w:r>
      <w:r w:rsidRPr="00DD1DFA">
        <w:rPr>
          <w:noProof/>
          <w:color w:val="000000" w:themeColor="text1"/>
        </w:rPr>
        <w:t>36)</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pub</w:t>
      </w:r>
      <w:r w:rsidRPr="00DD1DFA">
        <w:rPr>
          <w:noProof/>
          <w:color w:val="000000" w:themeColor="text1"/>
        </w:rPr>
        <w:t>likowania europejskich dokumentów oceny (art.</w:t>
      </w:r>
      <w:r w:rsidR="00DD1DFA" w:rsidRPr="00DD1DFA">
        <w:rPr>
          <w:noProof/>
          <w:color w:val="000000" w:themeColor="text1"/>
        </w:rPr>
        <w:t> </w:t>
      </w:r>
      <w:r w:rsidRPr="00DD1DFA">
        <w:rPr>
          <w:noProof/>
          <w:color w:val="000000" w:themeColor="text1"/>
        </w:rPr>
        <w:t>38), wymagań dotyczących treści europejskich dokumentów oceny (art.</w:t>
      </w:r>
      <w:r w:rsidR="00DD1DFA" w:rsidRPr="00DD1DFA">
        <w:rPr>
          <w:noProof/>
          <w:color w:val="000000" w:themeColor="text1"/>
        </w:rPr>
        <w:t> </w:t>
      </w:r>
      <w:r w:rsidRPr="00DD1DFA">
        <w:rPr>
          <w:noProof/>
          <w:color w:val="000000" w:themeColor="text1"/>
        </w:rPr>
        <w:t>40) oraz reagowania na nieuzasadnione rozpowszechnianie europejskich dokumentów oceny (art.</w:t>
      </w:r>
      <w:r w:rsidR="00DD1DFA" w:rsidRPr="00DD1DFA">
        <w:rPr>
          <w:noProof/>
          <w:color w:val="000000" w:themeColor="text1"/>
        </w:rPr>
        <w:t> </w:t>
      </w:r>
      <w:r w:rsidRPr="00DD1DFA">
        <w:rPr>
          <w:noProof/>
          <w:color w:val="000000" w:themeColor="text1"/>
        </w:rPr>
        <w:t>36)</w:t>
      </w:r>
      <w:r w:rsidR="00DD1DFA" w:rsidRPr="00DD1DFA">
        <w:rPr>
          <w:noProof/>
          <w:color w:val="000000" w:themeColor="text1"/>
        </w:rPr>
        <w:t>. W</w:t>
      </w:r>
      <w:r w:rsidR="00DD1DFA">
        <w:rPr>
          <w:noProof/>
          <w:color w:val="000000" w:themeColor="text1"/>
        </w:rPr>
        <w:t> </w:t>
      </w:r>
      <w:r w:rsidR="00DD1DFA" w:rsidRPr="00DD1DFA">
        <w:rPr>
          <w:noProof/>
          <w:color w:val="000000" w:themeColor="text1"/>
        </w:rPr>
        <w:t>roz</w:t>
      </w:r>
      <w:r w:rsidRPr="00DD1DFA">
        <w:rPr>
          <w:noProof/>
          <w:color w:val="000000" w:themeColor="text1"/>
        </w:rPr>
        <w:t>dziale tym uregulowano również zasady rozstrzygania sporów</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prz</w:t>
      </w:r>
      <w:r w:rsidRPr="00DD1DFA">
        <w:rPr>
          <w:noProof/>
          <w:color w:val="000000" w:themeColor="text1"/>
        </w:rPr>
        <w:t>ypadku braku porozumienia między jednostkami ds. ocen</w:t>
      </w:r>
      <w:r w:rsidR="004B5A11" w:rsidRPr="00DD1DFA">
        <w:rPr>
          <w:noProof/>
          <w:color w:val="000000" w:themeColor="text1"/>
        </w:rPr>
        <w:t>y technicznej (JOT) (art.</w:t>
      </w:r>
      <w:r w:rsidR="00DD1DFA" w:rsidRPr="00DD1DFA">
        <w:rPr>
          <w:noProof/>
          <w:color w:val="000000" w:themeColor="text1"/>
        </w:rPr>
        <w:t> </w:t>
      </w:r>
      <w:r w:rsidR="004B5A11" w:rsidRPr="00DD1DFA">
        <w:rPr>
          <w:noProof/>
          <w:color w:val="000000" w:themeColor="text1"/>
        </w:rPr>
        <w:t>39).</w:t>
      </w:r>
    </w:p>
    <w:p w14:paraId="2AF6F327" w14:textId="39176BE9" w:rsidR="004E75DC" w:rsidRPr="00DD1DFA" w:rsidRDefault="004E75DC" w:rsidP="004E75DC">
      <w:pPr>
        <w:rPr>
          <w:rFonts w:eastAsia="Calibri"/>
          <w:noProof/>
          <w:color w:val="000000" w:themeColor="text1"/>
        </w:rPr>
      </w:pPr>
      <w:r w:rsidRPr="00DD1DFA">
        <w:rPr>
          <w:bCs/>
          <w:noProof/>
          <w:color w:val="000000" w:themeColor="text1"/>
        </w:rPr>
        <w:t>W rozdziale V (art.</w:t>
      </w:r>
      <w:r w:rsidR="00DD1DFA" w:rsidRPr="00DD1DFA">
        <w:rPr>
          <w:bCs/>
          <w:noProof/>
          <w:color w:val="000000" w:themeColor="text1"/>
        </w:rPr>
        <w:t> </w:t>
      </w:r>
      <w:r w:rsidRPr="00DD1DFA">
        <w:rPr>
          <w:bCs/>
          <w:noProof/>
          <w:color w:val="000000" w:themeColor="text1"/>
        </w:rPr>
        <w:t xml:space="preserve">43–46) ustanowiono </w:t>
      </w:r>
      <w:r w:rsidRPr="00DD1DFA">
        <w:rPr>
          <w:noProof/>
          <w:color w:val="000000" w:themeColor="text1"/>
        </w:rPr>
        <w:t xml:space="preserve">wymogi dotyczące organów wyznaczających </w:t>
      </w:r>
      <w:r w:rsidRPr="00DD1DFA">
        <w:rPr>
          <w:noProof/>
          <w:color w:val="000000"/>
          <w:szCs w:val="24"/>
        </w:rPr>
        <w:t xml:space="preserve">zarządzających JOT </w:t>
      </w:r>
      <w:r w:rsidRPr="00DD1DFA">
        <w:rPr>
          <w:noProof/>
          <w:color w:val="000000" w:themeColor="text1"/>
        </w:rPr>
        <w:t>oraz zasady wyznaczania, monitorowania</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oce</w:t>
      </w:r>
      <w:r w:rsidRPr="00DD1DFA">
        <w:rPr>
          <w:noProof/>
          <w:color w:val="000000" w:themeColor="text1"/>
        </w:rPr>
        <w:t>ny tych organów. Wprowadzono</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nim</w:t>
      </w:r>
      <w:r w:rsidRPr="00DD1DFA">
        <w:rPr>
          <w:noProof/>
          <w:color w:val="000000" w:themeColor="text1"/>
        </w:rPr>
        <w:t xml:space="preserve"> również uprawnienia Komisji do określania wymogów dla JOT</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zak</w:t>
      </w:r>
      <w:r w:rsidRPr="00DD1DFA">
        <w:rPr>
          <w:noProof/>
          <w:color w:val="000000" w:themeColor="text1"/>
        </w:rPr>
        <w:t>resie obsady kadrowej oraz do określania zadań koordynacyjnych JOT.</w:t>
      </w:r>
    </w:p>
    <w:p w14:paraId="5EDAD9FC" w14:textId="297EA975" w:rsidR="004E75DC" w:rsidRPr="00DD1DFA" w:rsidRDefault="004E75DC" w:rsidP="004E75DC">
      <w:pPr>
        <w:rPr>
          <w:rFonts w:eastAsia="Calibri"/>
          <w:noProof/>
          <w:color w:val="000000" w:themeColor="text1"/>
        </w:rPr>
      </w:pPr>
      <w:r w:rsidRPr="00DD1DFA">
        <w:rPr>
          <w:noProof/>
          <w:color w:val="000000" w:themeColor="text1"/>
        </w:rPr>
        <w:t>W rozdziale VI (art.</w:t>
      </w:r>
      <w:r w:rsidR="00DD1DFA" w:rsidRPr="00DD1DFA">
        <w:rPr>
          <w:noProof/>
          <w:color w:val="000000" w:themeColor="text1"/>
        </w:rPr>
        <w:t> </w:t>
      </w:r>
      <w:r w:rsidRPr="00DD1DFA">
        <w:rPr>
          <w:noProof/>
          <w:color w:val="000000" w:themeColor="text1"/>
        </w:rPr>
        <w:t>47–63) opisano rolę organów notyfikujących (art.</w:t>
      </w:r>
      <w:r w:rsidR="00DD1DFA" w:rsidRPr="00DD1DFA">
        <w:rPr>
          <w:noProof/>
          <w:color w:val="000000" w:themeColor="text1"/>
        </w:rPr>
        <w:t> </w:t>
      </w:r>
      <w:r w:rsidRPr="00DD1DFA">
        <w:rPr>
          <w:noProof/>
          <w:color w:val="000000" w:themeColor="text1"/>
        </w:rPr>
        <w:t>48) oraz wymagania mające zastosowanie do tych organów (art.</w:t>
      </w:r>
      <w:r w:rsidR="00DD1DFA" w:rsidRPr="00DD1DFA">
        <w:rPr>
          <w:noProof/>
          <w:color w:val="000000" w:themeColor="text1"/>
        </w:rPr>
        <w:t> </w:t>
      </w:r>
      <w:r w:rsidRPr="00DD1DFA">
        <w:rPr>
          <w:noProof/>
          <w:color w:val="000000" w:themeColor="text1"/>
        </w:rPr>
        <w:t>49),</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tym</w:t>
      </w:r>
      <w:r w:rsidRPr="00DD1DFA">
        <w:rPr>
          <w:noProof/>
          <w:color w:val="000000" w:themeColor="text1"/>
        </w:rPr>
        <w:t xml:space="preserve"> najważniejsze obowiązki operacyjne</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obo</w:t>
      </w:r>
      <w:r w:rsidRPr="00DD1DFA">
        <w:rPr>
          <w:noProof/>
          <w:color w:val="000000" w:themeColor="text1"/>
        </w:rPr>
        <w:t>wiązki</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zak</w:t>
      </w:r>
      <w:r w:rsidRPr="00DD1DFA">
        <w:rPr>
          <w:noProof/>
          <w:color w:val="000000" w:themeColor="text1"/>
        </w:rPr>
        <w:t>resie informowania. Określono</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nim</w:t>
      </w:r>
      <w:r w:rsidRPr="00DD1DFA">
        <w:rPr>
          <w:noProof/>
          <w:color w:val="000000" w:themeColor="text1"/>
        </w:rPr>
        <w:t xml:space="preserve"> wymagania dla jednostek notyfikowanych (art.</w:t>
      </w:r>
      <w:r w:rsidR="00DD1DFA" w:rsidRPr="00DD1DFA">
        <w:rPr>
          <w:noProof/>
          <w:color w:val="000000" w:themeColor="text1"/>
        </w:rPr>
        <w:t> </w:t>
      </w:r>
      <w:r w:rsidRPr="00DD1DFA">
        <w:rPr>
          <w:noProof/>
          <w:color w:val="000000" w:themeColor="text1"/>
        </w:rPr>
        <w:t>50), ich obowiązki operacyjne (art.</w:t>
      </w:r>
      <w:r w:rsidR="00DD1DFA" w:rsidRPr="00DD1DFA">
        <w:rPr>
          <w:noProof/>
          <w:color w:val="000000" w:themeColor="text1"/>
        </w:rPr>
        <w:t> </w:t>
      </w:r>
      <w:r w:rsidRPr="00DD1DFA">
        <w:rPr>
          <w:noProof/>
          <w:color w:val="000000" w:themeColor="text1"/>
        </w:rPr>
        <w:t>60)</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obo</w:t>
      </w:r>
      <w:r w:rsidRPr="00DD1DFA">
        <w:rPr>
          <w:noProof/>
          <w:color w:val="000000" w:themeColor="text1"/>
        </w:rPr>
        <w:t>wiązki</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zak</w:t>
      </w:r>
      <w:r w:rsidRPr="00DD1DFA">
        <w:rPr>
          <w:noProof/>
          <w:color w:val="000000" w:themeColor="text1"/>
        </w:rPr>
        <w:t>resie informowania (art.</w:t>
      </w:r>
      <w:r w:rsidR="00DD1DFA" w:rsidRPr="00DD1DFA">
        <w:rPr>
          <w:noProof/>
          <w:color w:val="000000" w:themeColor="text1"/>
        </w:rPr>
        <w:t> </w:t>
      </w:r>
      <w:r w:rsidRPr="00DD1DFA">
        <w:rPr>
          <w:noProof/>
          <w:color w:val="000000" w:themeColor="text1"/>
        </w:rPr>
        <w:t>61) oraz wymieniono obowiązki jednostki notyfikowanej względem jej podwykonawcy lub spółki zależnej (art.</w:t>
      </w:r>
      <w:r w:rsidR="00DD1DFA" w:rsidRPr="00DD1DFA">
        <w:rPr>
          <w:noProof/>
          <w:color w:val="000000" w:themeColor="text1"/>
        </w:rPr>
        <w:t> </w:t>
      </w:r>
      <w:r w:rsidRPr="00DD1DFA">
        <w:rPr>
          <w:noProof/>
          <w:color w:val="000000" w:themeColor="text1"/>
        </w:rPr>
        <w:t>53). Określono</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nim</w:t>
      </w:r>
      <w:r w:rsidRPr="00DD1DFA">
        <w:rPr>
          <w:noProof/>
          <w:color w:val="000000" w:themeColor="text1"/>
        </w:rPr>
        <w:t xml:space="preserve"> również zasady korzystania</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urz</w:t>
      </w:r>
      <w:r w:rsidRPr="00DD1DFA">
        <w:rPr>
          <w:noProof/>
          <w:color w:val="000000" w:themeColor="text1"/>
        </w:rPr>
        <w:t>ądzeń innych niż laboratorium badawcze jednostki notyfikowanej (art.</w:t>
      </w:r>
      <w:r w:rsidR="00DD1DFA" w:rsidRPr="00DD1DFA">
        <w:rPr>
          <w:noProof/>
          <w:color w:val="000000" w:themeColor="text1"/>
        </w:rPr>
        <w:t> </w:t>
      </w:r>
      <w:r w:rsidRPr="00DD1DFA">
        <w:rPr>
          <w:noProof/>
          <w:color w:val="000000" w:themeColor="text1"/>
        </w:rPr>
        <w:t>54). Przewiduje się procedurę zgłaszania przez państwa członkowskie</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Kom</w:t>
      </w:r>
      <w:r w:rsidRPr="00DD1DFA">
        <w:rPr>
          <w:noProof/>
          <w:color w:val="000000" w:themeColor="text1"/>
        </w:rPr>
        <w:t>isję formalnych zastrzeżeń do norm zharmonizowanych dotyczących akredytacji (art.</w:t>
      </w:r>
      <w:r w:rsidR="00DD1DFA" w:rsidRPr="00DD1DFA">
        <w:rPr>
          <w:noProof/>
          <w:color w:val="000000" w:themeColor="text1"/>
        </w:rPr>
        <w:t> </w:t>
      </w:r>
      <w:r w:rsidRPr="00DD1DFA">
        <w:rPr>
          <w:noProof/>
          <w:color w:val="000000" w:themeColor="text1"/>
        </w:rPr>
        <w:t xml:space="preserve">52). </w:t>
      </w:r>
    </w:p>
    <w:p w14:paraId="0CE988F1" w14:textId="1CE26561" w:rsidR="004E75DC" w:rsidRPr="00DD1DFA" w:rsidRDefault="004E75DC" w:rsidP="004E75DC">
      <w:pPr>
        <w:rPr>
          <w:rFonts w:eastAsia="Calibri"/>
          <w:noProof/>
          <w:color w:val="000000" w:themeColor="text1"/>
        </w:rPr>
      </w:pPr>
      <w:r w:rsidRPr="00DD1DFA">
        <w:rPr>
          <w:noProof/>
          <w:color w:val="000000" w:themeColor="text1"/>
        </w:rPr>
        <w:t>W rozdziale VII (art.</w:t>
      </w:r>
      <w:r w:rsidR="00DD1DFA" w:rsidRPr="00DD1DFA">
        <w:rPr>
          <w:noProof/>
          <w:color w:val="000000" w:themeColor="text1"/>
        </w:rPr>
        <w:t> </w:t>
      </w:r>
      <w:r w:rsidRPr="00DD1DFA">
        <w:rPr>
          <w:noProof/>
          <w:color w:val="000000" w:themeColor="text1"/>
        </w:rPr>
        <w:t>64–67) przewidziano procedury uproszczone</w:t>
      </w:r>
      <w:r w:rsidR="00DD1DFA" w:rsidRPr="00DD1DFA">
        <w:rPr>
          <w:noProof/>
          <w:color w:val="000000" w:themeColor="text1"/>
        </w:rPr>
        <w:t>. W</w:t>
      </w:r>
      <w:r w:rsidR="00DD1DFA">
        <w:rPr>
          <w:noProof/>
          <w:color w:val="000000" w:themeColor="text1"/>
        </w:rPr>
        <w:t> </w:t>
      </w:r>
      <w:r w:rsidR="00DD1DFA" w:rsidRPr="00DD1DFA">
        <w:rPr>
          <w:noProof/>
          <w:color w:val="000000" w:themeColor="text1"/>
        </w:rPr>
        <w:t>cel</w:t>
      </w:r>
      <w:r w:rsidRPr="00DD1DFA">
        <w:rPr>
          <w:noProof/>
          <w:color w:val="000000" w:themeColor="text1"/>
        </w:rPr>
        <w:t>u zmniejszenia obciążeń administracyjnych, szczególnie</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prz</w:t>
      </w:r>
      <w:r w:rsidRPr="00DD1DFA">
        <w:rPr>
          <w:noProof/>
          <w:color w:val="000000" w:themeColor="text1"/>
        </w:rPr>
        <w:t>ypadku MŚP</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mik</w:t>
      </w:r>
      <w:r w:rsidRPr="00DD1DFA">
        <w:rPr>
          <w:noProof/>
          <w:color w:val="000000" w:themeColor="text1"/>
        </w:rPr>
        <w:t>roprzedsiębiorstw,</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nin</w:t>
      </w:r>
      <w:r w:rsidRPr="00DD1DFA">
        <w:rPr>
          <w:noProof/>
          <w:color w:val="000000" w:themeColor="text1"/>
        </w:rPr>
        <w:t>iejszym rozdziale ustanowiono procedury uproszczone,</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tym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64 dotyczącym stosowania odpowiedniej dokumentacji technicznej, art.</w:t>
      </w:r>
      <w:r w:rsidR="00DD1DFA" w:rsidRPr="00DD1DFA">
        <w:rPr>
          <w:noProof/>
          <w:color w:val="000000" w:themeColor="text1"/>
        </w:rPr>
        <w:t> </w:t>
      </w:r>
      <w:r w:rsidRPr="00DD1DFA">
        <w:rPr>
          <w:noProof/>
          <w:color w:val="000000" w:themeColor="text1"/>
        </w:rPr>
        <w:t>65 umożliwiającym mikroprzedsiębiorstwom stosowanie łagodniejszego systemu weryfikacji, art.</w:t>
      </w:r>
      <w:r w:rsidR="00DD1DFA" w:rsidRPr="00DD1DFA">
        <w:rPr>
          <w:noProof/>
          <w:color w:val="000000" w:themeColor="text1"/>
        </w:rPr>
        <w:t> </w:t>
      </w:r>
      <w:r w:rsidRPr="00DD1DFA">
        <w:rPr>
          <w:noProof/>
          <w:color w:val="000000" w:themeColor="text1"/>
        </w:rPr>
        <w:t>66,</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któ</w:t>
      </w:r>
      <w:r w:rsidRPr="00DD1DFA">
        <w:rPr>
          <w:noProof/>
          <w:color w:val="000000" w:themeColor="text1"/>
        </w:rPr>
        <w:t>rym zmniejsza się wymagania dla nieseryjnych wyrobów wykonywanych na zamówienie, wbudowywanych</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zid</w:t>
      </w:r>
      <w:r w:rsidRPr="00DD1DFA">
        <w:rPr>
          <w:noProof/>
          <w:color w:val="000000" w:themeColor="text1"/>
        </w:rPr>
        <w:t>entyfikowanym pojedynczym obiekcie budowlanym, art.</w:t>
      </w:r>
      <w:r w:rsidR="00DD1DFA" w:rsidRPr="00DD1DFA">
        <w:rPr>
          <w:noProof/>
          <w:color w:val="000000" w:themeColor="text1"/>
        </w:rPr>
        <w:t> </w:t>
      </w:r>
      <w:r w:rsidRPr="00DD1DFA">
        <w:rPr>
          <w:noProof/>
          <w:color w:val="000000" w:themeColor="text1"/>
        </w:rPr>
        <w:t>67 dotyczącym uznawania oceny</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wer</w:t>
      </w:r>
      <w:r w:rsidRPr="00DD1DFA">
        <w:rPr>
          <w:noProof/>
          <w:color w:val="000000" w:themeColor="text1"/>
        </w:rPr>
        <w:t xml:space="preserve">yfikacji przeprowadzonej przez inną jednostkę notyfikowaną. </w:t>
      </w:r>
    </w:p>
    <w:p w14:paraId="76374AB5" w14:textId="16FC67E1" w:rsidR="004E75DC" w:rsidRPr="00DD1DFA" w:rsidRDefault="004E75DC" w:rsidP="004E75DC">
      <w:pPr>
        <w:rPr>
          <w:rFonts w:eastAsia="Calibri"/>
          <w:noProof/>
          <w:color w:val="000000" w:themeColor="text1"/>
        </w:rPr>
      </w:pPr>
      <w:r w:rsidRPr="00DD1DFA">
        <w:rPr>
          <w:noProof/>
          <w:color w:val="000000" w:themeColor="text1"/>
        </w:rPr>
        <w:t>W rozdziale VIII (art.</w:t>
      </w:r>
      <w:r w:rsidR="00DD1DFA" w:rsidRPr="00DD1DFA">
        <w:rPr>
          <w:noProof/>
          <w:color w:val="000000" w:themeColor="text1"/>
        </w:rPr>
        <w:t> </w:t>
      </w:r>
      <w:r w:rsidRPr="00DD1DFA">
        <w:rPr>
          <w:noProof/>
          <w:color w:val="000000" w:themeColor="text1"/>
        </w:rPr>
        <w:t>68–76) określono zasady dotyczące nadzoru rynku</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pro</w:t>
      </w:r>
      <w:r w:rsidRPr="00DD1DFA">
        <w:rPr>
          <w:noProof/>
          <w:color w:val="000000" w:themeColor="text1"/>
        </w:rPr>
        <w:t>cedur ochronnych</w:t>
      </w:r>
      <w:r w:rsidR="00DD1DFA" w:rsidRPr="00DD1DFA">
        <w:rPr>
          <w:noProof/>
          <w:color w:val="000000" w:themeColor="text1"/>
        </w:rPr>
        <w:t>.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68 upoważniono Komisję do stworzenia systemu umożliwiającego każdej osobie fizycznej lub prawnej składanie skarg lub sprawozdań dotyczących ewentualnych niezgodności</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nin</w:t>
      </w:r>
      <w:r w:rsidRPr="00DD1DFA">
        <w:rPr>
          <w:noProof/>
          <w:color w:val="000000" w:themeColor="text1"/>
        </w:rPr>
        <w:t xml:space="preserve">iejszym rozporządzeniem. </w:t>
      </w:r>
    </w:p>
    <w:p w14:paraId="4239F4B2" w14:textId="0894D577" w:rsidR="004E75DC" w:rsidRPr="00DD1DFA" w:rsidRDefault="004E75DC" w:rsidP="004E75DC">
      <w:pPr>
        <w:rPr>
          <w:rFonts w:eastAsia="Calibri"/>
          <w:noProof/>
          <w:color w:val="000000" w:themeColor="text1"/>
        </w:rPr>
      </w:pPr>
      <w:r w:rsidRPr="00DD1DFA">
        <w:rPr>
          <w:noProof/>
          <w:color w:val="000000" w:themeColor="text1"/>
        </w:rPr>
        <w:t>W art.</w:t>
      </w:r>
      <w:r w:rsidR="00DD1DFA" w:rsidRPr="00DD1DFA">
        <w:rPr>
          <w:noProof/>
          <w:color w:val="000000" w:themeColor="text1"/>
        </w:rPr>
        <w:t> </w:t>
      </w:r>
      <w:r w:rsidRPr="00DD1DFA">
        <w:rPr>
          <w:noProof/>
          <w:color w:val="000000" w:themeColor="text1"/>
        </w:rPr>
        <w:t>70 określono sposób postępowania</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prz</w:t>
      </w:r>
      <w:r w:rsidRPr="00DD1DFA">
        <w:rPr>
          <w:noProof/>
          <w:color w:val="000000" w:themeColor="text1"/>
        </w:rPr>
        <w:t>ypadku niezgodności,</w:t>
      </w:r>
      <w:r w:rsidR="00DD1DFA" w:rsidRPr="00DD1DFA">
        <w:rPr>
          <w:noProof/>
          <w:color w:val="000000" w:themeColor="text1"/>
        </w:rPr>
        <w:t xml:space="preserve"> a</w:t>
      </w:r>
      <w:r w:rsidR="00DD1DFA">
        <w:rPr>
          <w:noProof/>
          <w:color w:val="000000" w:themeColor="text1"/>
        </w:rPr>
        <w:t> </w:t>
      </w:r>
      <w:r w:rsidR="00DD1DFA" w:rsidRPr="00DD1DFA">
        <w:rPr>
          <w:noProof/>
          <w:color w:val="000000" w:themeColor="text1"/>
        </w:rPr>
        <w:t>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71 – unijną procedurę ochronną</w:t>
      </w:r>
      <w:r w:rsidR="00DD1DFA" w:rsidRPr="00DD1DFA">
        <w:rPr>
          <w:noProof/>
          <w:color w:val="000000" w:themeColor="text1"/>
        </w:rPr>
        <w:t xml:space="preserve"> </w:t>
      </w:r>
      <w:r w:rsidR="00DD1DFA" w:rsidRPr="00DD1DFA">
        <w:rPr>
          <w:noProof/>
        </w:rPr>
        <w:t>w</w:t>
      </w:r>
      <w:r w:rsidR="00DD1DFA">
        <w:rPr>
          <w:noProof/>
          <w:color w:val="000000" w:themeColor="text1"/>
        </w:rPr>
        <w:t> </w:t>
      </w:r>
      <w:r w:rsidR="00DD1DFA" w:rsidRPr="00DD1DFA">
        <w:rPr>
          <w:noProof/>
        </w:rPr>
        <w:t>prz</w:t>
      </w:r>
      <w:r w:rsidRPr="00DD1DFA">
        <w:rPr>
          <w:noProof/>
        </w:rPr>
        <w:t>ypadkach,</w:t>
      </w:r>
      <w:r w:rsidR="00DD1DFA" w:rsidRPr="00DD1DFA">
        <w:rPr>
          <w:noProof/>
        </w:rPr>
        <w:t xml:space="preserve"> w</w:t>
      </w:r>
      <w:r w:rsidR="00DD1DFA">
        <w:rPr>
          <w:noProof/>
        </w:rPr>
        <w:t> </w:t>
      </w:r>
      <w:r w:rsidR="00DD1DFA" w:rsidRPr="00DD1DFA">
        <w:rPr>
          <w:noProof/>
        </w:rPr>
        <w:t>któ</w:t>
      </w:r>
      <w:r w:rsidRPr="00DD1DFA">
        <w:rPr>
          <w:noProof/>
        </w:rPr>
        <w:t>rych państwa członkowskie mogą skutecznie powoływać się na nadrzędne względy</w:t>
      </w:r>
      <w:r w:rsidR="00DD1DFA" w:rsidRPr="00DD1DFA">
        <w:rPr>
          <w:noProof/>
        </w:rPr>
        <w:t xml:space="preserve"> w</w:t>
      </w:r>
      <w:r w:rsidR="00DD1DFA">
        <w:rPr>
          <w:noProof/>
        </w:rPr>
        <w:t> </w:t>
      </w:r>
      <w:r w:rsidR="00DD1DFA" w:rsidRPr="00DD1DFA">
        <w:rPr>
          <w:noProof/>
        </w:rPr>
        <w:t>odn</w:t>
      </w:r>
      <w:r w:rsidRPr="00DD1DFA">
        <w:rPr>
          <w:noProof/>
        </w:rPr>
        <w:t>iesieniu do zdrowia, bezpieczeństwa lub ochrony środowiska</w:t>
      </w:r>
      <w:r w:rsidR="00DD1DFA" w:rsidRPr="00DD1DFA">
        <w:rPr>
          <w:noProof/>
        </w:rPr>
        <w:t xml:space="preserve">. </w:t>
      </w:r>
      <w:r w:rsidR="00DD1DFA" w:rsidRPr="00DD1DFA">
        <w:rPr>
          <w:noProof/>
          <w:color w:val="000000" w:themeColor="text1"/>
        </w:rPr>
        <w:t>W</w:t>
      </w:r>
      <w:r w:rsidR="00DD1DFA">
        <w:rPr>
          <w:noProof/>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72 określono zasady postępowania ze spełniającymi wymagania wyrobami stwarzającymi ryzyko. Art. 73 zawiera upoważnienie dla Komisji do określenia minimalnej liczby kontroli przeprowadzanych przez nadzór rynku oraz do określenia minimalnych zasobów ludzkich, jakie mają zostać zaangażowane przez organy nadzoru rynku do prac związanych</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wyr</w:t>
      </w:r>
      <w:r w:rsidRPr="00DD1DFA">
        <w:rPr>
          <w:noProof/>
          <w:color w:val="000000" w:themeColor="text1"/>
        </w:rPr>
        <w:t>obami budowlanymi</w:t>
      </w:r>
      <w:r w:rsidR="00DD1DFA" w:rsidRPr="00DD1DFA">
        <w:rPr>
          <w:noProof/>
          <w:color w:val="000000" w:themeColor="text1"/>
        </w:rPr>
        <w:t>.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74 ustanowiono koordynację nadzoru rynku</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gru</w:t>
      </w:r>
      <w:r w:rsidRPr="00DD1DFA">
        <w:rPr>
          <w:noProof/>
          <w:color w:val="000000" w:themeColor="text1"/>
        </w:rPr>
        <w:t>pę ds. współpracy administracyjnej (ADCO). Aby zwiększyć potencjał organów nadzoru rynku, przysługuje im prawo do odzyskania kosztów kontroli</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bad</w:t>
      </w:r>
      <w:r w:rsidRPr="00DD1DFA">
        <w:rPr>
          <w:noProof/>
          <w:color w:val="000000" w:themeColor="text1"/>
        </w:rPr>
        <w:t>ań od podmiotów gospodarczych (art.</w:t>
      </w:r>
      <w:r w:rsidR="00DD1DFA" w:rsidRPr="00DD1DFA">
        <w:rPr>
          <w:noProof/>
          <w:color w:val="000000" w:themeColor="text1"/>
        </w:rPr>
        <w:t> </w:t>
      </w:r>
      <w:r w:rsidRPr="00DD1DFA">
        <w:rPr>
          <w:noProof/>
          <w:color w:val="000000" w:themeColor="text1"/>
        </w:rPr>
        <w:t>75). Organy nadzoru rynkowego są zobowiązane do składania Komisji corocznych sprawozdań ze swojej działalności (art.</w:t>
      </w:r>
      <w:r w:rsidR="00DD1DFA" w:rsidRPr="00DD1DFA">
        <w:rPr>
          <w:noProof/>
          <w:color w:val="000000" w:themeColor="text1"/>
        </w:rPr>
        <w:t> </w:t>
      </w:r>
      <w:r w:rsidRPr="00DD1DFA">
        <w:rPr>
          <w:noProof/>
          <w:color w:val="000000" w:themeColor="text1"/>
        </w:rPr>
        <w:t xml:space="preserve">76). </w:t>
      </w:r>
    </w:p>
    <w:p w14:paraId="446D1CB7" w14:textId="67DCFD5B" w:rsidR="004E75DC" w:rsidRPr="00DD1DFA" w:rsidRDefault="004E75DC" w:rsidP="004E75DC">
      <w:pPr>
        <w:rPr>
          <w:rFonts w:eastAsia="Calibri"/>
          <w:noProof/>
          <w:color w:val="000000" w:themeColor="text1"/>
        </w:rPr>
      </w:pPr>
      <w:r w:rsidRPr="00DD1DFA">
        <w:rPr>
          <w:noProof/>
          <w:color w:val="000000" w:themeColor="text1"/>
        </w:rPr>
        <w:t>W rozdziale IX (art.</w:t>
      </w:r>
      <w:r w:rsidR="00DD1DFA" w:rsidRPr="00DD1DFA">
        <w:rPr>
          <w:noProof/>
          <w:color w:val="000000" w:themeColor="text1"/>
        </w:rPr>
        <w:t> </w:t>
      </w:r>
      <w:r w:rsidRPr="00DD1DFA">
        <w:rPr>
          <w:noProof/>
          <w:color w:val="000000" w:themeColor="text1"/>
        </w:rPr>
        <w:t>77–81) określono zasady dotyczące informacji</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wsp</w:t>
      </w:r>
      <w:r w:rsidRPr="00DD1DFA">
        <w:rPr>
          <w:noProof/>
          <w:color w:val="000000" w:themeColor="text1"/>
        </w:rPr>
        <w:t>ółpracy administracyjnej. Wprowadzono je</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cel</w:t>
      </w:r>
      <w:r w:rsidRPr="00DD1DFA">
        <w:rPr>
          <w:noProof/>
          <w:color w:val="000000" w:themeColor="text1"/>
        </w:rPr>
        <w:t>u wzmocnienia całego systemu</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sto</w:t>
      </w:r>
      <w:r w:rsidRPr="00DD1DFA">
        <w:rPr>
          <w:noProof/>
          <w:color w:val="000000" w:themeColor="text1"/>
        </w:rPr>
        <w:t xml:space="preserve">sowania rozporządzenia, aby uniknąć rozbieżnych decyzji, które mogłyby prowadzić do nierównych warunków działania. </w:t>
      </w:r>
    </w:p>
    <w:p w14:paraId="28F38055" w14:textId="1728B3FD" w:rsidR="004E75DC" w:rsidRPr="00DD1DFA" w:rsidRDefault="004E75DC" w:rsidP="004E75DC">
      <w:pPr>
        <w:rPr>
          <w:rFonts w:eastAsia="Calibri"/>
          <w:noProof/>
          <w:color w:val="00000A"/>
          <w:szCs w:val="24"/>
        </w:rPr>
      </w:pPr>
      <w:r w:rsidRPr="00DD1DFA">
        <w:rPr>
          <w:noProof/>
          <w:color w:val="000000" w:themeColor="text1"/>
        </w:rPr>
        <w:t>Zgodnie</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tym</w:t>
      </w:r>
      <w:r w:rsidRPr="00DD1DFA">
        <w:rPr>
          <w:noProof/>
          <w:color w:val="000000" w:themeColor="text1"/>
        </w:rPr>
        <w:t>i celami</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77 ustanawia się</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utr</w:t>
      </w:r>
      <w:r w:rsidRPr="00DD1DFA">
        <w:rPr>
          <w:noProof/>
          <w:color w:val="000000" w:themeColor="text1"/>
        </w:rPr>
        <w:t>zymuje system informacji</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kom</w:t>
      </w:r>
      <w:r w:rsidRPr="00DD1DFA">
        <w:rPr>
          <w:noProof/>
          <w:color w:val="000000" w:themeColor="text1"/>
        </w:rPr>
        <w:t>unikacji</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cel</w:t>
      </w:r>
      <w:r w:rsidRPr="00DD1DFA">
        <w:rPr>
          <w:noProof/>
          <w:color w:val="000000" w:themeColor="text1"/>
        </w:rPr>
        <w:t>u zapewnienia zharmonizowanej interpretacji</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sto</w:t>
      </w:r>
      <w:r w:rsidRPr="00DD1DFA">
        <w:rPr>
          <w:noProof/>
          <w:color w:val="000000" w:themeColor="text1"/>
        </w:rPr>
        <w:t>sowania niniejszego rozporządzenia.</w:t>
      </w:r>
      <w:r w:rsidR="00DD1DFA" w:rsidRPr="00DD1DFA">
        <w:rPr>
          <w:noProof/>
          <w:color w:val="000000" w:themeColor="text1"/>
        </w:rPr>
        <w:t xml:space="preserve"> </w:t>
      </w:r>
    </w:p>
    <w:p w14:paraId="208F0D47" w14:textId="46498310" w:rsidR="004E75DC" w:rsidRPr="00DD1DFA" w:rsidRDefault="004E75DC" w:rsidP="004E75DC">
      <w:pPr>
        <w:rPr>
          <w:rFonts w:eastAsia="Calibri"/>
          <w:noProof/>
          <w:color w:val="00000A"/>
        </w:rPr>
      </w:pPr>
      <w:r w:rsidRPr="00DD1DFA">
        <w:rPr>
          <w:noProof/>
          <w:color w:val="000000" w:themeColor="text1"/>
        </w:rPr>
        <w:t>W art.</w:t>
      </w:r>
      <w:r w:rsidR="00DD1DFA" w:rsidRPr="00DD1DFA">
        <w:rPr>
          <w:noProof/>
          <w:color w:val="000000" w:themeColor="text1"/>
        </w:rPr>
        <w:t> </w:t>
      </w:r>
      <w:r w:rsidRPr="00DD1DFA">
        <w:rPr>
          <w:noProof/>
          <w:color w:val="000000" w:themeColor="text1"/>
        </w:rPr>
        <w:t xml:space="preserve">78 upoważnia się </w:t>
      </w:r>
      <w:r w:rsidRPr="00DD1DFA">
        <w:rPr>
          <w:noProof/>
          <w:color w:val="00000A"/>
        </w:rPr>
        <w:t>Komisję do utworzenia</w:t>
      </w:r>
      <w:r w:rsidRPr="00DD1DFA">
        <w:rPr>
          <w:noProof/>
          <w:color w:val="000000" w:themeColor="text1"/>
        </w:rPr>
        <w:t xml:space="preserve"> unijnej bazy danych wyrobów budowlanych lub systemu informacji dotyczących wyrobów budowlanych</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cel</w:t>
      </w:r>
      <w:r w:rsidRPr="00DD1DFA">
        <w:rPr>
          <w:noProof/>
          <w:color w:val="000000" w:themeColor="text1"/>
        </w:rPr>
        <w:t>u ułatwienia dostępu do informacji</w:t>
      </w:r>
      <w:r w:rsidR="00DD1DFA" w:rsidRPr="00DD1DFA">
        <w:rPr>
          <w:noProof/>
          <w:color w:val="000000" w:themeColor="text1"/>
        </w:rPr>
        <w:t xml:space="preserve"> o</w:t>
      </w:r>
      <w:r w:rsidR="00DD1DFA">
        <w:rPr>
          <w:noProof/>
          <w:color w:val="000000" w:themeColor="text1"/>
        </w:rPr>
        <w:t> </w:t>
      </w:r>
      <w:r w:rsidR="00DD1DFA" w:rsidRPr="00DD1DFA">
        <w:rPr>
          <w:noProof/>
          <w:color w:val="000000" w:themeColor="text1"/>
        </w:rPr>
        <w:t>wyr</w:t>
      </w:r>
      <w:r w:rsidRPr="00DD1DFA">
        <w:rPr>
          <w:noProof/>
          <w:color w:val="000000" w:themeColor="text1"/>
        </w:rPr>
        <w:t>obach (w szczególności deklaracji właściwości użytkowych, deklaracji zgodności</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ins</w:t>
      </w:r>
      <w:r w:rsidRPr="00DD1DFA">
        <w:rPr>
          <w:noProof/>
          <w:color w:val="000000" w:themeColor="text1"/>
        </w:rPr>
        <w:t>trukcji dotyczących stosowania)</w:t>
      </w:r>
      <w:r w:rsidR="00DD1DFA" w:rsidRPr="00DD1DFA">
        <w:rPr>
          <w:noProof/>
          <w:color w:val="000000" w:themeColor="text1"/>
        </w:rPr>
        <w:t>.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79 dokonano przeglądu przepisów dotyczących punktów kontaktowych ds. wyrobów budowlanych, aby lepiej wspierać podmioty gospodarcze</w:t>
      </w:r>
      <w:r w:rsidR="00DD1DFA" w:rsidRPr="00DD1DFA">
        <w:rPr>
          <w:noProof/>
          <w:color w:val="000000" w:themeColor="text1"/>
        </w:rPr>
        <w:t xml:space="preserve">. </w:t>
      </w:r>
      <w:r w:rsidR="00DD1DFA" w:rsidRPr="00DD1DFA">
        <w:rPr>
          <w:noProof/>
          <w:color w:val="00000A"/>
        </w:rPr>
        <w:t>W</w:t>
      </w:r>
      <w:r w:rsidR="00DD1DFA">
        <w:rPr>
          <w:noProof/>
          <w:color w:val="000000" w:themeColor="text1"/>
        </w:rPr>
        <w:t> </w:t>
      </w:r>
      <w:r w:rsidR="00DD1DFA" w:rsidRPr="00DD1DFA">
        <w:rPr>
          <w:noProof/>
          <w:color w:val="00000A"/>
        </w:rPr>
        <w:t>art</w:t>
      </w:r>
      <w:r w:rsidRPr="00DD1DFA">
        <w:rPr>
          <w:noProof/>
          <w:color w:val="00000A"/>
        </w:rPr>
        <w:t>.</w:t>
      </w:r>
      <w:r w:rsidR="00DD1DFA" w:rsidRPr="00DD1DFA">
        <w:rPr>
          <w:noProof/>
          <w:color w:val="00000A"/>
        </w:rPr>
        <w:t> </w:t>
      </w:r>
      <w:r w:rsidRPr="00DD1DFA">
        <w:rPr>
          <w:noProof/>
          <w:color w:val="00000A"/>
        </w:rPr>
        <w:t>80 nakłada się na organy nadzoru rynku, punkty kontaktowe ds. wyrobów budowlanych, organy wyznaczające, JOT, organy notyfikujące</w:t>
      </w:r>
      <w:r w:rsidR="00DD1DFA" w:rsidRPr="00DD1DFA">
        <w:rPr>
          <w:noProof/>
          <w:color w:val="00000A"/>
        </w:rPr>
        <w:t xml:space="preserve"> i</w:t>
      </w:r>
      <w:r w:rsidR="00DD1DFA">
        <w:rPr>
          <w:noProof/>
          <w:color w:val="00000A"/>
        </w:rPr>
        <w:t> </w:t>
      </w:r>
      <w:r w:rsidR="00DD1DFA" w:rsidRPr="00DD1DFA">
        <w:rPr>
          <w:noProof/>
          <w:color w:val="00000A"/>
        </w:rPr>
        <w:t>jed</w:t>
      </w:r>
      <w:r w:rsidRPr="00DD1DFA">
        <w:rPr>
          <w:noProof/>
          <w:color w:val="00000A"/>
        </w:rPr>
        <w:t>nostki notyfikowane obowiązek stałego aktualizowania wiedzy</w:t>
      </w:r>
      <w:r w:rsidR="00DD1DFA" w:rsidRPr="00DD1DFA">
        <w:rPr>
          <w:noProof/>
          <w:color w:val="00000A"/>
        </w:rPr>
        <w:t xml:space="preserve"> w</w:t>
      </w:r>
      <w:r w:rsidR="00DD1DFA">
        <w:rPr>
          <w:noProof/>
          <w:color w:val="00000A"/>
        </w:rPr>
        <w:t> </w:t>
      </w:r>
      <w:r w:rsidR="00DD1DFA" w:rsidRPr="00DD1DFA">
        <w:rPr>
          <w:noProof/>
          <w:color w:val="00000A"/>
        </w:rPr>
        <w:t>dzi</w:t>
      </w:r>
      <w:r w:rsidRPr="00DD1DFA">
        <w:rPr>
          <w:noProof/>
          <w:color w:val="00000A"/>
        </w:rPr>
        <w:t>edzinie, którą się zajmują, oraz odbywania szkoleń</w:t>
      </w:r>
      <w:r w:rsidR="00DD1DFA" w:rsidRPr="00DD1DFA">
        <w:rPr>
          <w:noProof/>
          <w:color w:val="00000A"/>
        </w:rPr>
        <w:t xml:space="preserve"> w</w:t>
      </w:r>
      <w:r w:rsidR="00DD1DFA">
        <w:rPr>
          <w:noProof/>
          <w:color w:val="00000A"/>
        </w:rPr>
        <w:t> </w:t>
      </w:r>
      <w:r w:rsidR="00DD1DFA" w:rsidRPr="00DD1DFA">
        <w:rPr>
          <w:noProof/>
          <w:color w:val="00000A"/>
        </w:rPr>
        <w:t>zak</w:t>
      </w:r>
      <w:r w:rsidRPr="00DD1DFA">
        <w:rPr>
          <w:noProof/>
          <w:color w:val="00000A"/>
        </w:rPr>
        <w:t>resie wspólnej interpretacji</w:t>
      </w:r>
      <w:r w:rsidR="00DD1DFA" w:rsidRPr="00DD1DFA">
        <w:rPr>
          <w:noProof/>
          <w:color w:val="00000A"/>
        </w:rPr>
        <w:t xml:space="preserve"> i</w:t>
      </w:r>
      <w:r w:rsidR="00DD1DFA">
        <w:rPr>
          <w:noProof/>
          <w:color w:val="00000A"/>
        </w:rPr>
        <w:t> </w:t>
      </w:r>
      <w:r w:rsidR="00DD1DFA" w:rsidRPr="00DD1DFA">
        <w:rPr>
          <w:noProof/>
          <w:color w:val="00000A"/>
        </w:rPr>
        <w:t>sto</w:t>
      </w:r>
      <w:r w:rsidRPr="00DD1DFA">
        <w:rPr>
          <w:noProof/>
          <w:color w:val="00000A"/>
        </w:rPr>
        <w:t>sowania przepisów. Nakłada się</w:t>
      </w:r>
      <w:r w:rsidR="00DD1DFA" w:rsidRPr="00DD1DFA">
        <w:rPr>
          <w:noProof/>
          <w:color w:val="00000A"/>
        </w:rPr>
        <w:t xml:space="preserve"> w</w:t>
      </w:r>
      <w:r w:rsidR="00DD1DFA">
        <w:rPr>
          <w:noProof/>
          <w:color w:val="00000A"/>
        </w:rPr>
        <w:t> </w:t>
      </w:r>
      <w:r w:rsidR="00DD1DFA" w:rsidRPr="00DD1DFA">
        <w:rPr>
          <w:noProof/>
          <w:color w:val="00000A"/>
        </w:rPr>
        <w:t>nim</w:t>
      </w:r>
      <w:r w:rsidRPr="00DD1DFA">
        <w:rPr>
          <w:noProof/>
          <w:color w:val="00000A"/>
        </w:rPr>
        <w:t xml:space="preserve"> również na Komisję obowiązek organizowania szkoleń co najmniej raz</w:t>
      </w:r>
      <w:r w:rsidR="00DD1DFA" w:rsidRPr="00DD1DFA">
        <w:rPr>
          <w:noProof/>
          <w:color w:val="00000A"/>
        </w:rPr>
        <w:t xml:space="preserve"> w</w:t>
      </w:r>
      <w:r w:rsidR="00DD1DFA">
        <w:rPr>
          <w:noProof/>
          <w:color w:val="00000A"/>
        </w:rPr>
        <w:t> </w:t>
      </w:r>
      <w:r w:rsidR="00DD1DFA" w:rsidRPr="00DD1DFA">
        <w:rPr>
          <w:noProof/>
          <w:color w:val="00000A"/>
        </w:rPr>
        <w:t>rok</w:t>
      </w:r>
      <w:r w:rsidRPr="00DD1DFA">
        <w:rPr>
          <w:noProof/>
          <w:color w:val="00000A"/>
        </w:rPr>
        <w:t>u</w:t>
      </w:r>
      <w:r w:rsidR="00DD1DFA" w:rsidRPr="00DD1DFA">
        <w:rPr>
          <w:noProof/>
          <w:color w:val="00000A"/>
        </w:rPr>
        <w:t>. W</w:t>
      </w:r>
      <w:r w:rsidR="00DD1DFA">
        <w:rPr>
          <w:noProof/>
          <w:color w:val="00000A"/>
        </w:rPr>
        <w:t> </w:t>
      </w:r>
      <w:r w:rsidR="00DD1DFA" w:rsidRPr="00DD1DFA">
        <w:rPr>
          <w:noProof/>
          <w:color w:val="00000A"/>
        </w:rPr>
        <w:t>art</w:t>
      </w:r>
      <w:r w:rsidRPr="00DD1DFA">
        <w:rPr>
          <w:noProof/>
          <w:color w:val="00000A"/>
        </w:rPr>
        <w:t>.</w:t>
      </w:r>
      <w:r w:rsidR="00DD1DFA" w:rsidRPr="00DD1DFA">
        <w:rPr>
          <w:noProof/>
          <w:color w:val="00000A"/>
        </w:rPr>
        <w:t> </w:t>
      </w:r>
      <w:r w:rsidRPr="00DD1DFA">
        <w:rPr>
          <w:noProof/>
          <w:color w:val="00000A"/>
        </w:rPr>
        <w:t>81 przewiduje się możliwość wspólnego wyznaczenia przez państwa członkowskie organów do wypełniania obowiązków wynikających</w:t>
      </w:r>
      <w:r w:rsidR="00DD1DFA" w:rsidRPr="00DD1DFA">
        <w:rPr>
          <w:noProof/>
          <w:color w:val="00000A"/>
        </w:rPr>
        <w:t xml:space="preserve"> z</w:t>
      </w:r>
      <w:r w:rsidR="00DD1DFA">
        <w:rPr>
          <w:noProof/>
          <w:color w:val="00000A"/>
        </w:rPr>
        <w:t> </w:t>
      </w:r>
      <w:r w:rsidR="00DD1DFA" w:rsidRPr="00DD1DFA">
        <w:rPr>
          <w:noProof/>
          <w:color w:val="00000A"/>
        </w:rPr>
        <w:t>roz</w:t>
      </w:r>
      <w:r w:rsidRPr="00DD1DFA">
        <w:rPr>
          <w:noProof/>
          <w:color w:val="00000A"/>
        </w:rPr>
        <w:t>porządzenia oraz podziału zasobów</w:t>
      </w:r>
      <w:r w:rsidR="00DD1DFA" w:rsidRPr="00DD1DFA">
        <w:rPr>
          <w:noProof/>
          <w:color w:val="00000A"/>
        </w:rPr>
        <w:t xml:space="preserve"> i</w:t>
      </w:r>
      <w:r w:rsidR="00DD1DFA">
        <w:rPr>
          <w:noProof/>
          <w:color w:val="00000A"/>
        </w:rPr>
        <w:t> </w:t>
      </w:r>
      <w:r w:rsidR="00DD1DFA" w:rsidRPr="00DD1DFA">
        <w:rPr>
          <w:noProof/>
          <w:color w:val="00000A"/>
        </w:rPr>
        <w:t>obo</w:t>
      </w:r>
      <w:r w:rsidRPr="00DD1DFA">
        <w:rPr>
          <w:noProof/>
          <w:color w:val="00000A"/>
        </w:rPr>
        <w:t xml:space="preserve">wiązków. </w:t>
      </w:r>
    </w:p>
    <w:p w14:paraId="2AFD32D0" w14:textId="7D18EB80" w:rsidR="004E75DC" w:rsidRPr="00DD1DFA" w:rsidRDefault="004E75DC" w:rsidP="004E75DC">
      <w:pPr>
        <w:rPr>
          <w:rFonts w:eastAsia="Calibri"/>
          <w:noProof/>
          <w:color w:val="000000" w:themeColor="text1"/>
        </w:rPr>
      </w:pPr>
      <w:r w:rsidRPr="00DD1DFA">
        <w:rPr>
          <w:noProof/>
          <w:color w:val="000000" w:themeColor="text1"/>
        </w:rPr>
        <w:t>W rozdziale X (art.</w:t>
      </w:r>
      <w:r w:rsidR="00DD1DFA" w:rsidRPr="00DD1DFA">
        <w:rPr>
          <w:noProof/>
          <w:color w:val="000000" w:themeColor="text1"/>
        </w:rPr>
        <w:t> </w:t>
      </w:r>
      <w:r w:rsidRPr="00DD1DFA">
        <w:rPr>
          <w:noProof/>
          <w:color w:val="000000" w:themeColor="text1"/>
        </w:rPr>
        <w:t>82) określono warunki współpracy</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pań</w:t>
      </w:r>
      <w:r w:rsidRPr="00DD1DFA">
        <w:rPr>
          <w:noProof/>
          <w:color w:val="000000" w:themeColor="text1"/>
        </w:rPr>
        <w:t>stwami niebędącymi członkami UE, także</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cel</w:t>
      </w:r>
      <w:r w:rsidRPr="00DD1DFA">
        <w:rPr>
          <w:noProof/>
          <w:color w:val="000000" w:themeColor="text1"/>
        </w:rPr>
        <w:t>u ograniczenia negatywnych skutków niezgodności podmiotów gospodarczych mających siedzibę</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tyc</w:t>
      </w:r>
      <w:r w:rsidRPr="00DD1DFA">
        <w:rPr>
          <w:noProof/>
          <w:color w:val="000000" w:themeColor="text1"/>
        </w:rPr>
        <w:t xml:space="preserve">h państwach na jednolitym rynku. </w:t>
      </w:r>
    </w:p>
    <w:p w14:paraId="4E931D1E" w14:textId="439DDC8C" w:rsidR="004E75DC" w:rsidRPr="00DD1DFA" w:rsidRDefault="004E75DC" w:rsidP="004E75DC">
      <w:pPr>
        <w:rPr>
          <w:rFonts w:eastAsia="Calibri"/>
          <w:noProof/>
          <w:color w:val="000000" w:themeColor="text1"/>
        </w:rPr>
      </w:pPr>
      <w:r w:rsidRPr="00DD1DFA">
        <w:rPr>
          <w:noProof/>
          <w:color w:val="000000" w:themeColor="text1"/>
        </w:rPr>
        <w:t>W rozdziale XI (art.</w:t>
      </w:r>
      <w:r w:rsidR="00DD1DFA" w:rsidRPr="00DD1DFA">
        <w:rPr>
          <w:noProof/>
          <w:color w:val="000000" w:themeColor="text1"/>
        </w:rPr>
        <w:t> </w:t>
      </w:r>
      <w:r w:rsidRPr="00DD1DFA">
        <w:rPr>
          <w:noProof/>
          <w:color w:val="000000" w:themeColor="text1"/>
        </w:rPr>
        <w:t>83</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8</w:t>
      </w:r>
      <w:r w:rsidRPr="00DD1DFA">
        <w:rPr>
          <w:noProof/>
          <w:color w:val="000000" w:themeColor="text1"/>
        </w:rPr>
        <w:t xml:space="preserve">4) poruszono kwestie zachęt stosowanych przez </w:t>
      </w:r>
      <w:r w:rsidRPr="00DD1DFA">
        <w:rPr>
          <w:bCs/>
          <w:noProof/>
          <w:color w:val="000000" w:themeColor="text1"/>
        </w:rPr>
        <w:t>państwa członkowskie</w:t>
      </w:r>
      <w:r w:rsidR="00DD1DFA" w:rsidRPr="00DD1DFA">
        <w:rPr>
          <w:bCs/>
          <w:noProof/>
          <w:color w:val="000000" w:themeColor="text1"/>
        </w:rPr>
        <w:t xml:space="preserve"> </w:t>
      </w:r>
      <w:r w:rsidR="00DD1DFA" w:rsidRPr="00DD1DFA">
        <w:rPr>
          <w:noProof/>
          <w:color w:val="000000" w:themeColor="text1"/>
        </w:rPr>
        <w:t>i</w:t>
      </w:r>
      <w:r w:rsidR="00DD1DFA">
        <w:rPr>
          <w:bCs/>
          <w:noProof/>
          <w:color w:val="000000" w:themeColor="text1"/>
        </w:rPr>
        <w:t> </w:t>
      </w:r>
      <w:r w:rsidR="00DD1DFA" w:rsidRPr="00DD1DFA">
        <w:rPr>
          <w:noProof/>
          <w:color w:val="000000" w:themeColor="text1"/>
        </w:rPr>
        <w:t>zie</w:t>
      </w:r>
      <w:r w:rsidRPr="00DD1DFA">
        <w:rPr>
          <w:noProof/>
          <w:color w:val="000000" w:themeColor="text1"/>
        </w:rPr>
        <w:t>lonych zamówień publicznych</w:t>
      </w:r>
      <w:r w:rsidR="00DD1DFA" w:rsidRPr="00DD1DFA">
        <w:rPr>
          <w:noProof/>
          <w:color w:val="000000" w:themeColor="text1"/>
        </w:rPr>
        <w:t xml:space="preserve">. </w:t>
      </w:r>
      <w:r w:rsidR="00DD1DFA" w:rsidRPr="00DD1DFA">
        <w:rPr>
          <w:bCs/>
          <w:noProof/>
          <w:color w:val="000000" w:themeColor="text1"/>
        </w:rPr>
        <w:t>W</w:t>
      </w:r>
      <w:r w:rsidR="00DD1DFA">
        <w:rPr>
          <w:noProof/>
          <w:color w:val="000000" w:themeColor="text1"/>
        </w:rPr>
        <w:t> </w:t>
      </w:r>
      <w:r w:rsidR="00DD1DFA" w:rsidRPr="00DD1DFA">
        <w:rPr>
          <w:bCs/>
          <w:noProof/>
          <w:color w:val="000000" w:themeColor="text1"/>
        </w:rPr>
        <w:t>art</w:t>
      </w:r>
      <w:r w:rsidRPr="00DD1DFA">
        <w:rPr>
          <w:bCs/>
          <w:noProof/>
          <w:color w:val="000000" w:themeColor="text1"/>
        </w:rPr>
        <w:t>.</w:t>
      </w:r>
      <w:r w:rsidR="00DD1DFA" w:rsidRPr="00DD1DFA">
        <w:rPr>
          <w:bCs/>
          <w:noProof/>
          <w:color w:val="000000" w:themeColor="text1"/>
        </w:rPr>
        <w:t> </w:t>
      </w:r>
      <w:r w:rsidRPr="00DD1DFA">
        <w:rPr>
          <w:bCs/>
          <w:noProof/>
          <w:color w:val="000000" w:themeColor="text1"/>
        </w:rPr>
        <w:t>83 określono podejście, zgodnie</w:t>
      </w:r>
      <w:r w:rsidR="00DD1DFA" w:rsidRPr="00DD1DFA">
        <w:rPr>
          <w:bCs/>
          <w:noProof/>
          <w:color w:val="000000" w:themeColor="text1"/>
        </w:rPr>
        <w:t xml:space="preserve"> z</w:t>
      </w:r>
      <w:r w:rsidR="00DD1DFA">
        <w:rPr>
          <w:bCs/>
          <w:noProof/>
          <w:color w:val="000000" w:themeColor="text1"/>
        </w:rPr>
        <w:t> </w:t>
      </w:r>
      <w:r w:rsidR="00DD1DFA" w:rsidRPr="00DD1DFA">
        <w:rPr>
          <w:bCs/>
          <w:noProof/>
          <w:color w:val="000000" w:themeColor="text1"/>
        </w:rPr>
        <w:t>któ</w:t>
      </w:r>
      <w:r w:rsidRPr="00DD1DFA">
        <w:rPr>
          <w:bCs/>
          <w:noProof/>
          <w:color w:val="000000" w:themeColor="text1"/>
        </w:rPr>
        <w:t>rym państwa członkowskie powinny zachęcać do stosowania bardziej zrównoważonych wyrobów budowlanych</w:t>
      </w:r>
      <w:r w:rsidR="00DD1DFA" w:rsidRPr="00DD1DFA">
        <w:rPr>
          <w:bCs/>
          <w:noProof/>
          <w:color w:val="000000" w:themeColor="text1"/>
        </w:rPr>
        <w:t xml:space="preserve">. </w:t>
      </w:r>
      <w:r w:rsidR="00DD1DFA" w:rsidRPr="00DD1DFA">
        <w:rPr>
          <w:noProof/>
          <w:color w:val="000000" w:themeColor="text1"/>
        </w:rPr>
        <w:t>W</w:t>
      </w:r>
      <w:r w:rsidR="00DD1DFA">
        <w:rPr>
          <w:bCs/>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84 upoważnia się Komisję do opracowania wymogów</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zak</w:t>
      </w:r>
      <w:r w:rsidRPr="00DD1DFA">
        <w:rPr>
          <w:noProof/>
          <w:color w:val="000000" w:themeColor="text1"/>
        </w:rPr>
        <w:t xml:space="preserve">resie zrównoważonego rozwoju na potrzeby zielonych zamówień publicznych na wyroby budowlane. </w:t>
      </w:r>
    </w:p>
    <w:p w14:paraId="7CD0F3A4" w14:textId="46E9E1CA" w:rsidR="004E75DC" w:rsidRPr="00DD1DFA" w:rsidRDefault="004E75DC" w:rsidP="004E75DC">
      <w:pPr>
        <w:rPr>
          <w:rFonts w:eastAsia="Calibri"/>
          <w:noProof/>
          <w:color w:val="000000" w:themeColor="text1"/>
        </w:rPr>
      </w:pPr>
      <w:r w:rsidRPr="00DD1DFA">
        <w:rPr>
          <w:noProof/>
          <w:color w:val="000000" w:themeColor="text1"/>
        </w:rPr>
        <w:t>W rozdziale XII (art.</w:t>
      </w:r>
      <w:r w:rsidR="00DD1DFA" w:rsidRPr="00DD1DFA">
        <w:rPr>
          <w:noProof/>
          <w:color w:val="000000" w:themeColor="text1"/>
        </w:rPr>
        <w:t> </w:t>
      </w:r>
      <w:r w:rsidRPr="00DD1DFA">
        <w:rPr>
          <w:noProof/>
          <w:color w:val="000000" w:themeColor="text1"/>
        </w:rPr>
        <w:t>85) upoważnia się Komisję do określenia, czy dany element jest wyrobem budowlanym.</w:t>
      </w:r>
    </w:p>
    <w:p w14:paraId="396F0EE5" w14:textId="1826A7BC" w:rsidR="00883A27" w:rsidRPr="00DD1DFA" w:rsidRDefault="00883A27" w:rsidP="004E75DC">
      <w:pPr>
        <w:rPr>
          <w:rFonts w:eastAsia="Calibri"/>
          <w:noProof/>
          <w:color w:val="000000" w:themeColor="text1"/>
        </w:rPr>
      </w:pPr>
      <w:r w:rsidRPr="00DD1DFA">
        <w:rPr>
          <w:noProof/>
          <w:color w:val="000000" w:themeColor="text1"/>
        </w:rPr>
        <w:t>W rozdziale XIII (art.</w:t>
      </w:r>
      <w:r w:rsidR="00DD1DFA" w:rsidRPr="00DD1DFA">
        <w:rPr>
          <w:noProof/>
          <w:color w:val="000000" w:themeColor="text1"/>
        </w:rPr>
        <w:t> </w:t>
      </w:r>
      <w:r w:rsidRPr="00DD1DFA">
        <w:rPr>
          <w:noProof/>
          <w:color w:val="000000" w:themeColor="text1"/>
        </w:rPr>
        <w:t>86) wprowadzono zmiany do rozporządzenia (UE) 2019/1020, tak aby rozporządzenie (UE) 2019/1020 miało zastosowanie również do wyrobów budowlanych.</w:t>
      </w:r>
    </w:p>
    <w:p w14:paraId="771FE26C" w14:textId="710BBFCB" w:rsidR="004E75DC" w:rsidRPr="00DD1DFA" w:rsidRDefault="004E75DC" w:rsidP="004E75DC">
      <w:pPr>
        <w:rPr>
          <w:rFonts w:eastAsia="Calibri"/>
          <w:noProof/>
          <w:color w:val="000000" w:themeColor="text1"/>
        </w:rPr>
      </w:pPr>
      <w:r w:rsidRPr="00DD1DFA">
        <w:rPr>
          <w:noProof/>
          <w:color w:val="000000" w:themeColor="text1"/>
        </w:rPr>
        <w:t>W rozdziale XIV (art.</w:t>
      </w:r>
      <w:r w:rsidR="00DD1DFA" w:rsidRPr="00DD1DFA">
        <w:rPr>
          <w:noProof/>
          <w:color w:val="000000" w:themeColor="text1"/>
        </w:rPr>
        <w:t> </w:t>
      </w:r>
      <w:r w:rsidRPr="00DD1DFA">
        <w:rPr>
          <w:noProof/>
          <w:color w:val="000000" w:themeColor="text1"/>
        </w:rPr>
        <w:t>87–94) zawarto przepisy końcowe</w:t>
      </w:r>
      <w:r w:rsidR="00DD1DFA" w:rsidRPr="00DD1DFA">
        <w:rPr>
          <w:noProof/>
          <w:color w:val="000000" w:themeColor="text1"/>
        </w:rPr>
        <w:t>.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87 określono warunki przyjmowania aktów delegowanych</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roz</w:t>
      </w:r>
      <w:r w:rsidRPr="00DD1DFA">
        <w:rPr>
          <w:noProof/>
          <w:color w:val="000000" w:themeColor="text1"/>
        </w:rPr>
        <w:t>porządzeniu</w:t>
      </w:r>
      <w:r w:rsidR="00DD1DFA" w:rsidRPr="00DD1DFA">
        <w:rPr>
          <w:noProof/>
          <w:color w:val="000000" w:themeColor="text1"/>
        </w:rPr>
        <w:t>.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88 określono rolę Stałego Komitetu ds. Budownictwa. Na podstawie art.</w:t>
      </w:r>
      <w:r w:rsidR="00DD1DFA" w:rsidRPr="00DD1DFA">
        <w:rPr>
          <w:noProof/>
          <w:color w:val="000000" w:themeColor="text1"/>
        </w:rPr>
        <w:t> </w:t>
      </w:r>
      <w:r w:rsidRPr="00DD1DFA">
        <w:rPr>
          <w:noProof/>
          <w:color w:val="000000" w:themeColor="text1"/>
        </w:rPr>
        <w:t>91 państwa członkowskie ustanawiają przepisy dotyczące kar za naruszenie przepisów rozporządzenia</w:t>
      </w:r>
      <w:r w:rsidR="00DD1DFA" w:rsidRPr="00DD1DFA">
        <w:rPr>
          <w:noProof/>
          <w:color w:val="000000" w:themeColor="text1"/>
        </w:rPr>
        <w:t>.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91 określono wymóg przeprowadzenia oceny rozporządzenia nie wcześniej niż po upływie ośmiu lat od daty rozpoczęcia jego stosowania</w:t>
      </w:r>
      <w:r w:rsidR="00DD1DFA" w:rsidRPr="00DD1DFA">
        <w:rPr>
          <w:noProof/>
          <w:color w:val="000000" w:themeColor="text1"/>
        </w:rPr>
        <w:t>.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93 określono postanowienia przejściowe umożliwiające stopniowe przenoszenie wszystkich norm zharmonizowanych</w:t>
      </w:r>
      <w:r w:rsidR="00DD1DFA" w:rsidRPr="00DD1DFA">
        <w:rPr>
          <w:noProof/>
          <w:color w:val="000000" w:themeColor="text1"/>
        </w:rPr>
        <w:t xml:space="preserve"> z</w:t>
      </w:r>
      <w:r w:rsidR="00DD1DFA">
        <w:rPr>
          <w:noProof/>
          <w:color w:val="000000" w:themeColor="text1"/>
        </w:rPr>
        <w:t> </w:t>
      </w:r>
      <w:r w:rsidR="00DD1DFA" w:rsidRPr="00DD1DFA">
        <w:rPr>
          <w:noProof/>
          <w:color w:val="000000" w:themeColor="text1"/>
        </w:rPr>
        <w:t>roz</w:t>
      </w:r>
      <w:r w:rsidRPr="00DD1DFA">
        <w:rPr>
          <w:noProof/>
          <w:color w:val="000000" w:themeColor="text1"/>
        </w:rPr>
        <w:t>porządzenia</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spr</w:t>
      </w:r>
      <w:r w:rsidRPr="00DD1DFA">
        <w:rPr>
          <w:noProof/>
          <w:color w:val="000000" w:themeColor="text1"/>
        </w:rPr>
        <w:t>awie wyrobów budowlanych do nowego rozporządzenia,</w:t>
      </w:r>
      <w:r w:rsidR="00DD1DFA" w:rsidRPr="00DD1DFA">
        <w:rPr>
          <w:noProof/>
          <w:color w:val="000000" w:themeColor="text1"/>
        </w:rPr>
        <w:t xml:space="preserve"> a</w:t>
      </w:r>
      <w:r w:rsidR="00DD1DFA">
        <w:rPr>
          <w:noProof/>
          <w:color w:val="000000" w:themeColor="text1"/>
        </w:rPr>
        <w:t> </w:t>
      </w:r>
      <w:r w:rsidR="00DD1DFA" w:rsidRPr="00DD1DFA">
        <w:rPr>
          <w:noProof/>
          <w:color w:val="000000" w:themeColor="text1"/>
        </w:rPr>
        <w:t>tym</w:t>
      </w:r>
      <w:r w:rsidRPr="00DD1DFA">
        <w:rPr>
          <w:noProof/>
          <w:color w:val="000000" w:themeColor="text1"/>
        </w:rPr>
        <w:t xml:space="preserve"> samym sprawne wprowadzanie ich</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życ</w:t>
      </w:r>
      <w:r w:rsidRPr="00DD1DFA">
        <w:rPr>
          <w:noProof/>
          <w:color w:val="000000" w:themeColor="text1"/>
        </w:rPr>
        <w:t>ie przez podmioty gospodarcze</w:t>
      </w:r>
      <w:r w:rsidR="00DD1DFA" w:rsidRPr="00DD1DFA">
        <w:rPr>
          <w:noProof/>
          <w:color w:val="000000" w:themeColor="text1"/>
        </w:rPr>
        <w:t>. W</w:t>
      </w:r>
      <w:r w:rsidR="00DD1DFA">
        <w:rPr>
          <w:noProof/>
          <w:color w:val="000000" w:themeColor="text1"/>
        </w:rPr>
        <w:t> </w:t>
      </w:r>
      <w:r w:rsidR="00DD1DFA" w:rsidRPr="00DD1DFA">
        <w:rPr>
          <w:noProof/>
          <w:color w:val="000000" w:themeColor="text1"/>
        </w:rPr>
        <w:t>art</w:t>
      </w:r>
      <w:r w:rsidRPr="00DD1DFA">
        <w:rPr>
          <w:noProof/>
          <w:color w:val="000000" w:themeColor="text1"/>
        </w:rPr>
        <w:t>.</w:t>
      </w:r>
      <w:r w:rsidR="00DD1DFA" w:rsidRPr="00DD1DFA">
        <w:rPr>
          <w:noProof/>
          <w:color w:val="000000" w:themeColor="text1"/>
        </w:rPr>
        <w:t> </w:t>
      </w:r>
      <w:r w:rsidRPr="00DD1DFA">
        <w:rPr>
          <w:noProof/>
          <w:color w:val="000000" w:themeColor="text1"/>
        </w:rPr>
        <w:t>94 określono datę wejścia</w:t>
      </w:r>
      <w:r w:rsidR="00DD1DFA" w:rsidRPr="00DD1DFA">
        <w:rPr>
          <w:noProof/>
          <w:color w:val="000000" w:themeColor="text1"/>
        </w:rPr>
        <w:t xml:space="preserve"> w</w:t>
      </w:r>
      <w:r w:rsidR="00DD1DFA">
        <w:rPr>
          <w:noProof/>
          <w:color w:val="000000" w:themeColor="text1"/>
        </w:rPr>
        <w:t> </w:t>
      </w:r>
      <w:r w:rsidR="00DD1DFA" w:rsidRPr="00DD1DFA">
        <w:rPr>
          <w:noProof/>
          <w:color w:val="000000" w:themeColor="text1"/>
        </w:rPr>
        <w:t>życ</w:t>
      </w:r>
      <w:r w:rsidRPr="00DD1DFA">
        <w:rPr>
          <w:noProof/>
          <w:color w:val="000000" w:themeColor="text1"/>
        </w:rPr>
        <w:t>ie</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dat</w:t>
      </w:r>
      <w:r w:rsidRPr="00DD1DFA">
        <w:rPr>
          <w:noProof/>
          <w:color w:val="000000" w:themeColor="text1"/>
        </w:rPr>
        <w:t xml:space="preserve">ę rozpoczęcia stosowania rozporządzenia. </w:t>
      </w:r>
    </w:p>
    <w:p w14:paraId="1D3E2F37" w14:textId="52B707CB" w:rsidR="004E75DC" w:rsidRPr="00DD1DFA" w:rsidRDefault="004E75DC" w:rsidP="004E75DC">
      <w:pPr>
        <w:rPr>
          <w:noProof/>
        </w:rPr>
      </w:pPr>
      <w:r w:rsidRPr="00DD1DFA">
        <w:rPr>
          <w:noProof/>
        </w:rPr>
        <w:t>Podobnie jak</w:t>
      </w:r>
      <w:r w:rsidR="00DD1DFA" w:rsidRPr="00DD1DFA">
        <w:rPr>
          <w:noProof/>
        </w:rPr>
        <w:t xml:space="preserve"> w</w:t>
      </w:r>
      <w:r w:rsidR="00DD1DFA">
        <w:rPr>
          <w:noProof/>
        </w:rPr>
        <w:t> </w:t>
      </w:r>
      <w:r w:rsidR="00DD1DFA" w:rsidRPr="00DD1DFA">
        <w:rPr>
          <w:noProof/>
        </w:rPr>
        <w:t>roz</w:t>
      </w:r>
      <w:r w:rsidRPr="00DD1DFA">
        <w:rPr>
          <w:noProof/>
        </w:rPr>
        <w:t>porządzeniu</w:t>
      </w:r>
      <w:r w:rsidR="00DD1DFA" w:rsidRPr="00DD1DFA">
        <w:rPr>
          <w:noProof/>
        </w:rPr>
        <w:t xml:space="preserve"> w</w:t>
      </w:r>
      <w:r w:rsidR="00DD1DFA">
        <w:rPr>
          <w:noProof/>
        </w:rPr>
        <w:t> </w:t>
      </w:r>
      <w:r w:rsidR="00DD1DFA" w:rsidRPr="00DD1DFA">
        <w:rPr>
          <w:noProof/>
        </w:rPr>
        <w:t>spr</w:t>
      </w:r>
      <w:r w:rsidRPr="00DD1DFA">
        <w:rPr>
          <w:noProof/>
        </w:rPr>
        <w:t>awie wyrobów budowlanych, części normatywnej wniosku towarzyszy kilka załączników,</w:t>
      </w:r>
      <w:r w:rsidR="00DD1DFA" w:rsidRPr="00DD1DFA">
        <w:rPr>
          <w:noProof/>
        </w:rPr>
        <w:t xml:space="preserve"> a</w:t>
      </w:r>
      <w:r w:rsidR="00DD1DFA">
        <w:rPr>
          <w:noProof/>
        </w:rPr>
        <w:t> </w:t>
      </w:r>
      <w:r w:rsidR="00DD1DFA" w:rsidRPr="00DD1DFA">
        <w:rPr>
          <w:noProof/>
        </w:rPr>
        <w:t>mia</w:t>
      </w:r>
      <w:r w:rsidRPr="00DD1DFA">
        <w:rPr>
          <w:noProof/>
        </w:rPr>
        <w:t xml:space="preserve">nowicie: </w:t>
      </w:r>
    </w:p>
    <w:p w14:paraId="75A60CB2" w14:textId="65798542" w:rsidR="004E75DC" w:rsidRPr="00DD1DFA" w:rsidRDefault="004E75DC" w:rsidP="00A3032E">
      <w:pPr>
        <w:pStyle w:val="Tiret1"/>
        <w:rPr>
          <w:noProof/>
        </w:rPr>
      </w:pPr>
      <w:r w:rsidRPr="00DD1DFA">
        <w:rPr>
          <w:noProof/>
        </w:rPr>
        <w:t>załącznik I dotyczący podstawowych wymagań dotyczących obiektów budowlanych (część A), tak jak</w:t>
      </w:r>
      <w:r w:rsidR="00DD1DFA" w:rsidRPr="00DD1DFA">
        <w:rPr>
          <w:noProof/>
        </w:rPr>
        <w:t xml:space="preserve"> w</w:t>
      </w:r>
      <w:r w:rsidR="00DD1DFA">
        <w:rPr>
          <w:noProof/>
        </w:rPr>
        <w:t> </w:t>
      </w:r>
      <w:r w:rsidR="00DD1DFA" w:rsidRPr="00DD1DFA">
        <w:rPr>
          <w:noProof/>
        </w:rPr>
        <w:t>roz</w:t>
      </w:r>
      <w:r w:rsidRPr="00DD1DFA">
        <w:rPr>
          <w:noProof/>
        </w:rPr>
        <w:t>porządzeniu</w:t>
      </w:r>
      <w:r w:rsidR="00DD1DFA" w:rsidRPr="00DD1DFA">
        <w:rPr>
          <w:noProof/>
        </w:rPr>
        <w:t xml:space="preserve"> w</w:t>
      </w:r>
      <w:r w:rsidR="00DD1DFA">
        <w:rPr>
          <w:noProof/>
        </w:rPr>
        <w:t> </w:t>
      </w:r>
      <w:r w:rsidR="00DD1DFA" w:rsidRPr="00DD1DFA">
        <w:rPr>
          <w:noProof/>
        </w:rPr>
        <w:t>spr</w:t>
      </w:r>
      <w:r w:rsidRPr="00DD1DFA">
        <w:rPr>
          <w:noProof/>
        </w:rPr>
        <w:t>awie wyrobów budowlanych, oraz nowych elementów: wymogów dotyczących wyrobów opartych na właściwościach użytkowych (Część B), wymogów nieodłącznie związanych</w:t>
      </w:r>
      <w:r w:rsidR="00DD1DFA" w:rsidRPr="00DD1DFA">
        <w:rPr>
          <w:noProof/>
        </w:rPr>
        <w:t xml:space="preserve"> z</w:t>
      </w:r>
      <w:r w:rsidR="00DD1DFA">
        <w:rPr>
          <w:noProof/>
        </w:rPr>
        <w:t> </w:t>
      </w:r>
      <w:r w:rsidR="00DD1DFA" w:rsidRPr="00DD1DFA">
        <w:rPr>
          <w:noProof/>
        </w:rPr>
        <w:t>wyr</w:t>
      </w:r>
      <w:r w:rsidRPr="00DD1DFA">
        <w:rPr>
          <w:noProof/>
        </w:rPr>
        <w:t>obem, szczególnie związanych</w:t>
      </w:r>
      <w:r w:rsidR="00DD1DFA" w:rsidRPr="00DD1DFA">
        <w:rPr>
          <w:noProof/>
        </w:rPr>
        <w:t xml:space="preserve"> z</w:t>
      </w:r>
      <w:r w:rsidR="00DD1DFA">
        <w:rPr>
          <w:noProof/>
        </w:rPr>
        <w:t> </w:t>
      </w:r>
      <w:r w:rsidR="00DD1DFA" w:rsidRPr="00DD1DFA">
        <w:rPr>
          <w:noProof/>
        </w:rPr>
        <w:t>bez</w:t>
      </w:r>
      <w:r w:rsidRPr="00DD1DFA">
        <w:rPr>
          <w:noProof/>
        </w:rPr>
        <w:t>pieczeństwem</w:t>
      </w:r>
      <w:r w:rsidR="00DD1DFA" w:rsidRPr="00DD1DFA">
        <w:rPr>
          <w:noProof/>
        </w:rPr>
        <w:t xml:space="preserve"> i</w:t>
      </w:r>
      <w:r w:rsidR="00DD1DFA">
        <w:rPr>
          <w:noProof/>
        </w:rPr>
        <w:t> </w:t>
      </w:r>
      <w:r w:rsidR="00DD1DFA" w:rsidRPr="00DD1DFA">
        <w:rPr>
          <w:noProof/>
        </w:rPr>
        <w:t>śro</w:t>
      </w:r>
      <w:r w:rsidRPr="00DD1DFA">
        <w:rPr>
          <w:noProof/>
        </w:rPr>
        <w:t xml:space="preserve">dowiskiem (Część C) oraz wymogów informacyjnych (Część D); </w:t>
      </w:r>
    </w:p>
    <w:p w14:paraId="7E41FFF2" w14:textId="1DF6D226" w:rsidR="004E75DC" w:rsidRPr="00DD1DFA" w:rsidRDefault="004E75DC" w:rsidP="00A3032E">
      <w:pPr>
        <w:pStyle w:val="Tiret1"/>
        <w:rPr>
          <w:noProof/>
        </w:rPr>
      </w:pPr>
      <w:r w:rsidRPr="00DD1DFA">
        <w:rPr>
          <w:noProof/>
        </w:rPr>
        <w:t>załącznik II dotyczący zawartości deklaracji właściwości użytkowych</w:t>
      </w:r>
      <w:r w:rsidR="00DD1DFA" w:rsidRPr="00DD1DFA">
        <w:rPr>
          <w:noProof/>
        </w:rPr>
        <w:t xml:space="preserve"> i</w:t>
      </w:r>
      <w:r w:rsidR="00DD1DFA">
        <w:rPr>
          <w:noProof/>
        </w:rPr>
        <w:t> </w:t>
      </w:r>
      <w:r w:rsidR="00DD1DFA" w:rsidRPr="00DD1DFA">
        <w:rPr>
          <w:noProof/>
        </w:rPr>
        <w:t>dek</w:t>
      </w:r>
      <w:r w:rsidRPr="00DD1DFA">
        <w:rPr>
          <w:noProof/>
        </w:rPr>
        <w:t>laracji zgodności;</w:t>
      </w:r>
    </w:p>
    <w:p w14:paraId="4504EDB6" w14:textId="77777777" w:rsidR="004E75DC" w:rsidRPr="00DD1DFA" w:rsidRDefault="004E75DC" w:rsidP="00A3032E">
      <w:pPr>
        <w:pStyle w:val="Tiret1"/>
        <w:rPr>
          <w:noProof/>
        </w:rPr>
      </w:pPr>
      <w:r w:rsidRPr="00DD1DFA">
        <w:rPr>
          <w:noProof/>
        </w:rPr>
        <w:t>załącznik III dotyczący procedury przyjmowania europejskiego dokumentu oceny;</w:t>
      </w:r>
    </w:p>
    <w:p w14:paraId="69203043" w14:textId="6244D120" w:rsidR="004E75DC" w:rsidRPr="00DD1DFA" w:rsidRDefault="004E75DC" w:rsidP="00A3032E">
      <w:pPr>
        <w:pStyle w:val="Tiret1"/>
        <w:rPr>
          <w:noProof/>
        </w:rPr>
      </w:pPr>
      <w:r w:rsidRPr="00DD1DFA">
        <w:rPr>
          <w:noProof/>
        </w:rPr>
        <w:t>załącznik IV dotyczący obszarów wyrobów</w:t>
      </w:r>
      <w:r w:rsidR="00DD1DFA" w:rsidRPr="00DD1DFA">
        <w:rPr>
          <w:noProof/>
        </w:rPr>
        <w:t xml:space="preserve"> i</w:t>
      </w:r>
      <w:r w:rsidR="00DD1DFA">
        <w:rPr>
          <w:noProof/>
        </w:rPr>
        <w:t> </w:t>
      </w:r>
      <w:r w:rsidR="00DD1DFA" w:rsidRPr="00DD1DFA">
        <w:rPr>
          <w:noProof/>
        </w:rPr>
        <w:t>wym</w:t>
      </w:r>
      <w:r w:rsidRPr="00DD1DFA">
        <w:rPr>
          <w:noProof/>
        </w:rPr>
        <w:t>agań dla jednostek ds. oceny technicznej (JOT);</w:t>
      </w:r>
    </w:p>
    <w:p w14:paraId="12E86FAE" w14:textId="2F342286" w:rsidR="004E75DC" w:rsidRPr="00DD1DFA" w:rsidRDefault="004E75DC" w:rsidP="00A3032E">
      <w:pPr>
        <w:pStyle w:val="Tiret1"/>
        <w:rPr>
          <w:noProof/>
        </w:rPr>
      </w:pPr>
      <w:r w:rsidRPr="00DD1DFA">
        <w:rPr>
          <w:noProof/>
        </w:rPr>
        <w:t>załącznik V dotyczący systemów oceny</w:t>
      </w:r>
      <w:r w:rsidR="00DD1DFA" w:rsidRPr="00DD1DFA">
        <w:rPr>
          <w:noProof/>
        </w:rPr>
        <w:t xml:space="preserve"> i</w:t>
      </w:r>
      <w:r w:rsidR="00DD1DFA">
        <w:rPr>
          <w:noProof/>
        </w:rPr>
        <w:t> </w:t>
      </w:r>
      <w:r w:rsidR="00DD1DFA" w:rsidRPr="00DD1DFA">
        <w:rPr>
          <w:noProof/>
        </w:rPr>
        <w:t>wer</w:t>
      </w:r>
      <w:r w:rsidRPr="00DD1DFA">
        <w:rPr>
          <w:noProof/>
        </w:rPr>
        <w:t>yfikacji;</w:t>
      </w:r>
    </w:p>
    <w:p w14:paraId="7A112AEB" w14:textId="31858993" w:rsidR="004E75DC" w:rsidRPr="00DD1DFA" w:rsidRDefault="004E75DC" w:rsidP="00A3032E">
      <w:pPr>
        <w:pStyle w:val="Tiret1"/>
        <w:rPr>
          <w:noProof/>
        </w:rPr>
      </w:pPr>
      <w:r w:rsidRPr="00DD1DFA">
        <w:rPr>
          <w:noProof/>
        </w:rPr>
        <w:t>załącznik VI dotyczący zasadniczych charakterystyk, dla których nie jest wymagane odniesienie do stosownej zharmonizowanej specyfikacji technicznej</w:t>
      </w:r>
      <w:r w:rsidR="00DD1DFA" w:rsidRPr="00DD1DFA">
        <w:rPr>
          <w:noProof/>
        </w:rPr>
        <w:t xml:space="preserve"> w</w:t>
      </w:r>
      <w:r w:rsidR="00DD1DFA">
        <w:rPr>
          <w:noProof/>
        </w:rPr>
        <w:t> </w:t>
      </w:r>
      <w:r w:rsidR="00DD1DFA" w:rsidRPr="00DD1DFA">
        <w:rPr>
          <w:noProof/>
        </w:rPr>
        <w:t>kon</w:t>
      </w:r>
      <w:r w:rsidRPr="00DD1DFA">
        <w:rPr>
          <w:noProof/>
        </w:rPr>
        <w:t>tekście notyfikacji jednostek notyfikowanych;</w:t>
      </w:r>
    </w:p>
    <w:p w14:paraId="7FA868DC" w14:textId="77777777" w:rsidR="00AA79E1" w:rsidRPr="00DD1DFA" w:rsidRDefault="004E75DC" w:rsidP="00A3032E">
      <w:pPr>
        <w:pStyle w:val="Tiret1"/>
        <w:rPr>
          <w:noProof/>
          <w:szCs w:val="24"/>
        </w:rPr>
      </w:pPr>
      <w:r w:rsidRPr="00DD1DFA">
        <w:rPr>
          <w:noProof/>
        </w:rPr>
        <w:t>załącznik VII dotyczący tabeli korelacji.</w:t>
      </w:r>
    </w:p>
    <w:p w14:paraId="7ACBCAE9" w14:textId="77777777" w:rsidR="00BB2C85" w:rsidRPr="00DD1DFA" w:rsidRDefault="00BB2C85" w:rsidP="00B67CC8">
      <w:pPr>
        <w:rPr>
          <w:noProof/>
        </w:rPr>
        <w:sectPr w:rsidR="00BB2C85" w:rsidRPr="00DD1DFA" w:rsidSect="0037392B">
          <w:footerReference w:type="default" r:id="rId10"/>
          <w:footerReference w:type="first" r:id="rId11"/>
          <w:pgSz w:w="11907" w:h="16839"/>
          <w:pgMar w:top="1134" w:right="1417" w:bottom="1134" w:left="1417" w:header="709" w:footer="709" w:gutter="0"/>
          <w:cols w:space="708"/>
          <w:docGrid w:linePitch="360"/>
        </w:sectPr>
      </w:pPr>
    </w:p>
    <w:p w14:paraId="77344ABF" w14:textId="44892143" w:rsidR="00FE4505" w:rsidRPr="00DD1DFA" w:rsidRDefault="008F5376" w:rsidP="008F5376">
      <w:pPr>
        <w:pStyle w:val="Rfrenceinterinstitutionnelle"/>
        <w:rPr>
          <w:noProof/>
        </w:rPr>
      </w:pPr>
      <w:r w:rsidRPr="008F5376">
        <w:t>2022/0094 (COD)</w:t>
      </w:r>
    </w:p>
    <w:p w14:paraId="2C247634" w14:textId="0E4042ED" w:rsidR="00BB2C85" w:rsidRPr="00DD1DFA" w:rsidRDefault="004F6FC8" w:rsidP="004F6FC8">
      <w:pPr>
        <w:pStyle w:val="Statut"/>
        <w:rPr>
          <w:noProof/>
        </w:rPr>
      </w:pPr>
      <w:r w:rsidRPr="004F6FC8">
        <w:rPr>
          <w:noProof/>
        </w:rPr>
        <w:t>Wniosek</w:t>
      </w:r>
    </w:p>
    <w:p w14:paraId="0DD76343" w14:textId="01D3B387" w:rsidR="00BB2C85" w:rsidRPr="00DD1DFA" w:rsidRDefault="004F6FC8" w:rsidP="004F6FC8">
      <w:pPr>
        <w:pStyle w:val="Typedudocument"/>
        <w:rPr>
          <w:noProof/>
        </w:rPr>
      </w:pPr>
      <w:r w:rsidRPr="004F6FC8">
        <w:rPr>
          <w:noProof/>
        </w:rPr>
        <w:t>ROZPORZĄDZENIE PARLAMENTU EUROPEJSKIEGO I RADY</w:t>
      </w:r>
    </w:p>
    <w:p w14:paraId="1B07C7ED" w14:textId="21B57663" w:rsidR="00BB2C85" w:rsidRPr="00DD1DFA" w:rsidRDefault="004F6FC8" w:rsidP="004F6FC8">
      <w:pPr>
        <w:pStyle w:val="Titreobjet"/>
        <w:rPr>
          <w:noProof/>
        </w:rPr>
      </w:pPr>
      <w:r w:rsidRPr="004F6FC8">
        <w:rPr>
          <w:noProof/>
        </w:rPr>
        <w:t>ustanawiające zharmonizowane warunki wprowadzania do obrotu wyrobów budowlanych, zmieniające rozporządzenie (UE) 2019/1020 i uchylające rozporządzenie (UE) nr 305/2011</w:t>
      </w:r>
    </w:p>
    <w:p w14:paraId="148D869F" w14:textId="08871820" w:rsidR="0032650C" w:rsidRPr="00DD1DFA" w:rsidRDefault="004F6FC8" w:rsidP="004F6FC8">
      <w:pPr>
        <w:pStyle w:val="IntrtEEE"/>
        <w:rPr>
          <w:noProof/>
        </w:rPr>
      </w:pPr>
      <w:r w:rsidRPr="004F6FC8">
        <w:rPr>
          <w:noProof/>
        </w:rPr>
        <w:t>(Tekst mający znaczenie dla EOG)</w:t>
      </w:r>
    </w:p>
    <w:p w14:paraId="14724C18" w14:textId="77777777" w:rsidR="00E7660D" w:rsidRPr="00DD1DFA" w:rsidRDefault="00E7660D" w:rsidP="00E7660D">
      <w:pPr>
        <w:pStyle w:val="Institutionquiagit"/>
        <w:rPr>
          <w:noProof/>
        </w:rPr>
      </w:pPr>
      <w:r w:rsidRPr="00DD1DFA">
        <w:rPr>
          <w:noProof/>
        </w:rPr>
        <w:t>PARLAMENT EUROPEJSKI I RADA UNII EUROPEJSKIEJ,</w:t>
      </w:r>
    </w:p>
    <w:p w14:paraId="7FDDEF62" w14:textId="0E29EBA8" w:rsidR="00E7660D" w:rsidRPr="00DD1DFA" w:rsidRDefault="00E7660D" w:rsidP="00E7660D">
      <w:pPr>
        <w:spacing w:after="0"/>
        <w:rPr>
          <w:rFonts w:eastAsia="Times New Roman"/>
          <w:noProof/>
          <w:color w:val="000000"/>
          <w:szCs w:val="24"/>
        </w:rPr>
      </w:pPr>
      <w:r w:rsidRPr="00DD1DFA">
        <w:rPr>
          <w:noProof/>
          <w:color w:val="000000"/>
          <w:szCs w:val="24"/>
        </w:rPr>
        <w:t>uwzględniając Traktat</w:t>
      </w:r>
      <w:r w:rsidR="00DD1DFA" w:rsidRPr="00DD1DFA">
        <w:rPr>
          <w:noProof/>
          <w:color w:val="000000"/>
          <w:szCs w:val="24"/>
        </w:rPr>
        <w:t xml:space="preserve"> o</w:t>
      </w:r>
      <w:r w:rsidR="00DD1DFA">
        <w:rPr>
          <w:noProof/>
          <w:color w:val="000000"/>
          <w:szCs w:val="24"/>
        </w:rPr>
        <w:t> </w:t>
      </w:r>
      <w:r w:rsidR="00DD1DFA" w:rsidRPr="00DD1DFA">
        <w:rPr>
          <w:noProof/>
          <w:color w:val="000000"/>
          <w:szCs w:val="24"/>
        </w:rPr>
        <w:t>fun</w:t>
      </w:r>
      <w:r w:rsidRPr="00DD1DFA">
        <w:rPr>
          <w:noProof/>
          <w:color w:val="000000"/>
          <w:szCs w:val="24"/>
        </w:rPr>
        <w:t>kcjonowaniu Unii Europejskiej,</w:t>
      </w:r>
      <w:r w:rsidR="00DD1DFA" w:rsidRPr="00DD1DFA">
        <w:rPr>
          <w:noProof/>
          <w:color w:val="000000"/>
          <w:szCs w:val="24"/>
        </w:rPr>
        <w:t xml:space="preserve"> w</w:t>
      </w:r>
      <w:r w:rsidR="00DD1DFA">
        <w:rPr>
          <w:noProof/>
          <w:color w:val="000000"/>
          <w:szCs w:val="24"/>
        </w:rPr>
        <w:t> </w:t>
      </w:r>
      <w:r w:rsidR="00DD1DFA" w:rsidRPr="00DD1DFA">
        <w:rPr>
          <w:noProof/>
          <w:color w:val="000000"/>
          <w:szCs w:val="24"/>
        </w:rPr>
        <w:t>szc</w:t>
      </w:r>
      <w:r w:rsidRPr="00DD1DFA">
        <w:rPr>
          <w:noProof/>
          <w:color w:val="000000"/>
          <w:szCs w:val="24"/>
        </w:rPr>
        <w:t>zególności jego art. 114,</w:t>
      </w:r>
    </w:p>
    <w:p w14:paraId="00358B6D" w14:textId="77777777" w:rsidR="00E7660D" w:rsidRPr="00DD1DFA" w:rsidRDefault="00E7660D" w:rsidP="00E7660D">
      <w:pPr>
        <w:spacing w:after="0"/>
        <w:rPr>
          <w:rFonts w:eastAsia="Times New Roman"/>
          <w:noProof/>
          <w:color w:val="000000"/>
          <w:szCs w:val="24"/>
        </w:rPr>
      </w:pPr>
      <w:r w:rsidRPr="00DD1DFA">
        <w:rPr>
          <w:noProof/>
          <w:color w:val="000000"/>
          <w:szCs w:val="24"/>
        </w:rPr>
        <w:t>uwzględniając wniosek Komisji,</w:t>
      </w:r>
    </w:p>
    <w:p w14:paraId="21327BCA" w14:textId="77777777" w:rsidR="00AB5DB5" w:rsidRPr="00DD1DFA" w:rsidRDefault="00AB5DB5" w:rsidP="00AB5DB5">
      <w:pPr>
        <w:rPr>
          <w:noProof/>
        </w:rPr>
      </w:pPr>
      <w:r w:rsidRPr="00DD1DFA">
        <w:rPr>
          <w:noProof/>
        </w:rPr>
        <w:t>po przekazaniu projektu aktu ustawodawczego parlamentom narodowym,</w:t>
      </w:r>
    </w:p>
    <w:p w14:paraId="28C3A7C9" w14:textId="77777777" w:rsidR="00E7660D" w:rsidRPr="00DD1DFA" w:rsidRDefault="00E7660D" w:rsidP="00E7660D">
      <w:pPr>
        <w:spacing w:after="0"/>
        <w:rPr>
          <w:noProof/>
        </w:rPr>
      </w:pPr>
      <w:r w:rsidRPr="00DD1DFA">
        <w:rPr>
          <w:noProof/>
          <w:color w:val="000000"/>
          <w:szCs w:val="24"/>
        </w:rPr>
        <w:t>uwzględniając opinię Europejskiego Komitetu Ekonomiczno-Społecznego</w:t>
      </w:r>
      <w:hyperlink r:id="rId12" w:anchor="ntr1-L_2011088EN.01000501-E0001" w:history="1">
        <w:r w:rsidRPr="00DD1DFA">
          <w:rPr>
            <w:rStyle w:val="Internetlink"/>
            <w:noProof/>
            <w:szCs w:val="24"/>
          </w:rPr>
          <w:t> (</w:t>
        </w:r>
      </w:hyperlink>
      <w:r w:rsidRPr="00DD1DFA">
        <w:rPr>
          <w:rStyle w:val="Internetlink"/>
          <w:noProof/>
          <w:vertAlign w:val="superscript"/>
        </w:rPr>
        <w:t>1</w:t>
      </w:r>
      <w:r w:rsidRPr="00DD1DFA">
        <w:rPr>
          <w:rStyle w:val="Internetlink"/>
          <w:noProof/>
          <w:szCs w:val="24"/>
        </w:rPr>
        <w:t>)</w:t>
      </w:r>
      <w:r w:rsidRPr="00DD1DFA">
        <w:rPr>
          <w:noProof/>
          <w:color w:val="000000"/>
          <w:szCs w:val="24"/>
        </w:rPr>
        <w:t>,</w:t>
      </w:r>
    </w:p>
    <w:p w14:paraId="7508A31B" w14:textId="77777777" w:rsidR="00E7660D" w:rsidRPr="00DD1DFA" w:rsidRDefault="00E7660D" w:rsidP="00E7660D">
      <w:pPr>
        <w:spacing w:after="0"/>
        <w:rPr>
          <w:noProof/>
        </w:rPr>
      </w:pPr>
      <w:r w:rsidRPr="00DD1DFA">
        <w:rPr>
          <w:noProof/>
          <w:color w:val="000000"/>
          <w:szCs w:val="24"/>
        </w:rPr>
        <w:t>stanowiąc zgodnie ze zwykłą procedurą ustawodawczą</w:t>
      </w:r>
      <w:hyperlink r:id="rId13" w:anchor="ntr2-L_2011088EN.01000501-E0002" w:history="1">
        <w:r w:rsidRPr="00DD1DFA">
          <w:rPr>
            <w:rStyle w:val="Internetlink"/>
            <w:noProof/>
            <w:szCs w:val="24"/>
          </w:rPr>
          <w:t> (</w:t>
        </w:r>
      </w:hyperlink>
      <w:r w:rsidRPr="00DD1DFA">
        <w:rPr>
          <w:rStyle w:val="Internetlink"/>
          <w:noProof/>
          <w:vertAlign w:val="superscript"/>
        </w:rPr>
        <w:t>2</w:t>
      </w:r>
      <w:r w:rsidRPr="00DD1DFA">
        <w:rPr>
          <w:rStyle w:val="Internetlink"/>
          <w:noProof/>
          <w:szCs w:val="24"/>
        </w:rPr>
        <w:t>)</w:t>
      </w:r>
      <w:r w:rsidRPr="00DD1DFA">
        <w:rPr>
          <w:noProof/>
          <w:color w:val="000000"/>
          <w:szCs w:val="24"/>
        </w:rPr>
        <w:t>,</w:t>
      </w:r>
    </w:p>
    <w:p w14:paraId="676641E3" w14:textId="77777777" w:rsidR="00E7660D" w:rsidRPr="00DD1DFA" w:rsidRDefault="00E7660D" w:rsidP="00E7660D">
      <w:pPr>
        <w:spacing w:after="0"/>
        <w:rPr>
          <w:rFonts w:eastAsia="Times New Roman"/>
          <w:noProof/>
          <w:color w:val="000000"/>
          <w:szCs w:val="24"/>
        </w:rPr>
      </w:pPr>
      <w:r w:rsidRPr="00DD1DFA">
        <w:rPr>
          <w:noProof/>
          <w:color w:val="000000"/>
          <w:szCs w:val="24"/>
        </w:rPr>
        <w:t>a także mając na uwadze, co następuje:</w:t>
      </w:r>
    </w:p>
    <w:p w14:paraId="58FA7DB3" w14:textId="16522A67" w:rsidR="00181517" w:rsidRPr="00DD1DFA" w:rsidRDefault="005F7EFA" w:rsidP="005F7EFA">
      <w:pPr>
        <w:pStyle w:val="ManualConsidrant"/>
        <w:rPr>
          <w:noProof/>
        </w:rPr>
      </w:pPr>
      <w:r w:rsidRPr="005F7EFA">
        <w:t>(1)</w:t>
      </w:r>
      <w:r w:rsidRPr="005F7EFA">
        <w:tab/>
      </w:r>
      <w:r w:rsidR="00181517" w:rsidRPr="00DD1DFA">
        <w:rPr>
          <w:noProof/>
        </w:rPr>
        <w:t>Rozporządzenie Parlamentu Europejskiego</w:t>
      </w:r>
      <w:r w:rsidR="00DD1DFA" w:rsidRPr="00DD1DFA">
        <w:rPr>
          <w:noProof/>
        </w:rPr>
        <w:t xml:space="preserve"> i</w:t>
      </w:r>
      <w:r w:rsidR="00DD1DFA">
        <w:rPr>
          <w:noProof/>
        </w:rPr>
        <w:t> </w:t>
      </w:r>
      <w:r w:rsidR="00DD1DFA" w:rsidRPr="00DD1DFA">
        <w:rPr>
          <w:noProof/>
        </w:rPr>
        <w:t>Rad</w:t>
      </w:r>
      <w:r w:rsidR="00181517" w:rsidRPr="00DD1DFA">
        <w:rPr>
          <w:noProof/>
        </w:rPr>
        <w:t>y (UE) nr</w:t>
      </w:r>
      <w:r w:rsidR="00DD1DFA" w:rsidRPr="00DD1DFA">
        <w:rPr>
          <w:noProof/>
        </w:rPr>
        <w:t> </w:t>
      </w:r>
      <w:r w:rsidR="00181517" w:rsidRPr="00DD1DFA">
        <w:rPr>
          <w:noProof/>
        </w:rPr>
        <w:t>305/2011 przyjęto</w:t>
      </w:r>
      <w:r w:rsidR="00DD1DFA" w:rsidRPr="00DD1DFA">
        <w:rPr>
          <w:noProof/>
        </w:rPr>
        <w:t xml:space="preserve"> w</w:t>
      </w:r>
      <w:r w:rsidR="00DD1DFA">
        <w:rPr>
          <w:noProof/>
        </w:rPr>
        <w:t> </w:t>
      </w:r>
      <w:r w:rsidR="00DD1DFA" w:rsidRPr="00DD1DFA">
        <w:rPr>
          <w:noProof/>
        </w:rPr>
        <w:t>kon</w:t>
      </w:r>
      <w:r w:rsidR="00181517" w:rsidRPr="00DD1DFA">
        <w:rPr>
          <w:noProof/>
        </w:rPr>
        <w:t>tekście rynku wewnętrznego</w:t>
      </w:r>
      <w:r w:rsidR="00DD1DFA" w:rsidRPr="00DD1DFA">
        <w:rPr>
          <w:noProof/>
        </w:rPr>
        <w:t xml:space="preserve"> w</w:t>
      </w:r>
      <w:r w:rsidR="00DD1DFA">
        <w:rPr>
          <w:noProof/>
        </w:rPr>
        <w:t> </w:t>
      </w:r>
      <w:r w:rsidR="00DD1DFA" w:rsidRPr="00DD1DFA">
        <w:rPr>
          <w:noProof/>
        </w:rPr>
        <w:t>cel</w:t>
      </w:r>
      <w:r w:rsidR="00181517" w:rsidRPr="00DD1DFA">
        <w:rPr>
          <w:noProof/>
        </w:rPr>
        <w:t>u zharmonizowania warunków wprowadzania wyrobów budowlanych do obrotu oraz usunięcia przeszkód</w:t>
      </w:r>
      <w:r w:rsidR="00DD1DFA" w:rsidRPr="00DD1DFA">
        <w:rPr>
          <w:noProof/>
        </w:rPr>
        <w:t xml:space="preserve"> w</w:t>
      </w:r>
      <w:r w:rsidR="00DD1DFA">
        <w:rPr>
          <w:noProof/>
        </w:rPr>
        <w:t> </w:t>
      </w:r>
      <w:r w:rsidR="00DD1DFA" w:rsidRPr="00DD1DFA">
        <w:rPr>
          <w:noProof/>
        </w:rPr>
        <w:t>han</w:t>
      </w:r>
      <w:r w:rsidR="00181517" w:rsidRPr="00DD1DFA">
        <w:rPr>
          <w:noProof/>
        </w:rPr>
        <w:t xml:space="preserve">dlu wyrobami budowlanymi między państwami członkowskimi. </w:t>
      </w:r>
    </w:p>
    <w:p w14:paraId="1CB52CDF" w14:textId="39914D60" w:rsidR="00F25390" w:rsidRPr="00DD1DFA" w:rsidRDefault="005F7EFA" w:rsidP="005F7EFA">
      <w:pPr>
        <w:pStyle w:val="ManualConsidrant"/>
        <w:rPr>
          <w:noProof/>
        </w:rPr>
      </w:pPr>
      <w:r w:rsidRPr="005F7EFA">
        <w:t>(2)</w:t>
      </w:r>
      <w:r w:rsidRPr="005F7EFA">
        <w:tab/>
      </w:r>
      <w:r w:rsidR="00F25390" w:rsidRPr="00DD1DFA">
        <w:rPr>
          <w:noProof/>
        </w:rPr>
        <w:t>Warunkiem wprowadzenia wyrobu budowlanego do obrotu jest sporządzenie przez producenta deklaracji właściwości użytkowych dla tego wyrobu. Producent bierze na siebie odpowiedzialność za zgodność danego wyrobu</w:t>
      </w:r>
      <w:r w:rsidR="00DD1DFA" w:rsidRPr="00DD1DFA">
        <w:rPr>
          <w:noProof/>
        </w:rPr>
        <w:t xml:space="preserve"> z</w:t>
      </w:r>
      <w:r w:rsidR="00DD1DFA">
        <w:rPr>
          <w:noProof/>
        </w:rPr>
        <w:t> </w:t>
      </w:r>
      <w:r w:rsidR="00DD1DFA" w:rsidRPr="00DD1DFA">
        <w:rPr>
          <w:noProof/>
        </w:rPr>
        <w:t>tak</w:t>
      </w:r>
      <w:r w:rsidR="00F25390" w:rsidRPr="00DD1DFA">
        <w:rPr>
          <w:noProof/>
        </w:rPr>
        <w:t>imi deklarowanymi właściwościami użytkowymi. Przewidziane są pewne wyjątki od tego obowiązku.</w:t>
      </w:r>
      <w:r w:rsidR="00DD1DFA" w:rsidRPr="00DD1DFA">
        <w:rPr>
          <w:noProof/>
        </w:rPr>
        <w:t xml:space="preserve"> </w:t>
      </w:r>
    </w:p>
    <w:p w14:paraId="6D872F9D" w14:textId="39F65114" w:rsidR="00181517" w:rsidRPr="00DD1DFA" w:rsidRDefault="005F7EFA" w:rsidP="005F7EFA">
      <w:pPr>
        <w:pStyle w:val="ManualConsidrant"/>
        <w:rPr>
          <w:noProof/>
        </w:rPr>
      </w:pPr>
      <w:r w:rsidRPr="005F7EFA">
        <w:t>(3)</w:t>
      </w:r>
      <w:r w:rsidRPr="005F7EFA">
        <w:tab/>
      </w:r>
      <w:r w:rsidR="00181517" w:rsidRPr="00DD1DFA">
        <w:rPr>
          <w:noProof/>
        </w:rPr>
        <w:t>Doświadczenia związane</w:t>
      </w:r>
      <w:r w:rsidR="00DD1DFA" w:rsidRPr="00DD1DFA">
        <w:rPr>
          <w:noProof/>
        </w:rPr>
        <w:t xml:space="preserve"> z</w:t>
      </w:r>
      <w:r w:rsidR="00DD1DFA">
        <w:rPr>
          <w:noProof/>
        </w:rPr>
        <w:t> </w:t>
      </w:r>
      <w:r w:rsidR="00DD1DFA" w:rsidRPr="00DD1DFA">
        <w:rPr>
          <w:noProof/>
        </w:rPr>
        <w:t>wdr</w:t>
      </w:r>
      <w:r w:rsidR="00181517" w:rsidRPr="00DD1DFA">
        <w:rPr>
          <w:noProof/>
        </w:rPr>
        <w:t>ażaniem rozporządzenia nr</w:t>
      </w:r>
      <w:r w:rsidR="00DD1DFA" w:rsidRPr="00DD1DFA">
        <w:rPr>
          <w:noProof/>
        </w:rPr>
        <w:t> </w:t>
      </w:r>
      <w:r w:rsidR="00181517" w:rsidRPr="00DD1DFA">
        <w:rPr>
          <w:noProof/>
        </w:rPr>
        <w:t>305/2011, ocena przeprowadzona przez Komisję</w:t>
      </w:r>
      <w:r w:rsidR="00DD1DFA" w:rsidRPr="00DD1DFA">
        <w:rPr>
          <w:noProof/>
        </w:rPr>
        <w:t xml:space="preserve"> w</w:t>
      </w:r>
      <w:r w:rsidR="00DD1DFA">
        <w:rPr>
          <w:noProof/>
        </w:rPr>
        <w:t> </w:t>
      </w:r>
      <w:r w:rsidR="00DD1DFA" w:rsidRPr="00DD1DFA">
        <w:rPr>
          <w:noProof/>
        </w:rPr>
        <w:t>2</w:t>
      </w:r>
      <w:r w:rsidR="00181517" w:rsidRPr="00DD1DFA">
        <w:rPr>
          <w:noProof/>
        </w:rPr>
        <w:t>019</w:t>
      </w:r>
      <w:r w:rsidR="00DD1DFA" w:rsidRPr="00DD1DFA">
        <w:rPr>
          <w:noProof/>
        </w:rPr>
        <w:t> </w:t>
      </w:r>
      <w:r w:rsidR="00181517" w:rsidRPr="00DD1DFA">
        <w:rPr>
          <w:noProof/>
        </w:rPr>
        <w:t>r. oraz sprawozdanie dotyczące Europejskiej Organizacji Aprobat Technicznych wykazały, że ramy te nie są wystarczająco skuteczne pod różnymi względami,</w:t>
      </w:r>
      <w:r w:rsidR="00DD1DFA" w:rsidRPr="00DD1DFA">
        <w:rPr>
          <w:noProof/>
        </w:rPr>
        <w:t xml:space="preserve"> w</w:t>
      </w:r>
      <w:r w:rsidR="00DD1DFA">
        <w:rPr>
          <w:noProof/>
        </w:rPr>
        <w:t> </w:t>
      </w:r>
      <w:r w:rsidR="00DD1DFA" w:rsidRPr="00DD1DFA">
        <w:rPr>
          <w:noProof/>
        </w:rPr>
        <w:t>tym w</w:t>
      </w:r>
      <w:r w:rsidR="00DD1DFA">
        <w:rPr>
          <w:noProof/>
        </w:rPr>
        <w:t> </w:t>
      </w:r>
      <w:r w:rsidR="00DD1DFA" w:rsidRPr="00DD1DFA">
        <w:rPr>
          <w:noProof/>
        </w:rPr>
        <w:t>odn</w:t>
      </w:r>
      <w:r w:rsidR="00181517" w:rsidRPr="00DD1DFA">
        <w:rPr>
          <w:noProof/>
        </w:rPr>
        <w:t>iesieniu do opracowywania norm</w:t>
      </w:r>
      <w:r w:rsidR="00DD1DFA" w:rsidRPr="00DD1DFA">
        <w:rPr>
          <w:noProof/>
        </w:rPr>
        <w:t xml:space="preserve"> i</w:t>
      </w:r>
      <w:r w:rsidR="00DD1DFA">
        <w:rPr>
          <w:noProof/>
        </w:rPr>
        <w:t> </w:t>
      </w:r>
      <w:r w:rsidR="00DD1DFA" w:rsidRPr="00DD1DFA">
        <w:rPr>
          <w:noProof/>
        </w:rPr>
        <w:t>nad</w:t>
      </w:r>
      <w:r w:rsidR="00181517" w:rsidRPr="00DD1DFA">
        <w:rPr>
          <w:noProof/>
        </w:rPr>
        <w:t>zoru rynku. Ponadto informacje zwrotne otrzymane</w:t>
      </w:r>
      <w:r w:rsidR="00DD1DFA" w:rsidRPr="00DD1DFA">
        <w:rPr>
          <w:noProof/>
        </w:rPr>
        <w:t xml:space="preserve"> w</w:t>
      </w:r>
      <w:r w:rsidR="00DD1DFA">
        <w:rPr>
          <w:noProof/>
        </w:rPr>
        <w:t> </w:t>
      </w:r>
      <w:r w:rsidR="00DD1DFA" w:rsidRPr="00DD1DFA">
        <w:rPr>
          <w:noProof/>
        </w:rPr>
        <w:t>tra</w:t>
      </w:r>
      <w:r w:rsidR="00181517" w:rsidRPr="00DD1DFA">
        <w:rPr>
          <w:noProof/>
        </w:rPr>
        <w:t>kcie oceny wskazały na potrzebę ograniczenia nakładania się przepisów, sprzeczności</w:t>
      </w:r>
      <w:r w:rsidR="00DD1DFA" w:rsidRPr="00DD1DFA">
        <w:rPr>
          <w:noProof/>
        </w:rPr>
        <w:t xml:space="preserve"> i</w:t>
      </w:r>
      <w:r w:rsidR="00DD1DFA">
        <w:rPr>
          <w:noProof/>
        </w:rPr>
        <w:t> </w:t>
      </w:r>
      <w:r w:rsidR="00DD1DFA" w:rsidRPr="00DD1DFA">
        <w:rPr>
          <w:noProof/>
        </w:rPr>
        <w:t>pow</w:t>
      </w:r>
      <w:r w:rsidR="00181517" w:rsidRPr="00DD1DFA">
        <w:rPr>
          <w:noProof/>
        </w:rPr>
        <w:t>tarzających się wymogów,</w:t>
      </w:r>
      <w:r w:rsidR="00DD1DFA" w:rsidRPr="00DD1DFA">
        <w:rPr>
          <w:noProof/>
        </w:rPr>
        <w:t xml:space="preserve"> w</w:t>
      </w:r>
      <w:r w:rsidR="00DD1DFA">
        <w:rPr>
          <w:noProof/>
        </w:rPr>
        <w:t> </w:t>
      </w:r>
      <w:r w:rsidR="00DD1DFA" w:rsidRPr="00DD1DFA">
        <w:rPr>
          <w:noProof/>
        </w:rPr>
        <w:t>tym w</w:t>
      </w:r>
      <w:r w:rsidR="00DD1DFA">
        <w:rPr>
          <w:noProof/>
        </w:rPr>
        <w:t> </w:t>
      </w:r>
      <w:r w:rsidR="00DD1DFA" w:rsidRPr="00DD1DFA">
        <w:rPr>
          <w:noProof/>
        </w:rPr>
        <w:t>odn</w:t>
      </w:r>
      <w:r w:rsidR="00181517" w:rsidRPr="00DD1DFA">
        <w:rPr>
          <w:noProof/>
        </w:rPr>
        <w:t>iesieniu do innych przepisów Unii,</w:t>
      </w:r>
      <w:r w:rsidR="00DD1DFA" w:rsidRPr="00DD1DFA">
        <w:rPr>
          <w:noProof/>
        </w:rPr>
        <w:t xml:space="preserve"> w</w:t>
      </w:r>
      <w:r w:rsidR="00DD1DFA">
        <w:rPr>
          <w:noProof/>
        </w:rPr>
        <w:t> </w:t>
      </w:r>
      <w:r w:rsidR="00DD1DFA" w:rsidRPr="00DD1DFA">
        <w:rPr>
          <w:noProof/>
        </w:rPr>
        <w:t>cel</w:t>
      </w:r>
      <w:r w:rsidR="00181517" w:rsidRPr="00DD1DFA">
        <w:rPr>
          <w:noProof/>
        </w:rPr>
        <w:t>u zapewnienia większej jasności prawa</w:t>
      </w:r>
      <w:r w:rsidR="00DD1DFA" w:rsidRPr="00DD1DFA">
        <w:rPr>
          <w:noProof/>
        </w:rPr>
        <w:t xml:space="preserve"> i</w:t>
      </w:r>
      <w:r w:rsidR="00DD1DFA">
        <w:rPr>
          <w:noProof/>
        </w:rPr>
        <w:t> </w:t>
      </w:r>
      <w:r w:rsidR="00DD1DFA" w:rsidRPr="00DD1DFA">
        <w:rPr>
          <w:noProof/>
        </w:rPr>
        <w:t>ogr</w:t>
      </w:r>
      <w:r w:rsidR="00181517" w:rsidRPr="00DD1DFA">
        <w:rPr>
          <w:noProof/>
        </w:rPr>
        <w:t>aniczenia obciążeń administracyjnych dla podmiotów gospodarczych. Konieczne jest zatem ustanowienie bardziej konkretnych</w:t>
      </w:r>
      <w:r w:rsidR="00DD1DFA" w:rsidRPr="00DD1DFA">
        <w:rPr>
          <w:noProof/>
        </w:rPr>
        <w:t xml:space="preserve"> i</w:t>
      </w:r>
      <w:r w:rsidR="00DD1DFA">
        <w:rPr>
          <w:noProof/>
        </w:rPr>
        <w:t> </w:t>
      </w:r>
      <w:r w:rsidR="00DD1DFA" w:rsidRPr="00DD1DFA">
        <w:rPr>
          <w:noProof/>
        </w:rPr>
        <w:t>szc</w:t>
      </w:r>
      <w:r w:rsidR="00181517" w:rsidRPr="00DD1DFA">
        <w:rPr>
          <w:noProof/>
        </w:rPr>
        <w:t>zegółowych zobowiązań prawnych dla podmiotów gospodarczych, jak również nowych przepisów,</w:t>
      </w:r>
      <w:r w:rsidR="00DD1DFA" w:rsidRPr="00DD1DFA">
        <w:rPr>
          <w:noProof/>
        </w:rPr>
        <w:t xml:space="preserve"> w</w:t>
      </w:r>
      <w:r w:rsidR="00DD1DFA">
        <w:rPr>
          <w:noProof/>
        </w:rPr>
        <w:t> </w:t>
      </w:r>
      <w:r w:rsidR="00DD1DFA" w:rsidRPr="00DD1DFA">
        <w:rPr>
          <w:noProof/>
        </w:rPr>
        <w:t>tym</w:t>
      </w:r>
      <w:r w:rsidR="00181517" w:rsidRPr="00DD1DFA">
        <w:rPr>
          <w:noProof/>
        </w:rPr>
        <w:t xml:space="preserve"> dotyczących specyfikacji technicznych</w:t>
      </w:r>
      <w:r w:rsidR="00DD1DFA" w:rsidRPr="00DD1DFA">
        <w:rPr>
          <w:noProof/>
        </w:rPr>
        <w:t xml:space="preserve"> i</w:t>
      </w:r>
      <w:r w:rsidR="00DD1DFA">
        <w:rPr>
          <w:noProof/>
        </w:rPr>
        <w:t> </w:t>
      </w:r>
      <w:r w:rsidR="00DD1DFA" w:rsidRPr="00DD1DFA">
        <w:rPr>
          <w:noProof/>
        </w:rPr>
        <w:t>nad</w:t>
      </w:r>
      <w:r w:rsidR="00181517" w:rsidRPr="00DD1DFA">
        <w:rPr>
          <w:noProof/>
        </w:rPr>
        <w:t>zoru rynku, tak aby zwiększyć pewność prawa</w:t>
      </w:r>
      <w:r w:rsidR="00DD1DFA" w:rsidRPr="00DD1DFA">
        <w:rPr>
          <w:noProof/>
        </w:rPr>
        <w:t xml:space="preserve"> i</w:t>
      </w:r>
      <w:r w:rsidR="00DD1DFA">
        <w:rPr>
          <w:noProof/>
        </w:rPr>
        <w:t> </w:t>
      </w:r>
      <w:r w:rsidR="00DD1DFA" w:rsidRPr="00DD1DFA">
        <w:rPr>
          <w:noProof/>
        </w:rPr>
        <w:t>uni</w:t>
      </w:r>
      <w:r w:rsidR="00181517" w:rsidRPr="00DD1DFA">
        <w:rPr>
          <w:noProof/>
        </w:rPr>
        <w:t>knąć rozbieżnych interpretacji.</w:t>
      </w:r>
    </w:p>
    <w:p w14:paraId="763A9A9C" w14:textId="00BBA6B0" w:rsidR="00181517" w:rsidRPr="00DD1DFA" w:rsidRDefault="005F7EFA" w:rsidP="005F7EFA">
      <w:pPr>
        <w:pStyle w:val="ManualConsidrant"/>
        <w:rPr>
          <w:noProof/>
        </w:rPr>
      </w:pPr>
      <w:r w:rsidRPr="005F7EFA">
        <w:t>(4)</w:t>
      </w:r>
      <w:r w:rsidRPr="005F7EFA">
        <w:tab/>
      </w:r>
      <w:r w:rsidR="002A433D" w:rsidRPr="00DD1DFA">
        <w:rPr>
          <w:noProof/>
        </w:rPr>
        <w:t>Konieczne jest ustanowienie sprawnie funkcjonujących przepływów informacji,</w:t>
      </w:r>
      <w:r w:rsidR="00DD1DFA" w:rsidRPr="00DD1DFA">
        <w:rPr>
          <w:noProof/>
        </w:rPr>
        <w:t xml:space="preserve"> w</w:t>
      </w:r>
      <w:r w:rsidR="00DD1DFA">
        <w:rPr>
          <w:noProof/>
        </w:rPr>
        <w:t> </w:t>
      </w:r>
      <w:r w:rsidR="00DD1DFA" w:rsidRPr="00DD1DFA">
        <w:rPr>
          <w:noProof/>
        </w:rPr>
        <w:t>tym</w:t>
      </w:r>
      <w:r w:rsidR="002A433D" w:rsidRPr="00DD1DFA">
        <w:rPr>
          <w:noProof/>
        </w:rPr>
        <w:t xml:space="preserve"> drogą elektroniczną, aby zapewnić dostępność spójnych</w:t>
      </w:r>
      <w:r w:rsidR="00DD1DFA" w:rsidRPr="00DD1DFA">
        <w:rPr>
          <w:noProof/>
        </w:rPr>
        <w:t xml:space="preserve"> i</w:t>
      </w:r>
      <w:r w:rsidR="00DD1DFA">
        <w:rPr>
          <w:noProof/>
        </w:rPr>
        <w:t> </w:t>
      </w:r>
      <w:r w:rsidR="00DD1DFA" w:rsidRPr="00DD1DFA">
        <w:rPr>
          <w:noProof/>
        </w:rPr>
        <w:t>prz</w:t>
      </w:r>
      <w:r w:rsidR="002A433D" w:rsidRPr="00DD1DFA">
        <w:rPr>
          <w:noProof/>
        </w:rPr>
        <w:t>ejrzystych informacji</w:t>
      </w:r>
      <w:r w:rsidR="00DD1DFA" w:rsidRPr="00DD1DFA">
        <w:rPr>
          <w:noProof/>
        </w:rPr>
        <w:t xml:space="preserve"> o</w:t>
      </w:r>
      <w:r w:rsidR="00DD1DFA">
        <w:rPr>
          <w:noProof/>
        </w:rPr>
        <w:t> </w:t>
      </w:r>
      <w:r w:rsidR="00DD1DFA" w:rsidRPr="00DD1DFA">
        <w:rPr>
          <w:noProof/>
        </w:rPr>
        <w:t>wła</w:t>
      </w:r>
      <w:r w:rsidR="002A433D" w:rsidRPr="00DD1DFA">
        <w:rPr>
          <w:noProof/>
        </w:rPr>
        <w:t>ściwościach użytkowych wyrobów budowlanych</w:t>
      </w:r>
      <w:r w:rsidR="00DD1DFA" w:rsidRPr="00DD1DFA">
        <w:rPr>
          <w:noProof/>
        </w:rPr>
        <w:t xml:space="preserve"> w</w:t>
      </w:r>
      <w:r w:rsidR="00DD1DFA">
        <w:rPr>
          <w:noProof/>
        </w:rPr>
        <w:t> </w:t>
      </w:r>
      <w:r w:rsidR="00DD1DFA" w:rsidRPr="00DD1DFA">
        <w:rPr>
          <w:noProof/>
        </w:rPr>
        <w:t>cał</w:t>
      </w:r>
      <w:r w:rsidR="002A433D" w:rsidRPr="00DD1DFA">
        <w:rPr>
          <w:noProof/>
        </w:rPr>
        <w:t>ym łańcuchu dostaw. Oczekuje się, że zwiększy to przejrzystość</w:t>
      </w:r>
      <w:r w:rsidR="00DD1DFA" w:rsidRPr="00DD1DFA">
        <w:rPr>
          <w:noProof/>
        </w:rPr>
        <w:t xml:space="preserve"> i</w:t>
      </w:r>
      <w:r w:rsidR="00DD1DFA">
        <w:rPr>
          <w:noProof/>
        </w:rPr>
        <w:t> </w:t>
      </w:r>
      <w:r w:rsidR="00DD1DFA" w:rsidRPr="00DD1DFA">
        <w:rPr>
          <w:noProof/>
        </w:rPr>
        <w:t>pop</w:t>
      </w:r>
      <w:r w:rsidR="002A433D" w:rsidRPr="00DD1DFA">
        <w:rPr>
          <w:noProof/>
        </w:rPr>
        <w:t>rawi efektywność przekazywania informacji. Zapewnienie cyfrowego dostępu do kompleksowych informacji</w:t>
      </w:r>
      <w:r w:rsidR="00DD1DFA" w:rsidRPr="00DD1DFA">
        <w:rPr>
          <w:noProof/>
        </w:rPr>
        <w:t xml:space="preserve"> o</w:t>
      </w:r>
      <w:r w:rsidR="00DD1DFA">
        <w:rPr>
          <w:noProof/>
        </w:rPr>
        <w:t> </w:t>
      </w:r>
      <w:r w:rsidR="00DD1DFA" w:rsidRPr="00DD1DFA">
        <w:rPr>
          <w:noProof/>
        </w:rPr>
        <w:t>wyr</w:t>
      </w:r>
      <w:r w:rsidR="002A433D" w:rsidRPr="00DD1DFA">
        <w:rPr>
          <w:noProof/>
        </w:rPr>
        <w:t>obach budowlanych przyczyniłoby się do transformacji cyfrowej całego sektora budowlanego, sprawiając, że ramy prawne byłyby dostosowane do ery cyfrowej. Dostęp do wiarygodnych</w:t>
      </w:r>
      <w:r w:rsidR="00DD1DFA" w:rsidRPr="00DD1DFA">
        <w:rPr>
          <w:noProof/>
        </w:rPr>
        <w:t xml:space="preserve"> i</w:t>
      </w:r>
      <w:r w:rsidR="00DD1DFA">
        <w:rPr>
          <w:noProof/>
        </w:rPr>
        <w:t> </w:t>
      </w:r>
      <w:r w:rsidR="00DD1DFA" w:rsidRPr="00DD1DFA">
        <w:rPr>
          <w:noProof/>
        </w:rPr>
        <w:t>trw</w:t>
      </w:r>
      <w:r w:rsidR="002A433D" w:rsidRPr="00DD1DFA">
        <w:rPr>
          <w:noProof/>
        </w:rPr>
        <w:t>ałych informacji oznaczałby również, że podmioty gospodarcze</w:t>
      </w:r>
      <w:r w:rsidR="00DD1DFA" w:rsidRPr="00DD1DFA">
        <w:rPr>
          <w:noProof/>
        </w:rPr>
        <w:t xml:space="preserve"> i</w:t>
      </w:r>
      <w:r w:rsidR="00DD1DFA">
        <w:rPr>
          <w:noProof/>
        </w:rPr>
        <w:t> </w:t>
      </w:r>
      <w:r w:rsidR="00DD1DFA" w:rsidRPr="00DD1DFA">
        <w:rPr>
          <w:noProof/>
        </w:rPr>
        <w:t>inn</w:t>
      </w:r>
      <w:r w:rsidR="002A433D" w:rsidRPr="00DD1DFA">
        <w:rPr>
          <w:noProof/>
        </w:rPr>
        <w:t>e podmioty nie przyczyniałyby się do naruszania przez siebie nawzajem przepisów.</w:t>
      </w:r>
    </w:p>
    <w:p w14:paraId="414A4730" w14:textId="501CECF7" w:rsidR="00181517" w:rsidRPr="00DD1DFA" w:rsidRDefault="005F7EFA" w:rsidP="005F7EFA">
      <w:pPr>
        <w:pStyle w:val="ManualConsidrant"/>
        <w:rPr>
          <w:noProof/>
        </w:rPr>
      </w:pPr>
      <w:r w:rsidRPr="005F7EFA">
        <w:t>(5)</w:t>
      </w:r>
      <w:r w:rsidRPr="005F7EFA">
        <w:tab/>
      </w:r>
      <w:r w:rsidR="00181517" w:rsidRPr="00DD1DFA">
        <w:rPr>
          <w:noProof/>
        </w:rPr>
        <w:t>W rezolucji Parlamentu Europejskiego</w:t>
      </w:r>
      <w:r w:rsidR="00DD1DFA" w:rsidRPr="00DD1DFA">
        <w:rPr>
          <w:noProof/>
        </w:rPr>
        <w:t xml:space="preserve"> z</w:t>
      </w:r>
      <w:r w:rsidR="00DD1DFA">
        <w:rPr>
          <w:noProof/>
        </w:rPr>
        <w:t> </w:t>
      </w:r>
      <w:r w:rsidR="00DD1DFA" w:rsidRPr="00DD1DFA">
        <w:rPr>
          <w:noProof/>
        </w:rPr>
        <w:t>dni</w:t>
      </w:r>
      <w:r w:rsidR="00181517" w:rsidRPr="00DD1DFA">
        <w:rPr>
          <w:noProof/>
        </w:rPr>
        <w:t>a 10 marca 2021</w:t>
      </w:r>
      <w:r w:rsidR="00DD1DFA" w:rsidRPr="00DD1DFA">
        <w:rPr>
          <w:noProof/>
        </w:rPr>
        <w:t> </w:t>
      </w:r>
      <w:r w:rsidR="00181517" w:rsidRPr="00DD1DFA">
        <w:rPr>
          <w:noProof/>
        </w:rPr>
        <w:t>r.</w:t>
      </w:r>
      <w:r w:rsidR="00DD1DFA" w:rsidRPr="00DD1DFA">
        <w:rPr>
          <w:noProof/>
        </w:rPr>
        <w:t xml:space="preserve"> w</w:t>
      </w:r>
      <w:r w:rsidR="00DD1DFA">
        <w:rPr>
          <w:noProof/>
        </w:rPr>
        <w:t> </w:t>
      </w:r>
      <w:r w:rsidR="00DD1DFA" w:rsidRPr="00DD1DFA">
        <w:rPr>
          <w:noProof/>
        </w:rPr>
        <w:t>spr</w:t>
      </w:r>
      <w:r w:rsidR="00181517" w:rsidRPr="00DD1DFA">
        <w:rPr>
          <w:noProof/>
        </w:rPr>
        <w:t>awie wykonania rozporządzenia (UE) nr</w:t>
      </w:r>
      <w:r w:rsidR="00DD1DFA" w:rsidRPr="00DD1DFA">
        <w:rPr>
          <w:noProof/>
        </w:rPr>
        <w:t> </w:t>
      </w:r>
      <w:r w:rsidR="00181517" w:rsidRPr="00DD1DFA">
        <w:rPr>
          <w:noProof/>
        </w:rPr>
        <w:t>305/2011</w:t>
      </w:r>
      <w:r w:rsidR="00181517" w:rsidRPr="00DD1DFA">
        <w:rPr>
          <w:rStyle w:val="Odwoanieprzypisudolnego"/>
          <w:noProof/>
        </w:rPr>
        <w:footnoteReference w:id="35"/>
      </w:r>
      <w:r w:rsidR="00DD1DFA" w:rsidRPr="00DD1DFA">
        <w:rPr>
          <w:noProof/>
        </w:rPr>
        <w:t xml:space="preserve"> z</w:t>
      </w:r>
      <w:r w:rsidR="00DD1DFA">
        <w:rPr>
          <w:noProof/>
        </w:rPr>
        <w:t> </w:t>
      </w:r>
      <w:r w:rsidR="00DD1DFA" w:rsidRPr="00DD1DFA">
        <w:rPr>
          <w:noProof/>
        </w:rPr>
        <w:t>zad</w:t>
      </w:r>
      <w:r w:rsidR="00181517" w:rsidRPr="00DD1DFA">
        <w:rPr>
          <w:noProof/>
        </w:rPr>
        <w:t>owoleniem przyjęto cel Komisji, jakim jest zapewnienie bardziej zrównoważonego charakteru sektora budowlanego poprzez uwzględnienie zrównoważonego charakteru wyrobów budowlanych</w:t>
      </w:r>
      <w:r w:rsidR="00DD1DFA" w:rsidRPr="00DD1DFA">
        <w:rPr>
          <w:noProof/>
        </w:rPr>
        <w:t xml:space="preserve"> w</w:t>
      </w:r>
      <w:r w:rsidR="00DD1DFA">
        <w:rPr>
          <w:noProof/>
        </w:rPr>
        <w:t> </w:t>
      </w:r>
      <w:r w:rsidR="00DD1DFA" w:rsidRPr="00DD1DFA">
        <w:rPr>
          <w:noProof/>
        </w:rPr>
        <w:t>ram</w:t>
      </w:r>
      <w:r w:rsidR="00181517" w:rsidRPr="00DD1DFA">
        <w:rPr>
          <w:noProof/>
        </w:rPr>
        <w:t>ach rewizji rozporządzenia nr</w:t>
      </w:r>
      <w:r w:rsidR="00DD1DFA" w:rsidRPr="00DD1DFA">
        <w:rPr>
          <w:noProof/>
        </w:rPr>
        <w:t> </w:t>
      </w:r>
      <w:r w:rsidR="00181517" w:rsidRPr="00DD1DFA">
        <w:rPr>
          <w:noProof/>
        </w:rPr>
        <w:t>305/2011, zgodnie</w:t>
      </w:r>
      <w:r w:rsidR="00DD1DFA" w:rsidRPr="00DD1DFA">
        <w:rPr>
          <w:noProof/>
        </w:rPr>
        <w:t xml:space="preserve"> z</w:t>
      </w:r>
      <w:r w:rsidR="00DD1DFA">
        <w:rPr>
          <w:noProof/>
        </w:rPr>
        <w:t> </w:t>
      </w:r>
      <w:r w:rsidR="00DD1DFA" w:rsidRPr="00DD1DFA">
        <w:rPr>
          <w:noProof/>
        </w:rPr>
        <w:t>zap</w:t>
      </w:r>
      <w:r w:rsidR="00181517" w:rsidRPr="00DD1DFA">
        <w:rPr>
          <w:noProof/>
        </w:rPr>
        <w:t>owiedzią zawartą</w:t>
      </w:r>
      <w:r w:rsidR="00DD1DFA" w:rsidRPr="00DD1DFA">
        <w:rPr>
          <w:noProof/>
        </w:rPr>
        <w:t xml:space="preserve"> w</w:t>
      </w:r>
      <w:r w:rsidR="00DD1DFA">
        <w:rPr>
          <w:noProof/>
        </w:rPr>
        <w:t> </w:t>
      </w:r>
      <w:r w:rsidR="00DD1DFA" w:rsidRPr="00DD1DFA">
        <w:rPr>
          <w:noProof/>
        </w:rPr>
        <w:t>Pla</w:t>
      </w:r>
      <w:r w:rsidR="00181517" w:rsidRPr="00DD1DFA">
        <w:rPr>
          <w:noProof/>
        </w:rPr>
        <w:t>nie działania dotyczącym gospodarki</w:t>
      </w:r>
      <w:r w:rsidR="00DD1DFA" w:rsidRPr="00DD1DFA">
        <w:rPr>
          <w:noProof/>
        </w:rPr>
        <w:t xml:space="preserve"> o</w:t>
      </w:r>
      <w:r w:rsidR="00DD1DFA">
        <w:rPr>
          <w:noProof/>
        </w:rPr>
        <w:t> </w:t>
      </w:r>
      <w:r w:rsidR="00DD1DFA" w:rsidRPr="00DD1DFA">
        <w:rPr>
          <w:noProof/>
        </w:rPr>
        <w:t>obi</w:t>
      </w:r>
      <w:r w:rsidR="00181517" w:rsidRPr="00DD1DFA">
        <w:rPr>
          <w:noProof/>
        </w:rPr>
        <w:t>egu zamkniętym</w:t>
      </w:r>
      <w:r w:rsidR="00DD1DFA" w:rsidRPr="00DD1DFA">
        <w:rPr>
          <w:noProof/>
        </w:rPr>
        <w:t>. W</w:t>
      </w:r>
      <w:r w:rsidR="00DD1DFA">
        <w:rPr>
          <w:noProof/>
        </w:rPr>
        <w:t> </w:t>
      </w:r>
      <w:r w:rsidR="00DD1DFA" w:rsidRPr="00DD1DFA">
        <w:rPr>
          <w:noProof/>
        </w:rPr>
        <w:t>kon</w:t>
      </w:r>
      <w:r w:rsidR="00181517" w:rsidRPr="00DD1DFA">
        <w:rPr>
          <w:noProof/>
        </w:rPr>
        <w:t>kluzjach Rady</w:t>
      </w:r>
      <w:r w:rsidR="00DD1DFA" w:rsidRPr="00DD1DFA">
        <w:rPr>
          <w:noProof/>
        </w:rPr>
        <w:t xml:space="preserve"> w</w:t>
      </w:r>
      <w:r w:rsidR="00DD1DFA">
        <w:rPr>
          <w:noProof/>
        </w:rPr>
        <w:t> </w:t>
      </w:r>
      <w:r w:rsidR="00DD1DFA" w:rsidRPr="00DD1DFA">
        <w:rPr>
          <w:noProof/>
        </w:rPr>
        <w:t>spr</w:t>
      </w:r>
      <w:r w:rsidR="00181517" w:rsidRPr="00DD1DFA">
        <w:rPr>
          <w:noProof/>
        </w:rPr>
        <w:t>awie gospodarki</w:t>
      </w:r>
      <w:r w:rsidR="00DD1DFA" w:rsidRPr="00DD1DFA">
        <w:rPr>
          <w:noProof/>
        </w:rPr>
        <w:t xml:space="preserve"> o</w:t>
      </w:r>
      <w:r w:rsidR="00DD1DFA">
        <w:rPr>
          <w:noProof/>
        </w:rPr>
        <w:t> </w:t>
      </w:r>
      <w:r w:rsidR="00DD1DFA" w:rsidRPr="00DD1DFA">
        <w:rPr>
          <w:noProof/>
        </w:rPr>
        <w:t>obi</w:t>
      </w:r>
      <w:r w:rsidR="00181517" w:rsidRPr="00DD1DFA">
        <w:rPr>
          <w:noProof/>
        </w:rPr>
        <w:t>egu zamkniętym</w:t>
      </w:r>
      <w:r w:rsidR="00DD1DFA" w:rsidRPr="00DD1DFA">
        <w:rPr>
          <w:noProof/>
        </w:rPr>
        <w:t xml:space="preserve"> w</w:t>
      </w:r>
      <w:r w:rsidR="00DD1DFA">
        <w:rPr>
          <w:noProof/>
        </w:rPr>
        <w:t> </w:t>
      </w:r>
      <w:r w:rsidR="00DD1DFA" w:rsidRPr="00DD1DFA">
        <w:rPr>
          <w:noProof/>
        </w:rPr>
        <w:t>sek</w:t>
      </w:r>
      <w:r w:rsidR="00181517" w:rsidRPr="00DD1DFA">
        <w:rPr>
          <w:noProof/>
        </w:rPr>
        <w:t>torze budowlanym</w:t>
      </w:r>
      <w:r w:rsidR="00DD1DFA" w:rsidRPr="00DD1DFA">
        <w:rPr>
          <w:noProof/>
        </w:rPr>
        <w:t xml:space="preserve"> z</w:t>
      </w:r>
      <w:r w:rsidR="00DD1DFA">
        <w:rPr>
          <w:noProof/>
        </w:rPr>
        <w:t> </w:t>
      </w:r>
      <w:r w:rsidR="00DD1DFA" w:rsidRPr="00DD1DFA">
        <w:rPr>
          <w:noProof/>
        </w:rPr>
        <w:t>2</w:t>
      </w:r>
      <w:r w:rsidR="00181517" w:rsidRPr="00DD1DFA">
        <w:rPr>
          <w:noProof/>
        </w:rPr>
        <w:t>8 listopada 2019</w:t>
      </w:r>
      <w:r w:rsidR="00DD1DFA" w:rsidRPr="00DD1DFA">
        <w:rPr>
          <w:noProof/>
        </w:rPr>
        <w:t> </w:t>
      </w:r>
      <w:r w:rsidR="00181517" w:rsidRPr="00DD1DFA">
        <w:rPr>
          <w:noProof/>
        </w:rPr>
        <w:t>r.</w:t>
      </w:r>
      <w:r w:rsidR="00181517" w:rsidRPr="00DD1DFA">
        <w:rPr>
          <w:rStyle w:val="Odwoanieprzypisudolnego"/>
          <w:noProof/>
        </w:rPr>
        <w:footnoteReference w:id="36"/>
      </w:r>
      <w:r w:rsidR="00181517" w:rsidRPr="00DD1DFA">
        <w:rPr>
          <w:noProof/>
        </w:rPr>
        <w:t xml:space="preserve"> wezwano Komisję do wspierania obiegu zamkniętego wyrobów budowlanych podczas przeglądu rozporządzenia</w:t>
      </w:r>
      <w:r w:rsidR="00DD1DFA" w:rsidRPr="00DD1DFA">
        <w:rPr>
          <w:noProof/>
        </w:rPr>
        <w:t xml:space="preserve"> w</w:t>
      </w:r>
      <w:r w:rsidR="00DD1DFA">
        <w:rPr>
          <w:noProof/>
        </w:rPr>
        <w:t> </w:t>
      </w:r>
      <w:r w:rsidR="00DD1DFA" w:rsidRPr="00DD1DFA">
        <w:rPr>
          <w:noProof/>
        </w:rPr>
        <w:t>spr</w:t>
      </w:r>
      <w:r w:rsidR="00181517" w:rsidRPr="00DD1DFA">
        <w:rPr>
          <w:noProof/>
        </w:rPr>
        <w:t>awie wyrobów budowlanych (UE) nr</w:t>
      </w:r>
      <w:r w:rsidR="00DD1DFA" w:rsidRPr="00DD1DFA">
        <w:rPr>
          <w:noProof/>
        </w:rPr>
        <w:t> </w:t>
      </w:r>
      <w:r w:rsidR="00181517" w:rsidRPr="00DD1DFA">
        <w:rPr>
          <w:noProof/>
        </w:rPr>
        <w:t>305/2011</w:t>
      </w:r>
      <w:r w:rsidR="00DD1DFA" w:rsidRPr="00DD1DFA">
        <w:rPr>
          <w:noProof/>
        </w:rPr>
        <w:t>. W</w:t>
      </w:r>
      <w:r w:rsidR="00DD1DFA">
        <w:rPr>
          <w:noProof/>
        </w:rPr>
        <w:t> </w:t>
      </w:r>
      <w:r w:rsidR="00DD1DFA" w:rsidRPr="00DD1DFA">
        <w:rPr>
          <w:noProof/>
        </w:rPr>
        <w:t>kom</w:t>
      </w:r>
      <w:r w:rsidR="00181517" w:rsidRPr="00DD1DFA">
        <w:rPr>
          <w:noProof/>
        </w:rPr>
        <w:t>unikacie Komisji „Nowa strategia przemysłowa dla Europy”</w:t>
      </w:r>
      <w:r w:rsidR="00181517" w:rsidRPr="00DD1DFA">
        <w:rPr>
          <w:rStyle w:val="Odwoanieprzypisudolnego"/>
          <w:noProof/>
        </w:rPr>
        <w:footnoteReference w:id="37"/>
      </w:r>
      <w:r w:rsidR="00181517" w:rsidRPr="00DD1DFA">
        <w:rPr>
          <w:noProof/>
        </w:rPr>
        <w:t xml:space="preserve"> podkreślono potrzebę zajęcia się kwestią zrównoważoności wyrobów budowlanych</w:t>
      </w:r>
      <w:r w:rsidR="00DD1DFA" w:rsidRPr="00DD1DFA">
        <w:rPr>
          <w:noProof/>
        </w:rPr>
        <w:t xml:space="preserve"> i</w:t>
      </w:r>
      <w:r w:rsidR="00DD1DFA">
        <w:rPr>
          <w:noProof/>
        </w:rPr>
        <w:t> </w:t>
      </w:r>
      <w:r w:rsidR="00DD1DFA" w:rsidRPr="00DD1DFA">
        <w:rPr>
          <w:noProof/>
        </w:rPr>
        <w:t>zwr</w:t>
      </w:r>
      <w:r w:rsidR="00181517" w:rsidRPr="00DD1DFA">
        <w:rPr>
          <w:noProof/>
        </w:rPr>
        <w:t>ócono uwagę, że bardziej zrównoważone środowisko zbudowane ma zasadnicze znaczenie dla transformacji Europy</w:t>
      </w:r>
      <w:r w:rsidR="00DD1DFA" w:rsidRPr="00DD1DFA">
        <w:rPr>
          <w:noProof/>
        </w:rPr>
        <w:t xml:space="preserve"> w</w:t>
      </w:r>
      <w:r w:rsidR="00DD1DFA">
        <w:rPr>
          <w:noProof/>
        </w:rPr>
        <w:t> </w:t>
      </w:r>
      <w:r w:rsidR="00DD1DFA" w:rsidRPr="00DD1DFA">
        <w:rPr>
          <w:noProof/>
        </w:rPr>
        <w:t>kie</w:t>
      </w:r>
      <w:r w:rsidR="00181517" w:rsidRPr="00DD1DFA">
        <w:rPr>
          <w:noProof/>
        </w:rPr>
        <w:t>runku neutralności klimatycznej</w:t>
      </w:r>
      <w:r w:rsidR="00DD1DFA" w:rsidRPr="00DD1DFA">
        <w:rPr>
          <w:noProof/>
        </w:rPr>
        <w:t>. W</w:t>
      </w:r>
      <w:r w:rsidR="00DD1DFA">
        <w:rPr>
          <w:noProof/>
        </w:rPr>
        <w:t> </w:t>
      </w:r>
      <w:r w:rsidR="00DD1DFA" w:rsidRPr="00DD1DFA">
        <w:rPr>
          <w:noProof/>
        </w:rPr>
        <w:t>kom</w:t>
      </w:r>
      <w:r w:rsidR="00181517" w:rsidRPr="00DD1DFA">
        <w:rPr>
          <w:noProof/>
        </w:rPr>
        <w:t>unikacie Komisji „Aktualizacja nowej strategii przemysłowej</w:t>
      </w:r>
      <w:r w:rsidR="00DD1DFA" w:rsidRPr="00DD1DFA">
        <w:rPr>
          <w:noProof/>
        </w:rPr>
        <w:t xml:space="preserve"> z</w:t>
      </w:r>
      <w:r w:rsidR="00DD1DFA">
        <w:rPr>
          <w:noProof/>
        </w:rPr>
        <w:t> </w:t>
      </w:r>
      <w:r w:rsidR="00DD1DFA" w:rsidRPr="00DD1DFA">
        <w:rPr>
          <w:noProof/>
        </w:rPr>
        <w:t>2</w:t>
      </w:r>
      <w:r w:rsidR="00181517" w:rsidRPr="00DD1DFA">
        <w:rPr>
          <w:noProof/>
        </w:rPr>
        <w:t>020</w:t>
      </w:r>
      <w:r w:rsidR="00DD1DFA" w:rsidRPr="00DD1DFA">
        <w:rPr>
          <w:noProof/>
        </w:rPr>
        <w:t> </w:t>
      </w:r>
      <w:r w:rsidR="00181517" w:rsidRPr="00DD1DFA">
        <w:rPr>
          <w:noProof/>
        </w:rPr>
        <w:t>r. – tworzenie silniejszego jednolitego rynku sprzyjającego odbudowie Europy”</w:t>
      </w:r>
      <w:r w:rsidR="00181517" w:rsidRPr="00DD1DFA">
        <w:rPr>
          <w:rStyle w:val="Odwoanieprzypisudolnego"/>
          <w:noProof/>
        </w:rPr>
        <w:footnoteReference w:id="38"/>
      </w:r>
      <w:r w:rsidR="00181517" w:rsidRPr="00DD1DFA">
        <w:rPr>
          <w:noProof/>
        </w:rPr>
        <w:t xml:space="preserve"> wskazano sektor budowlany jako jeden</w:t>
      </w:r>
      <w:r w:rsidR="00DD1DFA" w:rsidRPr="00DD1DFA">
        <w:rPr>
          <w:noProof/>
        </w:rPr>
        <w:t xml:space="preserve"> z</w:t>
      </w:r>
      <w:r w:rsidR="00DD1DFA">
        <w:rPr>
          <w:noProof/>
        </w:rPr>
        <w:t> </w:t>
      </w:r>
      <w:r w:rsidR="00DD1DFA" w:rsidRPr="00DD1DFA">
        <w:rPr>
          <w:noProof/>
        </w:rPr>
        <w:t>pri</w:t>
      </w:r>
      <w:r w:rsidR="00181517" w:rsidRPr="00DD1DFA">
        <w:rPr>
          <w:noProof/>
        </w:rPr>
        <w:t>orytetowych ekosystemów, które stoją przed najważniejszymi wyzwaniami związanymi</w:t>
      </w:r>
      <w:r w:rsidR="00DD1DFA" w:rsidRPr="00DD1DFA">
        <w:rPr>
          <w:noProof/>
        </w:rPr>
        <w:t xml:space="preserve"> z</w:t>
      </w:r>
      <w:r w:rsidR="00DD1DFA">
        <w:rPr>
          <w:noProof/>
        </w:rPr>
        <w:t> </w:t>
      </w:r>
      <w:r w:rsidR="00DD1DFA" w:rsidRPr="00DD1DFA">
        <w:rPr>
          <w:noProof/>
        </w:rPr>
        <w:t>rea</w:t>
      </w:r>
      <w:r w:rsidR="00181517" w:rsidRPr="00DD1DFA">
        <w:rPr>
          <w:noProof/>
        </w:rPr>
        <w:t>lizacją celów</w:t>
      </w:r>
      <w:r w:rsidR="00DD1DFA" w:rsidRPr="00DD1DFA">
        <w:rPr>
          <w:noProof/>
        </w:rPr>
        <w:t xml:space="preserve"> w</w:t>
      </w:r>
      <w:r w:rsidR="00DD1DFA">
        <w:rPr>
          <w:noProof/>
        </w:rPr>
        <w:t> </w:t>
      </w:r>
      <w:r w:rsidR="00DD1DFA" w:rsidRPr="00DD1DFA">
        <w:rPr>
          <w:noProof/>
        </w:rPr>
        <w:t>zak</w:t>
      </w:r>
      <w:r w:rsidR="00181517" w:rsidRPr="00DD1DFA">
        <w:rPr>
          <w:noProof/>
        </w:rPr>
        <w:t>resie klimatu</w:t>
      </w:r>
      <w:r w:rsidR="00DD1DFA" w:rsidRPr="00DD1DFA">
        <w:rPr>
          <w:noProof/>
        </w:rPr>
        <w:t xml:space="preserve"> i</w:t>
      </w:r>
      <w:r w:rsidR="00DD1DFA">
        <w:rPr>
          <w:noProof/>
        </w:rPr>
        <w:t> </w:t>
      </w:r>
      <w:r w:rsidR="00DD1DFA" w:rsidRPr="00DD1DFA">
        <w:rPr>
          <w:noProof/>
        </w:rPr>
        <w:t>zró</w:t>
      </w:r>
      <w:r w:rsidR="00181517" w:rsidRPr="00DD1DFA">
        <w:rPr>
          <w:noProof/>
        </w:rPr>
        <w:t>wnoważonego rozwoju oraz</w:t>
      </w:r>
      <w:r w:rsidR="00DD1DFA" w:rsidRPr="00DD1DFA">
        <w:rPr>
          <w:noProof/>
        </w:rPr>
        <w:t xml:space="preserve"> z</w:t>
      </w:r>
      <w:r w:rsidR="00DD1DFA">
        <w:rPr>
          <w:noProof/>
        </w:rPr>
        <w:t> </w:t>
      </w:r>
      <w:r w:rsidR="00DD1DFA" w:rsidRPr="00DD1DFA">
        <w:rPr>
          <w:noProof/>
        </w:rPr>
        <w:t>tra</w:t>
      </w:r>
      <w:r w:rsidR="00181517" w:rsidRPr="00DD1DFA">
        <w:rPr>
          <w:noProof/>
        </w:rPr>
        <w:t>nsformacją cyfrową, i od których zależy konkurencyjność sektora budowlanego. Należy zatem ustanowić przepisy dotyczące deklarowania efektywności środowiskowej</w:t>
      </w:r>
      <w:r w:rsidR="00DD1DFA" w:rsidRPr="00DD1DFA">
        <w:rPr>
          <w:noProof/>
        </w:rPr>
        <w:t xml:space="preserve"> i</w:t>
      </w:r>
      <w:r w:rsidR="00DD1DFA">
        <w:rPr>
          <w:noProof/>
        </w:rPr>
        <w:t> </w:t>
      </w:r>
      <w:r w:rsidR="00DD1DFA" w:rsidRPr="00DD1DFA">
        <w:rPr>
          <w:noProof/>
        </w:rPr>
        <w:t>zró</w:t>
      </w:r>
      <w:r w:rsidR="00181517" w:rsidRPr="00DD1DFA">
        <w:rPr>
          <w:noProof/>
        </w:rPr>
        <w:t>wnoważonego charakteru wyrobów budowlanych,</w:t>
      </w:r>
      <w:r w:rsidR="00DD1DFA" w:rsidRPr="00DD1DFA">
        <w:rPr>
          <w:noProof/>
        </w:rPr>
        <w:t xml:space="preserve"> w</w:t>
      </w:r>
      <w:r w:rsidR="00DD1DFA">
        <w:rPr>
          <w:noProof/>
        </w:rPr>
        <w:t> </w:t>
      </w:r>
      <w:r w:rsidR="00DD1DFA" w:rsidRPr="00DD1DFA">
        <w:rPr>
          <w:noProof/>
        </w:rPr>
        <w:t>tym</w:t>
      </w:r>
      <w:r w:rsidR="00181517" w:rsidRPr="00DD1DFA">
        <w:rPr>
          <w:noProof/>
        </w:rPr>
        <w:t xml:space="preserve"> możliwość ustanowienia odpowiednich progów</w:t>
      </w:r>
      <w:r w:rsidR="00DD1DFA" w:rsidRPr="00DD1DFA">
        <w:rPr>
          <w:noProof/>
        </w:rPr>
        <w:t xml:space="preserve"> i</w:t>
      </w:r>
      <w:r w:rsidR="00DD1DFA">
        <w:rPr>
          <w:noProof/>
        </w:rPr>
        <w:t> </w:t>
      </w:r>
      <w:r w:rsidR="00DD1DFA" w:rsidRPr="00DD1DFA">
        <w:rPr>
          <w:noProof/>
        </w:rPr>
        <w:t>kla</w:t>
      </w:r>
      <w:r w:rsidR="00181517" w:rsidRPr="00DD1DFA">
        <w:rPr>
          <w:noProof/>
        </w:rPr>
        <w:t xml:space="preserve">s. </w:t>
      </w:r>
    </w:p>
    <w:p w14:paraId="5999C14C" w14:textId="5A8C36BE" w:rsidR="00181517" w:rsidRPr="00DD1DFA" w:rsidRDefault="005F7EFA" w:rsidP="005F7EFA">
      <w:pPr>
        <w:pStyle w:val="ManualConsidrant"/>
        <w:rPr>
          <w:noProof/>
        </w:rPr>
      </w:pPr>
      <w:r w:rsidRPr="005F7EFA">
        <w:t>(6)</w:t>
      </w:r>
      <w:r w:rsidRPr="005F7EFA">
        <w:tab/>
      </w:r>
      <w:r w:rsidR="00F25390" w:rsidRPr="00DD1DFA">
        <w:rPr>
          <w:noProof/>
        </w:rPr>
        <w:t>Podobnie</w:t>
      </w:r>
      <w:r w:rsidR="00DD1DFA" w:rsidRPr="00DD1DFA">
        <w:rPr>
          <w:noProof/>
        </w:rPr>
        <w:t xml:space="preserve"> w</w:t>
      </w:r>
      <w:r w:rsidR="00DD1DFA">
        <w:rPr>
          <w:noProof/>
        </w:rPr>
        <w:t> </w:t>
      </w:r>
      <w:r w:rsidR="00DD1DFA" w:rsidRPr="00DD1DFA">
        <w:rPr>
          <w:noProof/>
        </w:rPr>
        <w:t>Uni</w:t>
      </w:r>
      <w:r w:rsidR="00F25390" w:rsidRPr="00DD1DFA">
        <w:rPr>
          <w:noProof/>
        </w:rPr>
        <w:t>jnej strategii</w:t>
      </w:r>
      <w:r w:rsidR="00DD1DFA" w:rsidRPr="00DD1DFA">
        <w:rPr>
          <w:noProof/>
        </w:rPr>
        <w:t xml:space="preserve"> w</w:t>
      </w:r>
      <w:r w:rsidR="00DD1DFA">
        <w:rPr>
          <w:noProof/>
        </w:rPr>
        <w:t> </w:t>
      </w:r>
      <w:r w:rsidR="00DD1DFA" w:rsidRPr="00DD1DFA">
        <w:rPr>
          <w:noProof/>
        </w:rPr>
        <w:t>spr</w:t>
      </w:r>
      <w:r w:rsidR="00F25390" w:rsidRPr="00DD1DFA">
        <w:rPr>
          <w:noProof/>
        </w:rPr>
        <w:t>awie normalizacji na</w:t>
      </w:r>
      <w:r w:rsidR="00DD1DFA" w:rsidRPr="00DD1DFA">
        <w:rPr>
          <w:noProof/>
        </w:rPr>
        <w:t> </w:t>
      </w:r>
      <w:r w:rsidR="00F25390" w:rsidRPr="00DD1DFA">
        <w:rPr>
          <w:noProof/>
        </w:rPr>
        <w:t>2022</w:t>
      </w:r>
      <w:r w:rsidR="00DD1DFA" w:rsidRPr="00DD1DFA">
        <w:rPr>
          <w:noProof/>
        </w:rPr>
        <w:t> </w:t>
      </w:r>
      <w:r w:rsidR="00F25390" w:rsidRPr="00DD1DFA">
        <w:rPr>
          <w:noProof/>
        </w:rPr>
        <w:t>r.</w:t>
      </w:r>
      <w:r w:rsidR="00F25390" w:rsidRPr="00DD1DFA">
        <w:rPr>
          <w:rStyle w:val="Odwoanieprzypisudolnego"/>
          <w:noProof/>
        </w:rPr>
        <w:footnoteReference w:id="39"/>
      </w:r>
      <w:r w:rsidR="00F25390" w:rsidRPr="00DD1DFA">
        <w:rPr>
          <w:noProof/>
        </w:rPr>
        <w:t xml:space="preserve"> wskazano sektor budowlany jako jeden</w:t>
      </w:r>
      <w:r w:rsidR="00DD1DFA" w:rsidRPr="00DD1DFA">
        <w:rPr>
          <w:noProof/>
        </w:rPr>
        <w:t xml:space="preserve"> z</w:t>
      </w:r>
      <w:r w:rsidR="00DD1DFA">
        <w:rPr>
          <w:noProof/>
        </w:rPr>
        <w:t> </w:t>
      </w:r>
      <w:r w:rsidR="00DD1DFA" w:rsidRPr="00DD1DFA">
        <w:rPr>
          <w:noProof/>
        </w:rPr>
        <w:t>naj</w:t>
      </w:r>
      <w:r w:rsidR="00F25390" w:rsidRPr="00DD1DFA">
        <w:rPr>
          <w:noProof/>
        </w:rPr>
        <w:t>istotniejszych obszarów,</w:t>
      </w:r>
      <w:r w:rsidR="00DD1DFA" w:rsidRPr="00DD1DFA">
        <w:rPr>
          <w:noProof/>
        </w:rPr>
        <w:t xml:space="preserve"> w</w:t>
      </w:r>
      <w:r w:rsidR="00DD1DFA">
        <w:rPr>
          <w:noProof/>
        </w:rPr>
        <w:t> </w:t>
      </w:r>
      <w:r w:rsidR="00DD1DFA" w:rsidRPr="00DD1DFA">
        <w:rPr>
          <w:noProof/>
        </w:rPr>
        <w:t>któ</w:t>
      </w:r>
      <w:r w:rsidR="00F25390" w:rsidRPr="00DD1DFA">
        <w:rPr>
          <w:noProof/>
        </w:rPr>
        <w:t>rych normy zharmonizowane mogłyby poprawić konkurencyjność</w:t>
      </w:r>
      <w:r w:rsidR="00DD1DFA" w:rsidRPr="00DD1DFA">
        <w:rPr>
          <w:noProof/>
        </w:rPr>
        <w:t xml:space="preserve"> i</w:t>
      </w:r>
      <w:r w:rsidR="00DD1DFA">
        <w:rPr>
          <w:noProof/>
        </w:rPr>
        <w:t> </w:t>
      </w:r>
      <w:r w:rsidR="00DD1DFA" w:rsidRPr="00DD1DFA">
        <w:rPr>
          <w:noProof/>
        </w:rPr>
        <w:t>ogr</w:t>
      </w:r>
      <w:r w:rsidR="00F25390" w:rsidRPr="00DD1DFA">
        <w:rPr>
          <w:noProof/>
        </w:rPr>
        <w:t xml:space="preserve">aniczyć bariery rynkowe. </w:t>
      </w:r>
    </w:p>
    <w:p w14:paraId="7A9957AC" w14:textId="754B0859" w:rsidR="00181517" w:rsidRPr="00DD1DFA" w:rsidRDefault="005F7EFA" w:rsidP="005F7EFA">
      <w:pPr>
        <w:pStyle w:val="ManualConsidrant"/>
        <w:rPr>
          <w:noProof/>
        </w:rPr>
      </w:pPr>
      <w:r w:rsidRPr="005F7EFA">
        <w:t>(7)</w:t>
      </w:r>
      <w:r w:rsidRPr="005F7EFA">
        <w:tab/>
      </w:r>
      <w:r w:rsidR="00181517" w:rsidRPr="00DD1DFA">
        <w:rPr>
          <w:noProof/>
        </w:rPr>
        <w:t>Realizacja celów środowiskowych,</w:t>
      </w:r>
      <w:r w:rsidR="00DD1DFA" w:rsidRPr="00DD1DFA">
        <w:rPr>
          <w:noProof/>
        </w:rPr>
        <w:t xml:space="preserve"> w</w:t>
      </w:r>
      <w:r w:rsidR="00DD1DFA">
        <w:rPr>
          <w:noProof/>
        </w:rPr>
        <w:t> </w:t>
      </w:r>
      <w:r w:rsidR="00DD1DFA" w:rsidRPr="00DD1DFA">
        <w:rPr>
          <w:noProof/>
        </w:rPr>
        <w:t>tym</w:t>
      </w:r>
      <w:r w:rsidR="00181517" w:rsidRPr="00DD1DFA">
        <w:rPr>
          <w:noProof/>
        </w:rPr>
        <w:t xml:space="preserve"> walka ze zmianą klimatu, powoduje konieczność ustanowienia nowych obowiązków</w:t>
      </w:r>
      <w:r w:rsidR="00DD1DFA" w:rsidRPr="00DD1DFA">
        <w:rPr>
          <w:noProof/>
        </w:rPr>
        <w:t xml:space="preserve"> w</w:t>
      </w:r>
      <w:r w:rsidR="00DD1DFA">
        <w:rPr>
          <w:noProof/>
        </w:rPr>
        <w:t> </w:t>
      </w:r>
      <w:r w:rsidR="00DD1DFA" w:rsidRPr="00DD1DFA">
        <w:rPr>
          <w:noProof/>
        </w:rPr>
        <w:t>zak</w:t>
      </w:r>
      <w:r w:rsidR="00181517" w:rsidRPr="00DD1DFA">
        <w:rPr>
          <w:noProof/>
        </w:rPr>
        <w:t>resie ochrony środowiska naturalnego oraz stworzenia podstaw do opracowania</w:t>
      </w:r>
      <w:r w:rsidR="00DD1DFA" w:rsidRPr="00DD1DFA">
        <w:rPr>
          <w:noProof/>
        </w:rPr>
        <w:t xml:space="preserve"> i</w:t>
      </w:r>
      <w:r w:rsidR="00DD1DFA">
        <w:rPr>
          <w:noProof/>
        </w:rPr>
        <w:t> </w:t>
      </w:r>
      <w:r w:rsidR="00DD1DFA" w:rsidRPr="00DD1DFA">
        <w:rPr>
          <w:noProof/>
        </w:rPr>
        <w:t>sto</w:t>
      </w:r>
      <w:r w:rsidR="00181517" w:rsidRPr="00DD1DFA">
        <w:rPr>
          <w:noProof/>
        </w:rPr>
        <w:t>sowania metody oceny służącej obliczaniu zrównoważenia środowiskowego wyrobów budowlanych</w:t>
      </w:r>
      <w:r w:rsidR="00DD1DFA" w:rsidRPr="00DD1DFA">
        <w:rPr>
          <w:noProof/>
        </w:rPr>
        <w:t>. Z</w:t>
      </w:r>
      <w:r w:rsidR="00DD1DFA">
        <w:rPr>
          <w:noProof/>
        </w:rPr>
        <w:t> </w:t>
      </w:r>
      <w:r w:rsidR="00DD1DFA" w:rsidRPr="00DD1DFA">
        <w:rPr>
          <w:noProof/>
        </w:rPr>
        <w:t>teg</w:t>
      </w:r>
      <w:r w:rsidR="00181517" w:rsidRPr="00DD1DFA">
        <w:rPr>
          <w:noProof/>
        </w:rPr>
        <w:t>o samego powodu konieczne jest poszerzenie kręgu regulowanych podmiotów gospodarczych, ponieważ dystrybutorzy, dostawcy</w:t>
      </w:r>
      <w:r w:rsidR="00DD1DFA" w:rsidRPr="00DD1DFA">
        <w:rPr>
          <w:noProof/>
        </w:rPr>
        <w:t xml:space="preserve"> i</w:t>
      </w:r>
      <w:r w:rsidR="00DD1DFA">
        <w:rPr>
          <w:noProof/>
        </w:rPr>
        <w:t> </w:t>
      </w:r>
      <w:r w:rsidR="00DD1DFA" w:rsidRPr="00DD1DFA">
        <w:rPr>
          <w:noProof/>
        </w:rPr>
        <w:t>pro</w:t>
      </w:r>
      <w:r w:rsidR="00181517" w:rsidRPr="00DD1DFA">
        <w:rPr>
          <w:noProof/>
        </w:rPr>
        <w:t>ducenci mają do odegrania rolę</w:t>
      </w:r>
      <w:r w:rsidR="00DD1DFA" w:rsidRPr="00DD1DFA">
        <w:rPr>
          <w:noProof/>
        </w:rPr>
        <w:t xml:space="preserve"> w</w:t>
      </w:r>
      <w:r w:rsidR="00DD1DFA">
        <w:rPr>
          <w:noProof/>
        </w:rPr>
        <w:t> </w:t>
      </w:r>
      <w:r w:rsidR="00DD1DFA" w:rsidRPr="00DD1DFA">
        <w:rPr>
          <w:noProof/>
        </w:rPr>
        <w:t>obl</w:t>
      </w:r>
      <w:r w:rsidR="00181517" w:rsidRPr="00DD1DFA">
        <w:rPr>
          <w:noProof/>
        </w:rPr>
        <w:t>iczaniu stopnia zrównoważenia środowiskowego</w:t>
      </w:r>
      <w:r w:rsidR="00DD1DFA" w:rsidRPr="00DD1DFA">
        <w:rPr>
          <w:noProof/>
        </w:rPr>
        <w:t xml:space="preserve"> w</w:t>
      </w:r>
      <w:r w:rsidR="00DD1DFA">
        <w:rPr>
          <w:noProof/>
        </w:rPr>
        <w:t> </w:t>
      </w:r>
      <w:r w:rsidR="00DD1DFA" w:rsidRPr="00DD1DFA">
        <w:rPr>
          <w:noProof/>
        </w:rPr>
        <w:t>sek</w:t>
      </w:r>
      <w:r w:rsidR="00181517" w:rsidRPr="00DD1DFA">
        <w:rPr>
          <w:noProof/>
        </w:rPr>
        <w:t>torze budowlanym. Zakres ten należy zatem poszerzyć</w:t>
      </w:r>
      <w:r w:rsidR="00DD1DFA" w:rsidRPr="00DD1DFA">
        <w:rPr>
          <w:noProof/>
        </w:rPr>
        <w:t xml:space="preserve"> w</w:t>
      </w:r>
      <w:r w:rsidR="00DD1DFA">
        <w:rPr>
          <w:noProof/>
        </w:rPr>
        <w:t> </w:t>
      </w:r>
      <w:r w:rsidR="00DD1DFA" w:rsidRPr="00DD1DFA">
        <w:rPr>
          <w:noProof/>
        </w:rPr>
        <w:t>dwó</w:t>
      </w:r>
      <w:r w:rsidR="00181517" w:rsidRPr="00DD1DFA">
        <w:rPr>
          <w:noProof/>
        </w:rPr>
        <w:t>ch kierunkach: na niższym szczeblu od dystrybutorów do podmiotów gospodarczych zajmujących się ponownym użyciem</w:t>
      </w:r>
      <w:r w:rsidR="00DD1DFA" w:rsidRPr="00DD1DFA">
        <w:rPr>
          <w:noProof/>
        </w:rPr>
        <w:t xml:space="preserve"> i</w:t>
      </w:r>
      <w:r w:rsidR="00DD1DFA">
        <w:rPr>
          <w:noProof/>
        </w:rPr>
        <w:t> </w:t>
      </w:r>
      <w:r w:rsidR="00DD1DFA" w:rsidRPr="00DD1DFA">
        <w:rPr>
          <w:noProof/>
        </w:rPr>
        <w:t>reg</w:t>
      </w:r>
      <w:r w:rsidR="00181517" w:rsidRPr="00DD1DFA">
        <w:rPr>
          <w:noProof/>
        </w:rPr>
        <w:t>eneracją wyrobów budowlanych oraz na wyższym szczeblu od producenta do dostawców produktów pośrednich lub surowców. Co więcej, niektóre podmioty brane pod uwagę</w:t>
      </w:r>
      <w:r w:rsidR="00DD1DFA" w:rsidRPr="00DD1DFA">
        <w:rPr>
          <w:noProof/>
        </w:rPr>
        <w:t xml:space="preserve"> w</w:t>
      </w:r>
      <w:r w:rsidR="00DD1DFA">
        <w:rPr>
          <w:noProof/>
        </w:rPr>
        <w:t> </w:t>
      </w:r>
      <w:r w:rsidR="00DD1DFA" w:rsidRPr="00DD1DFA">
        <w:rPr>
          <w:noProof/>
        </w:rPr>
        <w:t>kon</w:t>
      </w:r>
      <w:r w:rsidR="00181517" w:rsidRPr="00DD1DFA">
        <w:rPr>
          <w:noProof/>
        </w:rPr>
        <w:t>tekście demontażu wyrobów używanych lub innych części obiektów budowlanych lub ich regeneracji</w:t>
      </w:r>
      <w:r w:rsidR="00DD1DFA" w:rsidRPr="00DD1DFA">
        <w:rPr>
          <w:noProof/>
        </w:rPr>
        <w:t xml:space="preserve"> i</w:t>
      </w:r>
      <w:r w:rsidR="00DD1DFA">
        <w:rPr>
          <w:noProof/>
        </w:rPr>
        <w:t> </w:t>
      </w:r>
      <w:r w:rsidR="00DD1DFA" w:rsidRPr="00DD1DFA">
        <w:rPr>
          <w:noProof/>
        </w:rPr>
        <w:t>pon</w:t>
      </w:r>
      <w:r w:rsidR="00181517" w:rsidRPr="00DD1DFA">
        <w:rPr>
          <w:noProof/>
        </w:rPr>
        <w:t>ownego użycia muszą przyczynić się do zapewnienia bezpiecznego drugiego życia wyrobów budowlanych.</w:t>
      </w:r>
    </w:p>
    <w:p w14:paraId="67C5643B" w14:textId="72745E1A" w:rsidR="00181517" w:rsidRPr="00DD1DFA" w:rsidRDefault="005F7EFA" w:rsidP="005F7EFA">
      <w:pPr>
        <w:pStyle w:val="ManualConsidrant"/>
        <w:rPr>
          <w:noProof/>
        </w:rPr>
      </w:pPr>
      <w:r w:rsidRPr="005F7EFA">
        <w:t>(8)</w:t>
      </w:r>
      <w:r w:rsidRPr="005F7EFA">
        <w:tab/>
      </w:r>
      <w:r w:rsidR="00705524" w:rsidRPr="00DD1DFA">
        <w:rPr>
          <w:noProof/>
        </w:rPr>
        <w:t>W celu zapewnienia bezpieczeństwa</w:t>
      </w:r>
      <w:r w:rsidR="00DD1DFA" w:rsidRPr="00DD1DFA">
        <w:rPr>
          <w:noProof/>
        </w:rPr>
        <w:t xml:space="preserve"> i</w:t>
      </w:r>
      <w:r w:rsidR="00DD1DFA">
        <w:rPr>
          <w:noProof/>
        </w:rPr>
        <w:t> </w:t>
      </w:r>
      <w:r w:rsidR="00DD1DFA" w:rsidRPr="00DD1DFA">
        <w:rPr>
          <w:noProof/>
        </w:rPr>
        <w:t>fun</w:t>
      </w:r>
      <w:r w:rsidR="00705524" w:rsidRPr="00DD1DFA">
        <w:rPr>
          <w:noProof/>
        </w:rPr>
        <w:t>kcjonalności wyrobów budowlanych,</w:t>
      </w:r>
      <w:r w:rsidR="00DD1DFA" w:rsidRPr="00DD1DFA">
        <w:rPr>
          <w:noProof/>
        </w:rPr>
        <w:t xml:space="preserve"> a</w:t>
      </w:r>
      <w:r w:rsidR="00DD1DFA">
        <w:rPr>
          <w:noProof/>
        </w:rPr>
        <w:t> </w:t>
      </w:r>
      <w:r w:rsidR="00DD1DFA" w:rsidRPr="00DD1DFA">
        <w:rPr>
          <w:noProof/>
        </w:rPr>
        <w:t>tym</w:t>
      </w:r>
      <w:r w:rsidR="00705524" w:rsidRPr="00DD1DFA">
        <w:rPr>
          <w:noProof/>
        </w:rPr>
        <w:t xml:space="preserve"> samym obiektów budowlanych, należy unikać wprowadzania do obrotu jako wyroby budowlane elementów, które nie zostały przewidziane przez ich producentów jako wyroby budowlane. Importerzy, dystrybutorzy</w:t>
      </w:r>
      <w:r w:rsidR="00DD1DFA" w:rsidRPr="00DD1DFA">
        <w:rPr>
          <w:noProof/>
        </w:rPr>
        <w:t xml:space="preserve"> i</w:t>
      </w:r>
      <w:r w:rsidR="00DD1DFA">
        <w:rPr>
          <w:noProof/>
        </w:rPr>
        <w:t> </w:t>
      </w:r>
      <w:r w:rsidR="00DD1DFA" w:rsidRPr="00DD1DFA">
        <w:rPr>
          <w:noProof/>
        </w:rPr>
        <w:t>inn</w:t>
      </w:r>
      <w:r w:rsidR="00705524" w:rsidRPr="00DD1DFA">
        <w:rPr>
          <w:noProof/>
        </w:rPr>
        <w:t>e podmioty gospodarcze działające na rynku niższego szczebla powinni zatem dopilnować, aby te pseudo wyroby budowlane nie były sprzedawane jako wyroby budowlane. Ponadto niektórzy usługodawcy, tacy jak dostawcy usług realizacji zamówień lub dostawcy usług drukowania przestrzennego, nie powinni przyczyniać się do naruszania przepisów przez inne podmioty gospodarcze</w:t>
      </w:r>
      <w:r w:rsidR="00DD1DFA" w:rsidRPr="00DD1DFA">
        <w:rPr>
          <w:noProof/>
        </w:rPr>
        <w:t>. W</w:t>
      </w:r>
      <w:r w:rsidR="00DD1DFA">
        <w:rPr>
          <w:noProof/>
        </w:rPr>
        <w:t> </w:t>
      </w:r>
      <w:r w:rsidR="00DD1DFA" w:rsidRPr="00DD1DFA">
        <w:rPr>
          <w:noProof/>
        </w:rPr>
        <w:t>zwi</w:t>
      </w:r>
      <w:r w:rsidR="00705524" w:rsidRPr="00DD1DFA">
        <w:rPr>
          <w:noProof/>
        </w:rPr>
        <w:t>ązku</w:t>
      </w:r>
      <w:r w:rsidR="00DD1DFA" w:rsidRPr="00DD1DFA">
        <w:rPr>
          <w:noProof/>
        </w:rPr>
        <w:t xml:space="preserve"> z</w:t>
      </w:r>
      <w:r w:rsidR="00DD1DFA">
        <w:rPr>
          <w:noProof/>
        </w:rPr>
        <w:t> </w:t>
      </w:r>
      <w:r w:rsidR="00DD1DFA" w:rsidRPr="00DD1DFA">
        <w:rPr>
          <w:noProof/>
        </w:rPr>
        <w:t>tym</w:t>
      </w:r>
      <w:r w:rsidR="00705524" w:rsidRPr="00DD1DFA">
        <w:rPr>
          <w:noProof/>
        </w:rPr>
        <w:t xml:space="preserve"> konieczne jest wprowadzenie odpowiednich przepisów mających zastosowanie również do tych usług</w:t>
      </w:r>
      <w:r w:rsidR="00DD1DFA" w:rsidRPr="00DD1DFA">
        <w:rPr>
          <w:noProof/>
        </w:rPr>
        <w:t xml:space="preserve"> i</w:t>
      </w:r>
      <w:r w:rsidR="00DD1DFA">
        <w:rPr>
          <w:noProof/>
        </w:rPr>
        <w:t> </w:t>
      </w:r>
      <w:r w:rsidR="00DD1DFA" w:rsidRPr="00DD1DFA">
        <w:rPr>
          <w:noProof/>
        </w:rPr>
        <w:t>ich</w:t>
      </w:r>
      <w:r w:rsidR="00705524" w:rsidRPr="00DD1DFA">
        <w:rPr>
          <w:noProof/>
        </w:rPr>
        <w:t xml:space="preserve"> dostawców.</w:t>
      </w:r>
    </w:p>
    <w:p w14:paraId="1AA32A4A" w14:textId="765693E3" w:rsidR="00181517" w:rsidRPr="00DD1DFA" w:rsidRDefault="005F7EFA" w:rsidP="005F7EFA">
      <w:pPr>
        <w:pStyle w:val="ManualConsidrant"/>
        <w:rPr>
          <w:noProof/>
        </w:rPr>
      </w:pPr>
      <w:r w:rsidRPr="005F7EFA">
        <w:t>(9)</w:t>
      </w:r>
      <w:r w:rsidRPr="005F7EFA">
        <w:tab/>
      </w:r>
      <w:r w:rsidR="00181517" w:rsidRPr="00DD1DFA">
        <w:rPr>
          <w:noProof/>
        </w:rPr>
        <w:t>Może zdarzyć się tak, że różne podmioty gospodarcze dostarczą zbiór danych 3D, maszynę lub formę do drukowania przestrzennego oraz materiał, który ma być</w:t>
      </w:r>
      <w:r w:rsidR="00DD1DFA" w:rsidRPr="00DD1DFA">
        <w:rPr>
          <w:noProof/>
        </w:rPr>
        <w:t xml:space="preserve"> w</w:t>
      </w:r>
      <w:r w:rsidR="00DD1DFA">
        <w:rPr>
          <w:noProof/>
        </w:rPr>
        <w:t> </w:t>
      </w:r>
      <w:r w:rsidR="00DD1DFA" w:rsidRPr="00DD1DFA">
        <w:rPr>
          <w:noProof/>
        </w:rPr>
        <w:t>nic</w:t>
      </w:r>
      <w:r w:rsidR="00181517" w:rsidRPr="00DD1DFA">
        <w:rPr>
          <w:noProof/>
        </w:rPr>
        <w:t>h wykorzystany, co doprowadzi do sytuacji,</w:t>
      </w:r>
      <w:r w:rsidR="00DD1DFA" w:rsidRPr="00DD1DFA">
        <w:rPr>
          <w:noProof/>
        </w:rPr>
        <w:t xml:space="preserve"> w</w:t>
      </w:r>
      <w:r w:rsidR="00DD1DFA">
        <w:rPr>
          <w:noProof/>
        </w:rPr>
        <w:t> </w:t>
      </w:r>
      <w:r w:rsidR="00DD1DFA" w:rsidRPr="00DD1DFA">
        <w:rPr>
          <w:noProof/>
        </w:rPr>
        <w:t>któ</w:t>
      </w:r>
      <w:r w:rsidR="00181517" w:rsidRPr="00DD1DFA">
        <w:rPr>
          <w:noProof/>
        </w:rPr>
        <w:t>rej żaden</w:t>
      </w:r>
      <w:r w:rsidR="00DD1DFA" w:rsidRPr="00DD1DFA">
        <w:rPr>
          <w:noProof/>
        </w:rPr>
        <w:t xml:space="preserve"> z</w:t>
      </w:r>
      <w:r w:rsidR="00DD1DFA">
        <w:rPr>
          <w:noProof/>
        </w:rPr>
        <w:t> </w:t>
      </w:r>
      <w:r w:rsidR="00DD1DFA" w:rsidRPr="00DD1DFA">
        <w:rPr>
          <w:noProof/>
        </w:rPr>
        <w:t>tyc</w:t>
      </w:r>
      <w:r w:rsidR="00181517" w:rsidRPr="00DD1DFA">
        <w:rPr>
          <w:noProof/>
        </w:rPr>
        <w:t>h podmiotów nie będzie odpowiedzialny za bezpieczeństwo</w:t>
      </w:r>
      <w:r w:rsidR="00DD1DFA" w:rsidRPr="00DD1DFA">
        <w:rPr>
          <w:noProof/>
        </w:rPr>
        <w:t xml:space="preserve"> i</w:t>
      </w:r>
      <w:r w:rsidR="00DD1DFA">
        <w:rPr>
          <w:noProof/>
        </w:rPr>
        <w:t> </w:t>
      </w:r>
      <w:r w:rsidR="00DD1DFA" w:rsidRPr="00DD1DFA">
        <w:rPr>
          <w:noProof/>
        </w:rPr>
        <w:t>odp</w:t>
      </w:r>
      <w:r w:rsidR="00181517" w:rsidRPr="00DD1DFA">
        <w:rPr>
          <w:noProof/>
        </w:rPr>
        <w:t>owiednią właściwość użytkową wyrobu wydrukowanego techniką drukowania przestrzennego. Aby uniknąć ewentualnego ryzyka dla bezpieczeństwa</w:t>
      </w:r>
      <w:r w:rsidR="00DD1DFA" w:rsidRPr="00DD1DFA">
        <w:rPr>
          <w:noProof/>
        </w:rPr>
        <w:t xml:space="preserve"> w</w:t>
      </w:r>
      <w:r w:rsidR="00DD1DFA">
        <w:rPr>
          <w:noProof/>
        </w:rPr>
        <w:t> </w:t>
      </w:r>
      <w:r w:rsidR="00DD1DFA" w:rsidRPr="00DD1DFA">
        <w:rPr>
          <w:noProof/>
        </w:rPr>
        <w:t>tym</w:t>
      </w:r>
      <w:r w:rsidR="00181517" w:rsidRPr="00DD1DFA">
        <w:rPr>
          <w:noProof/>
        </w:rPr>
        <w:t xml:space="preserve"> względzie, konieczne jest zatem ustanowienie przepisów dotyczących zbiorów danych 3D, materiałów przeznaczonych do wykorzystania</w:t>
      </w:r>
      <w:r w:rsidR="00DD1DFA" w:rsidRPr="00DD1DFA">
        <w:rPr>
          <w:noProof/>
        </w:rPr>
        <w:t xml:space="preserve"> w</w:t>
      </w:r>
      <w:r w:rsidR="00DD1DFA">
        <w:rPr>
          <w:noProof/>
        </w:rPr>
        <w:t> </w:t>
      </w:r>
      <w:r w:rsidR="00DD1DFA" w:rsidRPr="00DD1DFA">
        <w:rPr>
          <w:noProof/>
        </w:rPr>
        <w:t>dru</w:t>
      </w:r>
      <w:r w:rsidR="00181517" w:rsidRPr="00DD1DFA">
        <w:rPr>
          <w:noProof/>
        </w:rPr>
        <w:t>ku przestrzennym oraz usług drukowania przestrzennego, które umożliwiają drukowanie przestrzenne wyrobów budowlanych, tak aby podmioty gospodarcze, przestrzegając tych przepisów, wspólnie osiągnęły poziom bezpieczeństwa podobny do tego, jaki jest zapewniony</w:t>
      </w:r>
      <w:r w:rsidR="00DD1DFA" w:rsidRPr="00DD1DFA">
        <w:rPr>
          <w:noProof/>
        </w:rPr>
        <w:t xml:space="preserve"> w</w:t>
      </w:r>
      <w:r w:rsidR="00DD1DFA">
        <w:rPr>
          <w:noProof/>
        </w:rPr>
        <w:t> </w:t>
      </w:r>
      <w:r w:rsidR="00DD1DFA" w:rsidRPr="00DD1DFA">
        <w:rPr>
          <w:noProof/>
        </w:rPr>
        <w:t>prz</w:t>
      </w:r>
      <w:r w:rsidR="00181517" w:rsidRPr="00DD1DFA">
        <w:rPr>
          <w:noProof/>
        </w:rPr>
        <w:t>ypadku zwykłych wyrobów budowlanych.</w:t>
      </w:r>
    </w:p>
    <w:p w14:paraId="009A2038" w14:textId="5BCD843A" w:rsidR="00181517" w:rsidRPr="00DD1DFA" w:rsidRDefault="005F7EFA" w:rsidP="005F7EFA">
      <w:pPr>
        <w:pStyle w:val="ManualConsidrant"/>
        <w:rPr>
          <w:noProof/>
        </w:rPr>
      </w:pPr>
      <w:r w:rsidRPr="005F7EFA">
        <w:t>(10)</w:t>
      </w:r>
      <w:r w:rsidRPr="005F7EFA">
        <w:tab/>
      </w:r>
      <w:r w:rsidR="00181517" w:rsidRPr="00DD1DFA">
        <w:rPr>
          <w:noProof/>
        </w:rPr>
        <w:t>W celu zapewnienia bezpieczeństwa</w:t>
      </w:r>
      <w:r w:rsidR="00DD1DFA" w:rsidRPr="00DD1DFA">
        <w:rPr>
          <w:noProof/>
        </w:rPr>
        <w:t xml:space="preserve"> i</w:t>
      </w:r>
      <w:r w:rsidR="00DD1DFA">
        <w:rPr>
          <w:noProof/>
        </w:rPr>
        <w:t> </w:t>
      </w:r>
      <w:r w:rsidR="00DD1DFA" w:rsidRPr="00DD1DFA">
        <w:rPr>
          <w:noProof/>
        </w:rPr>
        <w:t>och</w:t>
      </w:r>
      <w:r w:rsidR="00181517" w:rsidRPr="00DD1DFA">
        <w:rPr>
          <w:noProof/>
        </w:rPr>
        <w:t>rony środowiska oraz wypełnienia luki regulacyjnej, która istniałaby</w:t>
      </w:r>
      <w:r w:rsidR="00DD1DFA" w:rsidRPr="00DD1DFA">
        <w:rPr>
          <w:noProof/>
        </w:rPr>
        <w:t xml:space="preserve"> w</w:t>
      </w:r>
      <w:r w:rsidR="00DD1DFA">
        <w:rPr>
          <w:noProof/>
        </w:rPr>
        <w:t> </w:t>
      </w:r>
      <w:r w:rsidR="00DD1DFA" w:rsidRPr="00DD1DFA">
        <w:rPr>
          <w:noProof/>
        </w:rPr>
        <w:t>prz</w:t>
      </w:r>
      <w:r w:rsidR="00181517" w:rsidRPr="00DD1DFA">
        <w:rPr>
          <w:noProof/>
        </w:rPr>
        <w:t>eciwnym razie, należy wyjaśnić, że wyroby budowlane produkowane na placu budowy</w:t>
      </w:r>
      <w:r w:rsidR="00DD1DFA" w:rsidRPr="00DD1DFA">
        <w:rPr>
          <w:noProof/>
        </w:rPr>
        <w:t xml:space="preserve"> w</w:t>
      </w:r>
      <w:r w:rsidR="00DD1DFA">
        <w:rPr>
          <w:noProof/>
        </w:rPr>
        <w:t> </w:t>
      </w:r>
      <w:r w:rsidR="00DD1DFA" w:rsidRPr="00DD1DFA">
        <w:rPr>
          <w:noProof/>
        </w:rPr>
        <w:t>cel</w:t>
      </w:r>
      <w:r w:rsidR="00181517" w:rsidRPr="00DD1DFA">
        <w:rPr>
          <w:noProof/>
        </w:rPr>
        <w:t>u ich natychmiastowego wbudowania</w:t>
      </w:r>
      <w:r w:rsidR="00DD1DFA" w:rsidRPr="00DD1DFA">
        <w:rPr>
          <w:noProof/>
        </w:rPr>
        <w:t xml:space="preserve"> w</w:t>
      </w:r>
      <w:r w:rsidR="00DD1DFA">
        <w:rPr>
          <w:noProof/>
        </w:rPr>
        <w:t> </w:t>
      </w:r>
      <w:r w:rsidR="00DD1DFA" w:rsidRPr="00DD1DFA">
        <w:rPr>
          <w:noProof/>
        </w:rPr>
        <w:t>obi</w:t>
      </w:r>
      <w:r w:rsidR="00181517" w:rsidRPr="00DD1DFA">
        <w:rPr>
          <w:noProof/>
        </w:rPr>
        <w:t>ektach budowlanych podlegają tym samym przepisom, co inne wyroby budowlane. Mikroprzedsiębiorstwa jednak często indywidualnie wytwarzają</w:t>
      </w:r>
      <w:r w:rsidR="00DD1DFA" w:rsidRPr="00DD1DFA">
        <w:rPr>
          <w:noProof/>
        </w:rPr>
        <w:t xml:space="preserve"> i</w:t>
      </w:r>
      <w:r w:rsidR="00DD1DFA">
        <w:rPr>
          <w:noProof/>
        </w:rPr>
        <w:t> </w:t>
      </w:r>
      <w:r w:rsidR="00DD1DFA" w:rsidRPr="00DD1DFA">
        <w:rPr>
          <w:noProof/>
        </w:rPr>
        <w:t>ins</w:t>
      </w:r>
      <w:r w:rsidR="00181517" w:rsidRPr="00DD1DFA">
        <w:rPr>
          <w:noProof/>
        </w:rPr>
        <w:t>talują wyroby na miejscu. Poddanie tych mikroprzedsiębiorstw</w:t>
      </w:r>
      <w:r w:rsidR="00DD1DFA" w:rsidRPr="00DD1DFA">
        <w:rPr>
          <w:noProof/>
        </w:rPr>
        <w:t xml:space="preserve"> w</w:t>
      </w:r>
      <w:r w:rsidR="00DD1DFA">
        <w:rPr>
          <w:noProof/>
        </w:rPr>
        <w:t> </w:t>
      </w:r>
      <w:r w:rsidR="00DD1DFA" w:rsidRPr="00DD1DFA">
        <w:rPr>
          <w:noProof/>
        </w:rPr>
        <w:t>każ</w:t>
      </w:r>
      <w:r w:rsidR="00181517" w:rsidRPr="00DD1DFA">
        <w:rPr>
          <w:noProof/>
        </w:rPr>
        <w:t>dych okolicznościach tym samym przepisom co innych przedsiębiorstw miałoby na nie niekorzystny wpływ</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konieczne jest umożliwienie państwom członkowskim zwolnienia mikroprzedsiębiorstw</w:t>
      </w:r>
      <w:r w:rsidR="00DD1DFA" w:rsidRPr="00DD1DFA">
        <w:rPr>
          <w:noProof/>
        </w:rPr>
        <w:t xml:space="preserve"> z</w:t>
      </w:r>
      <w:r w:rsidR="00DD1DFA">
        <w:rPr>
          <w:noProof/>
        </w:rPr>
        <w:t> </w:t>
      </w:r>
      <w:r w:rsidR="00DD1DFA" w:rsidRPr="00DD1DFA">
        <w:rPr>
          <w:noProof/>
        </w:rPr>
        <w:t>obo</w:t>
      </w:r>
      <w:r w:rsidR="00181517" w:rsidRPr="00DD1DFA">
        <w:rPr>
          <w:noProof/>
        </w:rPr>
        <w:t>wiązku sporządzania deklaracji właściwości użytkowych</w:t>
      </w:r>
      <w:r w:rsidR="00DD1DFA" w:rsidRPr="00DD1DFA">
        <w:rPr>
          <w:noProof/>
        </w:rPr>
        <w:t xml:space="preserve"> w</w:t>
      </w:r>
      <w:r w:rsidR="00DD1DFA">
        <w:rPr>
          <w:noProof/>
        </w:rPr>
        <w:t> </w:t>
      </w:r>
      <w:r w:rsidR="00DD1DFA" w:rsidRPr="00DD1DFA">
        <w:rPr>
          <w:noProof/>
        </w:rPr>
        <w:t>okr</w:t>
      </w:r>
      <w:r w:rsidR="00181517" w:rsidRPr="00DD1DFA">
        <w:rPr>
          <w:noProof/>
        </w:rPr>
        <w:t>eślonych sytuacjach, gdy nie narusza to interesów innych państw członkowskich.</w:t>
      </w:r>
    </w:p>
    <w:p w14:paraId="33D2B4D3" w14:textId="710EB1F2" w:rsidR="00181517" w:rsidRPr="00DD1DFA" w:rsidRDefault="005F7EFA" w:rsidP="005F7EFA">
      <w:pPr>
        <w:pStyle w:val="ManualConsidrant"/>
        <w:rPr>
          <w:noProof/>
        </w:rPr>
      </w:pPr>
      <w:r w:rsidRPr="005F7EFA">
        <w:t>(11)</w:t>
      </w:r>
      <w:r w:rsidRPr="005F7EFA">
        <w:tab/>
      </w:r>
      <w:r w:rsidR="00A6681C" w:rsidRPr="00DD1DFA">
        <w:rPr>
          <w:noProof/>
        </w:rPr>
        <w:t>Zapewnienie swobodnego przepływu zestawów lub zespołów wyrobów budowlanych na rynku wewnętrznym przyniesie wymierne korzyści, zwłaszcza obywatelom, konsumentom</w:t>
      </w:r>
      <w:r w:rsidR="00DD1DFA" w:rsidRPr="00DD1DFA">
        <w:rPr>
          <w:noProof/>
        </w:rPr>
        <w:t xml:space="preserve"> i</w:t>
      </w:r>
      <w:r w:rsidR="00DD1DFA">
        <w:rPr>
          <w:noProof/>
        </w:rPr>
        <w:t> </w:t>
      </w:r>
      <w:r w:rsidR="00DD1DFA" w:rsidRPr="00DD1DFA">
        <w:rPr>
          <w:noProof/>
        </w:rPr>
        <w:t>prz</w:t>
      </w:r>
      <w:r w:rsidR="00A6681C" w:rsidRPr="00DD1DFA">
        <w:rPr>
          <w:noProof/>
        </w:rPr>
        <w:t>edsiębiorstwom. Ze względu na pewność prawa ich skład powinien być jednak dokładnie określony</w:t>
      </w:r>
      <w:r w:rsidR="00DD1DFA" w:rsidRPr="00DD1DFA">
        <w:rPr>
          <w:noProof/>
        </w:rPr>
        <w:t xml:space="preserve"> w</w:t>
      </w:r>
      <w:r w:rsidR="00DD1DFA">
        <w:rPr>
          <w:noProof/>
        </w:rPr>
        <w:t> </w:t>
      </w:r>
      <w:r w:rsidR="00DD1DFA" w:rsidRPr="00DD1DFA">
        <w:rPr>
          <w:noProof/>
        </w:rPr>
        <w:t>zha</w:t>
      </w:r>
      <w:r w:rsidR="00A6681C" w:rsidRPr="00DD1DFA">
        <w:rPr>
          <w:noProof/>
        </w:rPr>
        <w:t>rmonizowanych specyfikacjach technicznych lub europejskich dokumentach oceny.</w:t>
      </w:r>
    </w:p>
    <w:p w14:paraId="356FCA23" w14:textId="7E49D21E" w:rsidR="00181517" w:rsidRPr="00DD1DFA" w:rsidRDefault="005F7EFA" w:rsidP="005F7EFA">
      <w:pPr>
        <w:pStyle w:val="ManualConsidrant"/>
        <w:rPr>
          <w:noProof/>
        </w:rPr>
      </w:pPr>
      <w:r w:rsidRPr="005F7EFA">
        <w:t>(12)</w:t>
      </w:r>
      <w:r w:rsidRPr="005F7EFA">
        <w:tab/>
      </w:r>
      <w:r w:rsidR="00181517" w:rsidRPr="00DD1DFA">
        <w:rPr>
          <w:noProof/>
        </w:rPr>
        <w:t>Stworzenie unijnego rynku małych prefabrykowanych domów jednorodzinnych może potencjalnie obniżyć ceny nieruchomości mieszkalnych</w:t>
      </w:r>
      <w:r w:rsidR="00DD1DFA" w:rsidRPr="00DD1DFA">
        <w:rPr>
          <w:noProof/>
        </w:rPr>
        <w:t xml:space="preserve"> i</w:t>
      </w:r>
      <w:r w:rsidR="00DD1DFA">
        <w:rPr>
          <w:noProof/>
        </w:rPr>
        <w:t> </w:t>
      </w:r>
      <w:r w:rsidR="00DD1DFA" w:rsidRPr="00DD1DFA">
        <w:rPr>
          <w:noProof/>
        </w:rPr>
        <w:t>prz</w:t>
      </w:r>
      <w:r w:rsidR="00181517" w:rsidRPr="00DD1DFA">
        <w:rPr>
          <w:noProof/>
        </w:rPr>
        <w:t>ynieść pozytywne skutki społeczne</w:t>
      </w:r>
      <w:r w:rsidR="00DD1DFA" w:rsidRPr="00DD1DFA">
        <w:rPr>
          <w:noProof/>
        </w:rPr>
        <w:t xml:space="preserve"> i</w:t>
      </w:r>
      <w:r w:rsidR="00DD1DFA">
        <w:rPr>
          <w:noProof/>
        </w:rPr>
        <w:t> </w:t>
      </w:r>
      <w:r w:rsidR="00DD1DFA" w:rsidRPr="00DD1DFA">
        <w:rPr>
          <w:noProof/>
        </w:rPr>
        <w:t>gos</w:t>
      </w:r>
      <w:r w:rsidR="00181517" w:rsidRPr="00DD1DFA">
        <w:rPr>
          <w:noProof/>
        </w:rPr>
        <w:t>podarcze. Priorytetem pozostaje uczciwość wobec konsumentów,</w:t>
      </w:r>
      <w:r w:rsidR="00DD1DFA" w:rsidRPr="00DD1DFA">
        <w:rPr>
          <w:noProof/>
        </w:rPr>
        <w:t xml:space="preserve"> w</w:t>
      </w:r>
      <w:r w:rsidR="00DD1DFA">
        <w:rPr>
          <w:noProof/>
        </w:rPr>
        <w:t> </w:t>
      </w:r>
      <w:r w:rsidR="00DD1DFA" w:rsidRPr="00DD1DFA">
        <w:rPr>
          <w:noProof/>
        </w:rPr>
        <w:t>szc</w:t>
      </w:r>
      <w:r w:rsidR="00181517" w:rsidRPr="00DD1DFA">
        <w:rPr>
          <w:noProof/>
        </w:rPr>
        <w:t>zególności m.in. zapewnienie przystępności cenowej nieruchomości mieszkalnych</w:t>
      </w:r>
      <w:r w:rsidR="00DD1DFA" w:rsidRPr="00DD1DFA">
        <w:rPr>
          <w:noProof/>
        </w:rPr>
        <w:t xml:space="preserve"> w</w:t>
      </w:r>
      <w:r w:rsidR="00DD1DFA">
        <w:rPr>
          <w:noProof/>
        </w:rPr>
        <w:t> </w:t>
      </w:r>
      <w:r w:rsidR="00DD1DFA" w:rsidRPr="00DD1DFA">
        <w:rPr>
          <w:noProof/>
        </w:rPr>
        <w:t>kon</w:t>
      </w:r>
      <w:r w:rsidR="00181517" w:rsidRPr="00DD1DFA">
        <w:rPr>
          <w:noProof/>
        </w:rPr>
        <w:t>tekście transformacji ekologicznej, zgodnie</w:t>
      </w:r>
      <w:r w:rsidR="00DD1DFA" w:rsidRPr="00DD1DFA">
        <w:rPr>
          <w:noProof/>
        </w:rPr>
        <w:t xml:space="preserve"> z</w:t>
      </w:r>
      <w:r w:rsidR="00DD1DFA">
        <w:rPr>
          <w:noProof/>
        </w:rPr>
        <w:t> </w:t>
      </w:r>
      <w:r w:rsidR="00DD1DFA" w:rsidRPr="00DD1DFA">
        <w:rPr>
          <w:noProof/>
        </w:rPr>
        <w:t>wni</w:t>
      </w:r>
      <w:r w:rsidR="00181517" w:rsidRPr="00DD1DFA">
        <w:rPr>
          <w:noProof/>
        </w:rPr>
        <w:t>oskiem dotyczącym zalecenia Rady</w:t>
      </w:r>
      <w:r w:rsidR="00DD1DFA" w:rsidRPr="00DD1DFA">
        <w:rPr>
          <w:noProof/>
        </w:rPr>
        <w:t xml:space="preserve"> w</w:t>
      </w:r>
      <w:r w:rsidR="00DD1DFA">
        <w:rPr>
          <w:noProof/>
        </w:rPr>
        <w:t> </w:t>
      </w:r>
      <w:r w:rsidR="00DD1DFA" w:rsidRPr="00DD1DFA">
        <w:rPr>
          <w:noProof/>
        </w:rPr>
        <w:t>spr</w:t>
      </w:r>
      <w:r w:rsidR="00181517" w:rsidRPr="00DD1DFA">
        <w:rPr>
          <w:noProof/>
        </w:rPr>
        <w:t>awie zapewnienia sprawiedliwej transformacji</w:t>
      </w:r>
      <w:r w:rsidR="00DD1DFA" w:rsidRPr="00DD1DFA">
        <w:rPr>
          <w:noProof/>
        </w:rPr>
        <w:t xml:space="preserve"> w</w:t>
      </w:r>
      <w:r w:rsidR="00DD1DFA">
        <w:rPr>
          <w:noProof/>
        </w:rPr>
        <w:t> </w:t>
      </w:r>
      <w:r w:rsidR="00DD1DFA" w:rsidRPr="00DD1DFA">
        <w:rPr>
          <w:noProof/>
        </w:rPr>
        <w:t>kie</w:t>
      </w:r>
      <w:r w:rsidR="00181517" w:rsidRPr="00DD1DFA">
        <w:rPr>
          <w:noProof/>
        </w:rPr>
        <w:t>runku neutralności klimatycznej</w:t>
      </w:r>
      <w:r w:rsidR="00181517" w:rsidRPr="00DD1DFA">
        <w:rPr>
          <w:rStyle w:val="Odwoanieprzypisudolnego"/>
          <w:noProof/>
        </w:rPr>
        <w:footnoteReference w:id="40"/>
      </w:r>
      <w:r w:rsidR="00181517" w:rsidRPr="00DD1DFA">
        <w:rPr>
          <w:noProof/>
        </w:rPr>
        <w:t>,</w:t>
      </w:r>
      <w:r w:rsidR="00DD1DFA" w:rsidRPr="00DD1DFA">
        <w:rPr>
          <w:noProof/>
        </w:rPr>
        <w:t xml:space="preserve"> w</w:t>
      </w:r>
      <w:r w:rsidR="00DD1DFA">
        <w:rPr>
          <w:noProof/>
        </w:rPr>
        <w:t> </w:t>
      </w:r>
      <w:r w:rsidR="00DD1DFA" w:rsidRPr="00DD1DFA">
        <w:rPr>
          <w:noProof/>
        </w:rPr>
        <w:t>szc</w:t>
      </w:r>
      <w:r w:rsidR="00181517" w:rsidRPr="00DD1DFA">
        <w:rPr>
          <w:noProof/>
        </w:rPr>
        <w:t>zególności</w:t>
      </w:r>
      <w:r w:rsidR="00DD1DFA" w:rsidRPr="00DD1DFA">
        <w:rPr>
          <w:noProof/>
        </w:rPr>
        <w:t xml:space="preserve"> z</w:t>
      </w:r>
      <w:r w:rsidR="00DD1DFA">
        <w:rPr>
          <w:noProof/>
        </w:rPr>
        <w:t> </w:t>
      </w:r>
      <w:r w:rsidR="00DD1DFA" w:rsidRPr="00DD1DFA">
        <w:rPr>
          <w:noProof/>
        </w:rPr>
        <w:t>zal</w:t>
      </w:r>
      <w:r w:rsidR="00181517" w:rsidRPr="00DD1DFA">
        <w:rPr>
          <w:noProof/>
        </w:rPr>
        <w:t>eceniami 7 a)–c). Konieczne jest zatem ustanowienie zharmonizowanych zasad dotyczących takich małych domów. Małe domy są jednak również obiektami budowlanymi, które podlegają kompetencji państw członkowskich</w:t>
      </w:r>
      <w:r w:rsidR="00DD1DFA" w:rsidRPr="00DD1DFA">
        <w:rPr>
          <w:noProof/>
        </w:rPr>
        <w:t>. Z</w:t>
      </w:r>
      <w:r w:rsidR="00DD1DFA">
        <w:rPr>
          <w:noProof/>
        </w:rPr>
        <w:t> </w:t>
      </w:r>
      <w:r w:rsidR="00DD1DFA" w:rsidRPr="00DD1DFA">
        <w:rPr>
          <w:noProof/>
        </w:rPr>
        <w:t>uwa</w:t>
      </w:r>
      <w:r w:rsidR="00181517" w:rsidRPr="00DD1DFA">
        <w:rPr>
          <w:noProof/>
        </w:rPr>
        <w:t>gi na fakt, że łączne uwzględnienie wszystkich wymogów krajowych dotyczących małych prefabrykowanych domów jednorodzinnych</w:t>
      </w:r>
      <w:r w:rsidR="00DD1DFA" w:rsidRPr="00DD1DFA">
        <w:rPr>
          <w:noProof/>
        </w:rPr>
        <w:t xml:space="preserve"> w</w:t>
      </w:r>
      <w:r w:rsidR="00DD1DFA">
        <w:rPr>
          <w:noProof/>
        </w:rPr>
        <w:t> </w:t>
      </w:r>
      <w:r w:rsidR="00DD1DFA" w:rsidRPr="00DD1DFA">
        <w:rPr>
          <w:noProof/>
        </w:rPr>
        <w:t>prz</w:t>
      </w:r>
      <w:r w:rsidR="00181517" w:rsidRPr="00DD1DFA">
        <w:rPr>
          <w:noProof/>
        </w:rPr>
        <w:t>yszłych zharmonizowanych specyfikacjach technicznych może okazać się niemożliwe, państwa członkowskie powinny być uprawnione do odstąpienia od stosowania przepisów, które mają mieć zastosowanie do tych prefabrykowanych domów jednorodzinnych.</w:t>
      </w:r>
    </w:p>
    <w:p w14:paraId="1CAA6AA2" w14:textId="32338A35" w:rsidR="00181517" w:rsidRPr="00DD1DFA" w:rsidRDefault="005F7EFA" w:rsidP="005F7EFA">
      <w:pPr>
        <w:pStyle w:val="ManualConsidrant"/>
        <w:rPr>
          <w:noProof/>
        </w:rPr>
      </w:pPr>
      <w:r w:rsidRPr="005F7EFA">
        <w:t>(13)</w:t>
      </w:r>
      <w:r w:rsidRPr="005F7EFA">
        <w:tab/>
      </w:r>
      <w:r w:rsidR="00181517" w:rsidRPr="00DD1DFA">
        <w:rPr>
          <w:noProof/>
        </w:rPr>
        <w:t>Zgodność wyrobów budowlanych</w:t>
      </w:r>
      <w:r w:rsidR="00DD1DFA" w:rsidRPr="00DD1DFA">
        <w:rPr>
          <w:noProof/>
        </w:rPr>
        <w:t xml:space="preserve"> z</w:t>
      </w:r>
      <w:r w:rsidR="00DD1DFA">
        <w:rPr>
          <w:noProof/>
        </w:rPr>
        <w:t> </w:t>
      </w:r>
      <w:r w:rsidR="00DD1DFA" w:rsidRPr="00DD1DFA">
        <w:rPr>
          <w:noProof/>
        </w:rPr>
        <w:t>prz</w:t>
      </w:r>
      <w:r w:rsidR="00181517" w:rsidRPr="00DD1DFA">
        <w:rPr>
          <w:noProof/>
        </w:rPr>
        <w:t>episami Unii często zależy od zgodności ich części kluczowych</w:t>
      </w:r>
      <w:r w:rsidR="00DD1DFA" w:rsidRPr="00DD1DFA">
        <w:rPr>
          <w:noProof/>
        </w:rPr>
        <w:t xml:space="preserve"> z</w:t>
      </w:r>
      <w:r w:rsidR="00DD1DFA">
        <w:rPr>
          <w:noProof/>
        </w:rPr>
        <w:t> </w:t>
      </w:r>
      <w:r w:rsidR="00DD1DFA" w:rsidRPr="00DD1DFA">
        <w:rPr>
          <w:noProof/>
        </w:rPr>
        <w:t>tym</w:t>
      </w:r>
      <w:r w:rsidR="00181517" w:rsidRPr="00DD1DFA">
        <w:rPr>
          <w:noProof/>
        </w:rPr>
        <w:t>i przepisami</w:t>
      </w:r>
      <w:r w:rsidR="00DD1DFA" w:rsidRPr="00DD1DFA">
        <w:rPr>
          <w:noProof/>
        </w:rPr>
        <w:t>. Z</w:t>
      </w:r>
      <w:r w:rsidR="00DD1DFA">
        <w:rPr>
          <w:noProof/>
        </w:rPr>
        <w:t> </w:t>
      </w:r>
      <w:r w:rsidR="00DD1DFA" w:rsidRPr="00DD1DFA">
        <w:rPr>
          <w:noProof/>
        </w:rPr>
        <w:t>uwa</w:t>
      </w:r>
      <w:r w:rsidR="00181517" w:rsidRPr="00DD1DFA">
        <w:rPr>
          <w:noProof/>
        </w:rPr>
        <w:t>gi jednak na fakt, że części kluczowe są często wbudowywane</w:t>
      </w:r>
      <w:r w:rsidR="00DD1DFA" w:rsidRPr="00DD1DFA">
        <w:rPr>
          <w:noProof/>
        </w:rPr>
        <w:t xml:space="preserve"> w</w:t>
      </w:r>
      <w:r w:rsidR="00DD1DFA">
        <w:rPr>
          <w:noProof/>
        </w:rPr>
        <w:t> </w:t>
      </w:r>
      <w:r w:rsidR="00DD1DFA" w:rsidRPr="00DD1DFA">
        <w:rPr>
          <w:noProof/>
        </w:rPr>
        <w:t>róż</w:t>
      </w:r>
      <w:r w:rsidR="00181517" w:rsidRPr="00DD1DFA">
        <w:rPr>
          <w:noProof/>
        </w:rPr>
        <w:t>ne wyroby budowlane, ochronę bezpieczeństwa</w:t>
      </w:r>
      <w:r w:rsidR="00DD1DFA" w:rsidRPr="00DD1DFA">
        <w:rPr>
          <w:noProof/>
        </w:rPr>
        <w:t xml:space="preserve"> i</w:t>
      </w:r>
      <w:r w:rsidR="00DD1DFA">
        <w:rPr>
          <w:noProof/>
        </w:rPr>
        <w:t> </w:t>
      </w:r>
      <w:r w:rsidR="00DD1DFA" w:rsidRPr="00DD1DFA">
        <w:rPr>
          <w:noProof/>
        </w:rPr>
        <w:t>śro</w:t>
      </w:r>
      <w:r w:rsidR="00181517" w:rsidRPr="00DD1DFA">
        <w:rPr>
          <w:noProof/>
        </w:rPr>
        <w:t>dowiska,</w:t>
      </w:r>
      <w:r w:rsidR="00DD1DFA" w:rsidRPr="00DD1DFA">
        <w:rPr>
          <w:noProof/>
        </w:rPr>
        <w:t xml:space="preserve"> w</w:t>
      </w:r>
      <w:r w:rsidR="00DD1DFA">
        <w:rPr>
          <w:noProof/>
        </w:rPr>
        <w:t> </w:t>
      </w:r>
      <w:r w:rsidR="00DD1DFA" w:rsidRPr="00DD1DFA">
        <w:rPr>
          <w:noProof/>
        </w:rPr>
        <w:t>tym</w:t>
      </w:r>
      <w:r w:rsidR="00181517" w:rsidRPr="00DD1DFA">
        <w:rPr>
          <w:noProof/>
        </w:rPr>
        <w:t xml:space="preserve"> klimatu, można skuteczniej zapewnić, gdy te części kluczowe są poddawane ocenie na wyższym szczeblu, tj. gdy właściwości użytkowe</w:t>
      </w:r>
      <w:r w:rsidR="00DD1DFA" w:rsidRPr="00DD1DFA">
        <w:rPr>
          <w:noProof/>
        </w:rPr>
        <w:t xml:space="preserve"> i</w:t>
      </w:r>
      <w:r w:rsidR="00DD1DFA">
        <w:rPr>
          <w:noProof/>
        </w:rPr>
        <w:t> </w:t>
      </w:r>
      <w:r w:rsidR="00DD1DFA" w:rsidRPr="00DD1DFA">
        <w:rPr>
          <w:noProof/>
        </w:rPr>
        <w:t>zgo</w:t>
      </w:r>
      <w:r w:rsidR="00181517" w:rsidRPr="00DD1DFA">
        <w:rPr>
          <w:noProof/>
        </w:rPr>
        <w:t>dność kluczowych części są poddawane ocenie na wcześniejszym etapie</w:t>
      </w:r>
      <w:r w:rsidR="00DD1DFA" w:rsidRPr="00DD1DFA">
        <w:rPr>
          <w:noProof/>
        </w:rPr>
        <w:t xml:space="preserve"> i</w:t>
      </w:r>
      <w:r w:rsidR="00DD1DFA">
        <w:rPr>
          <w:noProof/>
        </w:rPr>
        <w:t> </w:t>
      </w:r>
      <w:r w:rsidR="00DD1DFA" w:rsidRPr="00DD1DFA">
        <w:rPr>
          <w:noProof/>
        </w:rPr>
        <w:t>nie</w:t>
      </w:r>
      <w:r w:rsidR="00181517" w:rsidRPr="00DD1DFA">
        <w:rPr>
          <w:noProof/>
        </w:rPr>
        <w:t>zależnie od oceny końcowego wyrobu budowlanego,</w:t>
      </w:r>
      <w:r w:rsidR="00DD1DFA" w:rsidRPr="00DD1DFA">
        <w:rPr>
          <w:noProof/>
        </w:rPr>
        <w:t xml:space="preserve"> w</w:t>
      </w:r>
      <w:r w:rsidR="00DD1DFA">
        <w:rPr>
          <w:noProof/>
        </w:rPr>
        <w:t> </w:t>
      </w:r>
      <w:r w:rsidR="00DD1DFA" w:rsidRPr="00DD1DFA">
        <w:rPr>
          <w:noProof/>
        </w:rPr>
        <w:t>któ</w:t>
      </w:r>
      <w:r w:rsidR="00181517" w:rsidRPr="00DD1DFA">
        <w:rPr>
          <w:noProof/>
        </w:rPr>
        <w:t>rym są wbudowywane. Nadzór rynku staje się również bardziej skuteczny, gdy można zidentyfikować</w:t>
      </w:r>
      <w:r w:rsidR="00DD1DFA" w:rsidRPr="00DD1DFA">
        <w:rPr>
          <w:noProof/>
        </w:rPr>
        <w:t xml:space="preserve"> i</w:t>
      </w:r>
      <w:r w:rsidR="00DD1DFA">
        <w:rPr>
          <w:noProof/>
        </w:rPr>
        <w:t> </w:t>
      </w:r>
      <w:r w:rsidR="00DD1DFA" w:rsidRPr="00DD1DFA">
        <w:rPr>
          <w:noProof/>
        </w:rPr>
        <w:t>nam</w:t>
      </w:r>
      <w:r w:rsidR="00181517" w:rsidRPr="00DD1DFA">
        <w:rPr>
          <w:noProof/>
        </w:rPr>
        <w:t>ierzyć części kluczowe niezgodne</w:t>
      </w:r>
      <w:r w:rsidR="00DD1DFA" w:rsidRPr="00DD1DFA">
        <w:rPr>
          <w:noProof/>
        </w:rPr>
        <w:t xml:space="preserve"> z</w:t>
      </w:r>
      <w:r w:rsidR="00DD1DFA">
        <w:rPr>
          <w:noProof/>
        </w:rPr>
        <w:t> </w:t>
      </w:r>
      <w:r w:rsidR="00DD1DFA" w:rsidRPr="00DD1DFA">
        <w:rPr>
          <w:noProof/>
        </w:rPr>
        <w:t>wym</w:t>
      </w:r>
      <w:r w:rsidR="00181517" w:rsidRPr="00DD1DFA">
        <w:rPr>
          <w:noProof/>
        </w:rPr>
        <w:t>aganiami</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konieczne jest ustanowienie przepisów mających zastosowanie do części kluczowych wyrobów budowlanych.</w:t>
      </w:r>
    </w:p>
    <w:p w14:paraId="50C996C7" w14:textId="6D9CC4B7" w:rsidR="00181517" w:rsidRPr="00DD1DFA" w:rsidRDefault="005F7EFA" w:rsidP="005F7EFA">
      <w:pPr>
        <w:pStyle w:val="ManualConsidrant"/>
        <w:rPr>
          <w:noProof/>
        </w:rPr>
      </w:pPr>
      <w:r w:rsidRPr="005F7EFA">
        <w:t>(14)</w:t>
      </w:r>
      <w:r w:rsidRPr="005F7EFA">
        <w:tab/>
      </w:r>
      <w:r w:rsidR="00544916" w:rsidRPr="00DD1DFA">
        <w:rPr>
          <w:noProof/>
        </w:rPr>
        <w:t>Wyroby budowlane, które zostały wcześniej poddane ocenie i są ponownie użyte, nie powinny podlegać przepisom mającym zastosowanie do nowych wyrobów budowlanych. Używane wyroby budowlane, które nigdy wcześniej nie były wprowadzane do obrotu</w:t>
      </w:r>
      <w:r w:rsidR="00DD1DFA" w:rsidRPr="00DD1DFA">
        <w:rPr>
          <w:noProof/>
        </w:rPr>
        <w:t xml:space="preserve"> w</w:t>
      </w:r>
      <w:r w:rsidR="00DD1DFA">
        <w:rPr>
          <w:noProof/>
        </w:rPr>
        <w:t> </w:t>
      </w:r>
      <w:r w:rsidR="00DD1DFA" w:rsidRPr="00DD1DFA">
        <w:rPr>
          <w:noProof/>
        </w:rPr>
        <w:t>Uni</w:t>
      </w:r>
      <w:r w:rsidR="00544916" w:rsidRPr="00DD1DFA">
        <w:rPr>
          <w:noProof/>
        </w:rPr>
        <w:t>i, powinny jednak podlegać takim samym przepisom jak nowe wyroby budowlane,</w:t>
      </w:r>
      <w:r w:rsidR="00DD1DFA" w:rsidRPr="00DD1DFA">
        <w:rPr>
          <w:noProof/>
        </w:rPr>
        <w:t xml:space="preserve"> z</w:t>
      </w:r>
      <w:r w:rsidR="00DD1DFA">
        <w:rPr>
          <w:noProof/>
        </w:rPr>
        <w:t> </w:t>
      </w:r>
      <w:r w:rsidR="00DD1DFA" w:rsidRPr="00DD1DFA">
        <w:rPr>
          <w:noProof/>
        </w:rPr>
        <w:t>uwa</w:t>
      </w:r>
      <w:r w:rsidR="00544916" w:rsidRPr="00DD1DFA">
        <w:rPr>
          <w:noProof/>
        </w:rPr>
        <w:t>gi na fakt, że wyroby te nigdy nie zostały poddane ocenie.</w:t>
      </w:r>
    </w:p>
    <w:p w14:paraId="60AA2689" w14:textId="67F64408" w:rsidR="00181517" w:rsidRPr="00DD1DFA" w:rsidRDefault="005F7EFA" w:rsidP="005F7EFA">
      <w:pPr>
        <w:pStyle w:val="ManualConsidrant"/>
        <w:rPr>
          <w:noProof/>
        </w:rPr>
      </w:pPr>
      <w:r w:rsidRPr="005F7EFA">
        <w:t>(15)</w:t>
      </w:r>
      <w:r w:rsidRPr="005F7EFA">
        <w:tab/>
      </w:r>
      <w:r w:rsidR="00232AA9" w:rsidRPr="00DD1DFA">
        <w:rPr>
          <w:noProof/>
        </w:rPr>
        <w:t>Aby zapewnić ochronę bezpieczeństwa</w:t>
      </w:r>
      <w:r w:rsidR="00DD1DFA" w:rsidRPr="00DD1DFA">
        <w:rPr>
          <w:noProof/>
        </w:rPr>
        <w:t xml:space="preserve"> i</w:t>
      </w:r>
      <w:r w:rsidR="00DD1DFA">
        <w:rPr>
          <w:noProof/>
        </w:rPr>
        <w:t> </w:t>
      </w:r>
      <w:r w:rsidR="00DD1DFA" w:rsidRPr="00DD1DFA">
        <w:rPr>
          <w:noProof/>
        </w:rPr>
        <w:t>fun</w:t>
      </w:r>
      <w:r w:rsidR="00232AA9" w:rsidRPr="00DD1DFA">
        <w:rPr>
          <w:noProof/>
        </w:rPr>
        <w:t>kcjonalności wyrobów budowlanych, zasady mające zastosowanie do nowych wyrobów budowlanych powinny mieć również zastosowanie do używanych wyrobów budowlanych,</w:t>
      </w:r>
      <w:r w:rsidR="00DD1DFA" w:rsidRPr="00DD1DFA">
        <w:rPr>
          <w:noProof/>
        </w:rPr>
        <w:t xml:space="preserve"> w</w:t>
      </w:r>
      <w:r w:rsidR="00DD1DFA">
        <w:rPr>
          <w:noProof/>
        </w:rPr>
        <w:t> </w:t>
      </w:r>
      <w:r w:rsidR="00DD1DFA" w:rsidRPr="00DD1DFA">
        <w:rPr>
          <w:noProof/>
        </w:rPr>
        <w:t>prz</w:t>
      </w:r>
      <w:r w:rsidR="00232AA9" w:rsidRPr="00DD1DFA">
        <w:rPr>
          <w:noProof/>
        </w:rPr>
        <w:t>ypadku których następuje zmiana zamierzonego zastosowania,</w:t>
      </w:r>
      <w:r w:rsidR="00DD1DFA" w:rsidRPr="00DD1DFA">
        <w:rPr>
          <w:noProof/>
        </w:rPr>
        <w:t xml:space="preserve"> z</w:t>
      </w:r>
      <w:r w:rsidR="00DD1DFA">
        <w:rPr>
          <w:noProof/>
        </w:rPr>
        <w:t> </w:t>
      </w:r>
      <w:r w:rsidR="00DD1DFA" w:rsidRPr="00DD1DFA">
        <w:rPr>
          <w:noProof/>
        </w:rPr>
        <w:t>wyj</w:t>
      </w:r>
      <w:r w:rsidR="00232AA9" w:rsidRPr="00DD1DFA">
        <w:rPr>
          <w:noProof/>
        </w:rPr>
        <w:t>ątkiem zastosowania do celów dekoracyjnych, do używanych wyrobów budowlanych</w:t>
      </w:r>
      <w:r w:rsidR="00DD1DFA" w:rsidRPr="00DD1DFA">
        <w:rPr>
          <w:noProof/>
        </w:rPr>
        <w:t xml:space="preserve"> o</w:t>
      </w:r>
      <w:r w:rsidR="00DD1DFA">
        <w:rPr>
          <w:noProof/>
        </w:rPr>
        <w:t> </w:t>
      </w:r>
      <w:r w:rsidR="00DD1DFA" w:rsidRPr="00DD1DFA">
        <w:rPr>
          <w:noProof/>
        </w:rPr>
        <w:t>nie</w:t>
      </w:r>
      <w:r w:rsidR="00232AA9" w:rsidRPr="00DD1DFA">
        <w:rPr>
          <w:noProof/>
        </w:rPr>
        <w:t>jasnym pierwotnym zamierzonym zastosowaniu, do używanych wyrobów budowlanych, które zostały poddane istotnemu procesowi przekształcenia oraz do używanych wyrobów budowlanych,</w:t>
      </w:r>
      <w:r w:rsidR="00DD1DFA" w:rsidRPr="00DD1DFA">
        <w:rPr>
          <w:noProof/>
        </w:rPr>
        <w:t xml:space="preserve"> w</w:t>
      </w:r>
      <w:r w:rsidR="00DD1DFA">
        <w:rPr>
          <w:noProof/>
        </w:rPr>
        <w:t> </w:t>
      </w:r>
      <w:r w:rsidR="00DD1DFA" w:rsidRPr="00DD1DFA">
        <w:rPr>
          <w:noProof/>
        </w:rPr>
        <w:t>prz</w:t>
      </w:r>
      <w:r w:rsidR="00232AA9" w:rsidRPr="00DD1DFA">
        <w:rPr>
          <w:noProof/>
        </w:rPr>
        <w:t>ypadku których podmiot gospodarczy deklaruje dodatkowe właściwości lub spełnienie wymogów dotyczących wyrobów.</w:t>
      </w:r>
    </w:p>
    <w:p w14:paraId="7A95323A" w14:textId="14AA6520" w:rsidR="00181517" w:rsidRPr="00DD1DFA" w:rsidRDefault="005F7EFA" w:rsidP="005F7EFA">
      <w:pPr>
        <w:pStyle w:val="ManualConsidrant"/>
        <w:rPr>
          <w:noProof/>
        </w:rPr>
      </w:pPr>
      <w:r w:rsidRPr="005F7EFA">
        <w:t>(16)</w:t>
      </w:r>
      <w:r w:rsidRPr="005F7EFA">
        <w:tab/>
      </w:r>
      <w:r w:rsidR="00181517" w:rsidRPr="00DD1DFA">
        <w:rPr>
          <w:noProof/>
        </w:rPr>
        <w:t>Fakt, że używane wyroby budowlane nie powinny, co do zasady, być poddawane nowej ocenie, nie powinien uniemożliwiać podmiotowi gospodarczemu poddania tych wyrobów budowlanych ocenie, jeżeli pomoże to zwiększyć atrakcyjność wykorzystania tych używanych wyrobów budowlanych poprzez wykazanie, że te wyroby budowlane nadal mają określone właściwości lub spełniają obowiązujące wymogi dotyczące wyrobów.</w:t>
      </w:r>
    </w:p>
    <w:p w14:paraId="48B4E0D1" w14:textId="29BB61F9" w:rsidR="00181517" w:rsidRPr="00DD1DFA" w:rsidRDefault="005F7EFA" w:rsidP="005F7EFA">
      <w:pPr>
        <w:pStyle w:val="ManualConsidrant"/>
        <w:rPr>
          <w:noProof/>
        </w:rPr>
      </w:pPr>
      <w:r w:rsidRPr="005F7EFA">
        <w:t>(17)</w:t>
      </w:r>
      <w:r w:rsidRPr="005F7EFA">
        <w:tab/>
      </w:r>
      <w:r w:rsidR="00181517" w:rsidRPr="00DD1DFA">
        <w:rPr>
          <w:noProof/>
        </w:rPr>
        <w:t>Wyroby budowlane wprowadzane do obrotu</w:t>
      </w:r>
      <w:r w:rsidR="00DD1DFA" w:rsidRPr="00DD1DFA">
        <w:rPr>
          <w:noProof/>
        </w:rPr>
        <w:t xml:space="preserve"> w</w:t>
      </w:r>
      <w:r w:rsidR="00DD1DFA">
        <w:rPr>
          <w:noProof/>
        </w:rPr>
        <w:t> </w:t>
      </w:r>
      <w:r w:rsidR="00DD1DFA" w:rsidRPr="00DD1DFA">
        <w:rPr>
          <w:noProof/>
        </w:rPr>
        <w:t>naj</w:t>
      </w:r>
      <w:r w:rsidR="00181517" w:rsidRPr="00DD1DFA">
        <w:rPr>
          <w:noProof/>
        </w:rPr>
        <w:t>bardziej oddalonych regionach Unii Europejskiej często przywozi się</w:t>
      </w:r>
      <w:r w:rsidR="00DD1DFA" w:rsidRPr="00DD1DFA">
        <w:rPr>
          <w:noProof/>
        </w:rPr>
        <w:t xml:space="preserve"> z</w:t>
      </w:r>
      <w:r w:rsidR="00DD1DFA">
        <w:rPr>
          <w:noProof/>
        </w:rPr>
        <w:t> </w:t>
      </w:r>
      <w:r w:rsidR="00DD1DFA" w:rsidRPr="00DD1DFA">
        <w:rPr>
          <w:noProof/>
        </w:rPr>
        <w:t>pań</w:t>
      </w:r>
      <w:r w:rsidR="00181517" w:rsidRPr="00DD1DFA">
        <w:rPr>
          <w:noProof/>
        </w:rPr>
        <w:t>stw sąsiednich,</w:t>
      </w:r>
      <w:r w:rsidR="00DD1DFA" w:rsidRPr="00DD1DFA">
        <w:rPr>
          <w:noProof/>
        </w:rPr>
        <w:t xml:space="preserve">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czy</w:t>
      </w:r>
      <w:r w:rsidR="00181517" w:rsidRPr="00DD1DFA">
        <w:rPr>
          <w:noProof/>
        </w:rPr>
        <w:t>m nie podlegają one wymogom określonym</w:t>
      </w:r>
      <w:r w:rsidR="00DD1DFA" w:rsidRPr="00DD1DFA">
        <w:rPr>
          <w:noProof/>
        </w:rPr>
        <w:t xml:space="preserve"> w</w:t>
      </w:r>
      <w:r w:rsidR="00DD1DFA">
        <w:rPr>
          <w:noProof/>
        </w:rPr>
        <w:t> </w:t>
      </w:r>
      <w:r w:rsidR="00DD1DFA" w:rsidRPr="00DD1DFA">
        <w:rPr>
          <w:noProof/>
        </w:rPr>
        <w:t>pra</w:t>
      </w:r>
      <w:r w:rsidR="00181517" w:rsidRPr="00DD1DFA">
        <w:rPr>
          <w:noProof/>
        </w:rPr>
        <w:t>wie Unii. Objęcie tych wyrobów budowlanych takimi wymogami byłoby nieproporcjonalnie kosztowne. Jednocześnie wyroby budowlane produkowane</w:t>
      </w:r>
      <w:r w:rsidR="00DD1DFA" w:rsidRPr="00DD1DFA">
        <w:rPr>
          <w:noProof/>
        </w:rPr>
        <w:t xml:space="preserve"> w</w:t>
      </w:r>
      <w:r w:rsidR="00DD1DFA">
        <w:rPr>
          <w:noProof/>
        </w:rPr>
        <w:t> </w:t>
      </w:r>
      <w:r w:rsidR="00DD1DFA" w:rsidRPr="00DD1DFA">
        <w:rPr>
          <w:noProof/>
        </w:rPr>
        <w:t>reg</w:t>
      </w:r>
      <w:r w:rsidR="00181517" w:rsidRPr="00DD1DFA">
        <w:rPr>
          <w:noProof/>
        </w:rPr>
        <w:t>ionach najbardziej oddalonych praktycznie nie są wprowadzane do obrotu</w:t>
      </w:r>
      <w:r w:rsidR="00DD1DFA" w:rsidRPr="00DD1DFA">
        <w:rPr>
          <w:noProof/>
        </w:rPr>
        <w:t xml:space="preserve"> w</w:t>
      </w:r>
      <w:r w:rsidR="00DD1DFA">
        <w:rPr>
          <w:noProof/>
        </w:rPr>
        <w:t> </w:t>
      </w:r>
      <w:r w:rsidR="00DD1DFA" w:rsidRPr="00DD1DFA">
        <w:rPr>
          <w:noProof/>
        </w:rPr>
        <w:t>inn</w:t>
      </w:r>
      <w:r w:rsidR="00181517" w:rsidRPr="00DD1DFA">
        <w:rPr>
          <w:noProof/>
        </w:rPr>
        <w:t>ych państwach członkowskich</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państwa członkowskie powinny mieć możliwość zwolnienia</w:t>
      </w:r>
      <w:r w:rsidR="00DD1DFA" w:rsidRPr="00DD1DFA">
        <w:rPr>
          <w:noProof/>
        </w:rPr>
        <w:t xml:space="preserve"> z</w:t>
      </w:r>
      <w:r w:rsidR="00DD1DFA">
        <w:rPr>
          <w:noProof/>
        </w:rPr>
        <w:t> </w:t>
      </w:r>
      <w:r w:rsidR="00DD1DFA" w:rsidRPr="00DD1DFA">
        <w:rPr>
          <w:noProof/>
        </w:rPr>
        <w:t>tyc</w:t>
      </w:r>
      <w:r w:rsidR="00181517" w:rsidRPr="00DD1DFA">
        <w:rPr>
          <w:noProof/>
        </w:rPr>
        <w:t>h wymogów wyrobów budowlanych wprowadzanych do obrotu lub bezpośrednio montowanych</w:t>
      </w:r>
      <w:r w:rsidR="00DD1DFA" w:rsidRPr="00DD1DFA">
        <w:rPr>
          <w:noProof/>
        </w:rPr>
        <w:t xml:space="preserve"> w</w:t>
      </w:r>
      <w:r w:rsidR="00DD1DFA">
        <w:rPr>
          <w:noProof/>
        </w:rPr>
        <w:t> </w:t>
      </w:r>
      <w:r w:rsidR="00DD1DFA" w:rsidRPr="00DD1DFA">
        <w:rPr>
          <w:noProof/>
        </w:rPr>
        <w:t>naj</w:t>
      </w:r>
      <w:r w:rsidR="00181517" w:rsidRPr="00DD1DFA">
        <w:rPr>
          <w:noProof/>
        </w:rPr>
        <w:t>bardziej oddalonych regionach Unii Europejskiej.</w:t>
      </w:r>
    </w:p>
    <w:p w14:paraId="5E21949B" w14:textId="618AED38" w:rsidR="00181517" w:rsidRPr="00DD1DFA" w:rsidRDefault="005F7EFA" w:rsidP="005F7EFA">
      <w:pPr>
        <w:pStyle w:val="ManualConsidrant"/>
        <w:rPr>
          <w:noProof/>
        </w:rPr>
      </w:pPr>
      <w:r w:rsidRPr="005F7EFA">
        <w:t>(18)</w:t>
      </w:r>
      <w:r w:rsidRPr="005F7EFA">
        <w:tab/>
      </w:r>
      <w:r w:rsidR="00232AA9" w:rsidRPr="00DD1DFA">
        <w:rPr>
          <w:noProof/>
        </w:rPr>
        <w:t>W celu osiągnięcia maksymalnej spójności przepisów niniejsze rozporządzenie powinno</w:t>
      </w:r>
      <w:r w:rsidR="00DD1DFA" w:rsidRPr="00DD1DFA">
        <w:rPr>
          <w:noProof/>
        </w:rPr>
        <w:t xml:space="preserve"> w</w:t>
      </w:r>
      <w:r w:rsidR="00DD1DFA">
        <w:rPr>
          <w:noProof/>
        </w:rPr>
        <w:t> </w:t>
      </w:r>
      <w:r w:rsidR="00DD1DFA" w:rsidRPr="00DD1DFA">
        <w:rPr>
          <w:noProof/>
        </w:rPr>
        <w:t>jak</w:t>
      </w:r>
      <w:r w:rsidR="00232AA9" w:rsidRPr="00DD1DFA">
        <w:rPr>
          <w:noProof/>
        </w:rPr>
        <w:t xml:space="preserve"> największym stopniu opierać się na horyzontalnych ramach prawnych,</w:t>
      </w:r>
      <w:r w:rsidR="00DD1DFA" w:rsidRPr="00DD1DFA">
        <w:rPr>
          <w:noProof/>
        </w:rPr>
        <w:t xml:space="preserve"> w</w:t>
      </w:r>
      <w:r w:rsidR="00DD1DFA">
        <w:rPr>
          <w:noProof/>
        </w:rPr>
        <w:t> </w:t>
      </w:r>
      <w:r w:rsidR="00DD1DFA" w:rsidRPr="00DD1DFA">
        <w:rPr>
          <w:noProof/>
        </w:rPr>
        <w:t>tym</w:t>
      </w:r>
      <w:r w:rsidR="00232AA9" w:rsidRPr="00DD1DFA">
        <w:rPr>
          <w:noProof/>
        </w:rPr>
        <w:t xml:space="preserve"> przypadku na rozporządzeniu Parlamentu Europejskiego</w:t>
      </w:r>
      <w:r w:rsidR="00DD1DFA" w:rsidRPr="00DD1DFA">
        <w:rPr>
          <w:noProof/>
        </w:rPr>
        <w:t xml:space="preserve"> i</w:t>
      </w:r>
      <w:r w:rsidR="00DD1DFA">
        <w:rPr>
          <w:noProof/>
        </w:rPr>
        <w:t> </w:t>
      </w:r>
      <w:r w:rsidR="00DD1DFA" w:rsidRPr="00DD1DFA">
        <w:rPr>
          <w:noProof/>
        </w:rPr>
        <w:t>Rad</w:t>
      </w:r>
      <w:r w:rsidR="00232AA9" w:rsidRPr="00DD1DFA">
        <w:rPr>
          <w:noProof/>
        </w:rPr>
        <w:t>y (UE) nr</w:t>
      </w:r>
      <w:r w:rsidR="00DD1DFA" w:rsidRPr="00DD1DFA">
        <w:rPr>
          <w:noProof/>
        </w:rPr>
        <w:t> </w:t>
      </w:r>
      <w:r w:rsidR="00232AA9" w:rsidRPr="00DD1DFA">
        <w:rPr>
          <w:noProof/>
        </w:rPr>
        <w:t>1025/2012. Jest ono zgodne</w:t>
      </w:r>
      <w:r w:rsidR="00DD1DFA" w:rsidRPr="00DD1DFA">
        <w:rPr>
          <w:noProof/>
        </w:rPr>
        <w:t xml:space="preserve"> z</w:t>
      </w:r>
      <w:r w:rsidR="00DD1DFA">
        <w:rPr>
          <w:noProof/>
        </w:rPr>
        <w:t> </w:t>
      </w:r>
      <w:r w:rsidR="00DD1DFA" w:rsidRPr="00DD1DFA">
        <w:rPr>
          <w:noProof/>
        </w:rPr>
        <w:t>naj</w:t>
      </w:r>
      <w:r w:rsidR="00232AA9" w:rsidRPr="00DD1DFA">
        <w:rPr>
          <w:noProof/>
        </w:rPr>
        <w:t>nowszą tendencją</w:t>
      </w:r>
      <w:r w:rsidR="00DD1DFA" w:rsidRPr="00DD1DFA">
        <w:rPr>
          <w:noProof/>
        </w:rPr>
        <w:t xml:space="preserve"> w</w:t>
      </w:r>
      <w:r w:rsidR="00DD1DFA">
        <w:rPr>
          <w:noProof/>
        </w:rPr>
        <w:t> </w:t>
      </w:r>
      <w:r w:rsidR="00DD1DFA" w:rsidRPr="00DD1DFA">
        <w:rPr>
          <w:noProof/>
        </w:rPr>
        <w:t>pra</w:t>
      </w:r>
      <w:r w:rsidR="00232AA9" w:rsidRPr="00DD1DFA">
        <w:rPr>
          <w:noProof/>
        </w:rPr>
        <w:t>wodawstwie dotyczącym wyrobów, polegającą na opracowaniu rozwiązania awaryjnego</w:t>
      </w:r>
      <w:r w:rsidR="00DD1DFA" w:rsidRPr="00DD1DFA">
        <w:rPr>
          <w:noProof/>
        </w:rPr>
        <w:t xml:space="preserve"> w</w:t>
      </w:r>
      <w:r w:rsidR="00DD1DFA">
        <w:rPr>
          <w:noProof/>
        </w:rPr>
        <w:t> </w:t>
      </w:r>
      <w:r w:rsidR="00DD1DFA" w:rsidRPr="00DD1DFA">
        <w:rPr>
          <w:noProof/>
        </w:rPr>
        <w:t>syt</w:t>
      </w:r>
      <w:r w:rsidR="00232AA9" w:rsidRPr="00DD1DFA">
        <w:rPr>
          <w:noProof/>
        </w:rPr>
        <w:t>uacji, gdy europejskie organizacje normalizacyjne nie wydają norm zharmonizowanych, które można by przywołać</w:t>
      </w:r>
      <w:r w:rsidR="00DD1DFA" w:rsidRPr="00DD1DFA">
        <w:rPr>
          <w:noProof/>
        </w:rPr>
        <w:t xml:space="preserve"> w</w:t>
      </w:r>
      <w:r w:rsidR="00DD1DFA">
        <w:rPr>
          <w:noProof/>
        </w:rPr>
        <w:t> </w:t>
      </w:r>
      <w:r w:rsidR="00DD1DFA" w:rsidRPr="00DD1DFA">
        <w:rPr>
          <w:noProof/>
        </w:rPr>
        <w:t>Dzi</w:t>
      </w:r>
      <w:r w:rsidR="00232AA9" w:rsidRPr="00DD1DFA">
        <w:rPr>
          <w:noProof/>
        </w:rPr>
        <w:t>enniku Urzędowym. Ze względu na to, że od końca 2019</w:t>
      </w:r>
      <w:r w:rsidR="00DD1DFA" w:rsidRPr="00DD1DFA">
        <w:rPr>
          <w:noProof/>
        </w:rPr>
        <w:t> </w:t>
      </w:r>
      <w:r w:rsidR="00232AA9" w:rsidRPr="00DD1DFA">
        <w:rPr>
          <w:noProof/>
        </w:rPr>
        <w:t>r.</w:t>
      </w:r>
      <w:r w:rsidR="00DD1DFA" w:rsidRPr="00DD1DFA">
        <w:rPr>
          <w:noProof/>
        </w:rPr>
        <w:t xml:space="preserve"> w</w:t>
      </w:r>
      <w:r w:rsidR="00DD1DFA">
        <w:rPr>
          <w:noProof/>
        </w:rPr>
        <w:t> </w:t>
      </w:r>
      <w:r w:rsidR="00DD1DFA" w:rsidRPr="00DD1DFA">
        <w:rPr>
          <w:noProof/>
        </w:rPr>
        <w:t>Dzi</w:t>
      </w:r>
      <w:r w:rsidR="00232AA9" w:rsidRPr="00DD1DFA">
        <w:rPr>
          <w:noProof/>
        </w:rPr>
        <w:t>enniku Urzędowym nie można było przywołać żadnych norm zharmonizowanych dotyczących wyrobów budowlanych, a od wejścia</w:t>
      </w:r>
      <w:r w:rsidR="00DD1DFA" w:rsidRPr="00DD1DFA">
        <w:rPr>
          <w:noProof/>
        </w:rPr>
        <w:t xml:space="preserve"> w</w:t>
      </w:r>
      <w:r w:rsidR="00DD1DFA">
        <w:rPr>
          <w:noProof/>
        </w:rPr>
        <w:t> </w:t>
      </w:r>
      <w:r w:rsidR="00DD1DFA" w:rsidRPr="00DD1DFA">
        <w:rPr>
          <w:noProof/>
        </w:rPr>
        <w:t>życ</w:t>
      </w:r>
      <w:r w:rsidR="00232AA9" w:rsidRPr="00DD1DFA">
        <w:rPr>
          <w:noProof/>
        </w:rPr>
        <w:t>ie rozporządzenia (UE) nr</w:t>
      </w:r>
      <w:r w:rsidR="00DD1DFA" w:rsidRPr="00DD1DFA">
        <w:rPr>
          <w:noProof/>
        </w:rPr>
        <w:t> </w:t>
      </w:r>
      <w:r w:rsidR="00232AA9" w:rsidRPr="00DD1DFA">
        <w:rPr>
          <w:noProof/>
        </w:rPr>
        <w:t>305/2011 przywołano ich zaledwie kilkadziesiąt, nowe uprawnienia rezerwowe Komisji powinny być jeszcze bardziej kompleksowe</w:t>
      </w:r>
      <w:r w:rsidR="00DD1DFA" w:rsidRPr="00DD1DFA">
        <w:rPr>
          <w:noProof/>
        </w:rPr>
        <w:t xml:space="preserve"> i</w:t>
      </w:r>
      <w:r w:rsidR="00DD1DFA">
        <w:rPr>
          <w:noProof/>
        </w:rPr>
        <w:t> </w:t>
      </w:r>
      <w:r w:rsidR="00DD1DFA" w:rsidRPr="00DD1DFA">
        <w:rPr>
          <w:noProof/>
        </w:rPr>
        <w:t>umo</w:t>
      </w:r>
      <w:r w:rsidR="00232AA9" w:rsidRPr="00DD1DFA">
        <w:rPr>
          <w:noProof/>
        </w:rPr>
        <w:t>żliwiać optymalizację ogólnej liczby specyfikacji technicznych, tak aby nadrobić opóźnienia</w:t>
      </w:r>
      <w:r w:rsidR="00DD1DFA" w:rsidRPr="00DD1DFA">
        <w:rPr>
          <w:noProof/>
        </w:rPr>
        <w:t xml:space="preserve"> w</w:t>
      </w:r>
      <w:r w:rsidR="00DD1DFA">
        <w:rPr>
          <w:noProof/>
        </w:rPr>
        <w:t> </w:t>
      </w:r>
      <w:r w:rsidR="00DD1DFA" w:rsidRPr="00DD1DFA">
        <w:rPr>
          <w:noProof/>
        </w:rPr>
        <w:t>dos</w:t>
      </w:r>
      <w:r w:rsidR="00232AA9" w:rsidRPr="00DD1DFA">
        <w:rPr>
          <w:noProof/>
        </w:rPr>
        <w:t>tosowywaniu ich do postępu technicznego.</w:t>
      </w:r>
    </w:p>
    <w:p w14:paraId="494EE09D" w14:textId="09176504" w:rsidR="00181517" w:rsidRPr="00DD1DFA" w:rsidRDefault="005F7EFA" w:rsidP="005F7EFA">
      <w:pPr>
        <w:pStyle w:val="ManualConsidrant"/>
        <w:rPr>
          <w:noProof/>
        </w:rPr>
      </w:pPr>
      <w:r w:rsidRPr="005F7EFA">
        <w:t>(19)</w:t>
      </w:r>
      <w:r w:rsidRPr="005F7EFA">
        <w:tab/>
      </w:r>
      <w:r w:rsidR="00181517" w:rsidRPr="00DD1DFA">
        <w:rPr>
          <w:noProof/>
        </w:rPr>
        <w:t>W przypadku gdy</w:t>
      </w:r>
      <w:r w:rsidR="00DD1DFA" w:rsidRPr="00DD1DFA">
        <w:rPr>
          <w:noProof/>
        </w:rPr>
        <w:t xml:space="preserve"> w</w:t>
      </w:r>
      <w:r w:rsidR="00DD1DFA">
        <w:rPr>
          <w:noProof/>
        </w:rPr>
        <w:t> </w:t>
      </w:r>
      <w:r w:rsidR="00DD1DFA" w:rsidRPr="00DD1DFA">
        <w:rPr>
          <w:noProof/>
        </w:rPr>
        <w:t>nor</w:t>
      </w:r>
      <w:r w:rsidR="00181517" w:rsidRPr="00DD1DFA">
        <w:rPr>
          <w:noProof/>
        </w:rPr>
        <w:t>mach zharmonizowanych określono zasady oceny właściwości użytkowych</w:t>
      </w:r>
      <w:r w:rsidR="00DD1DFA" w:rsidRPr="00DD1DFA">
        <w:rPr>
          <w:noProof/>
        </w:rPr>
        <w:t xml:space="preserve"> w</w:t>
      </w:r>
      <w:r w:rsidR="00DD1DFA">
        <w:rPr>
          <w:noProof/>
        </w:rPr>
        <w:t> </w:t>
      </w:r>
      <w:r w:rsidR="00DD1DFA" w:rsidRPr="00DD1DFA">
        <w:rPr>
          <w:noProof/>
        </w:rPr>
        <w:t>odn</w:t>
      </w:r>
      <w:r w:rsidR="00181517" w:rsidRPr="00DD1DFA">
        <w:rPr>
          <w:noProof/>
        </w:rPr>
        <w:t>iesieniu do zasadniczych charakterystyk istotnych</w:t>
      </w:r>
      <w:r w:rsidR="00DD1DFA" w:rsidRPr="00DD1DFA">
        <w:rPr>
          <w:noProof/>
        </w:rPr>
        <w:t xml:space="preserve"> z</w:t>
      </w:r>
      <w:r w:rsidR="00DD1DFA">
        <w:rPr>
          <w:noProof/>
        </w:rPr>
        <w:t> </w:t>
      </w:r>
      <w:r w:rsidR="00DD1DFA" w:rsidRPr="00DD1DFA">
        <w:rPr>
          <w:noProof/>
        </w:rPr>
        <w:t>pun</w:t>
      </w:r>
      <w:r w:rsidR="00181517" w:rsidRPr="00DD1DFA">
        <w:rPr>
          <w:noProof/>
        </w:rPr>
        <w:t>ktu widzenia prawa budowlanego państw członkowskich, normy zharmonizowane powinny stać się obowiązkowe do celów stosowania niniejszego rozporządzenia, ponieważ tylko takie normy umożliwiają swobodny obrót wyrobami, zapewniając jednocześnie państwom członkowskim możliwość domagania się określenia właściwości wyrobu</w:t>
      </w:r>
      <w:r w:rsidR="00DD1DFA" w:rsidRPr="00DD1DFA">
        <w:rPr>
          <w:noProof/>
        </w:rPr>
        <w:t xml:space="preserve"> w</w:t>
      </w:r>
      <w:r w:rsidR="00DD1DFA">
        <w:rPr>
          <w:noProof/>
        </w:rPr>
        <w:t> </w:t>
      </w:r>
      <w:r w:rsidR="00DD1DFA" w:rsidRPr="00DD1DFA">
        <w:rPr>
          <w:noProof/>
        </w:rPr>
        <w:t>zak</w:t>
      </w:r>
      <w:r w:rsidR="00181517" w:rsidRPr="00DD1DFA">
        <w:rPr>
          <w:noProof/>
        </w:rPr>
        <w:t>resie bezpieczeństwa</w:t>
      </w:r>
      <w:r w:rsidR="00DD1DFA" w:rsidRPr="00DD1DFA">
        <w:rPr>
          <w:noProof/>
        </w:rPr>
        <w:t xml:space="preserve"> i</w:t>
      </w:r>
      <w:r w:rsidR="00DD1DFA">
        <w:rPr>
          <w:noProof/>
        </w:rPr>
        <w:t> </w:t>
      </w:r>
      <w:r w:rsidR="00DD1DFA" w:rsidRPr="00DD1DFA">
        <w:rPr>
          <w:noProof/>
        </w:rPr>
        <w:t>och</w:t>
      </w:r>
      <w:r w:rsidR="00181517" w:rsidRPr="00DD1DFA">
        <w:rPr>
          <w:noProof/>
        </w:rPr>
        <w:t>rony środowiska,</w:t>
      </w:r>
      <w:r w:rsidR="00DD1DFA" w:rsidRPr="00DD1DFA">
        <w:rPr>
          <w:noProof/>
        </w:rPr>
        <w:t xml:space="preserve"> w</w:t>
      </w:r>
      <w:r w:rsidR="00DD1DFA">
        <w:rPr>
          <w:noProof/>
        </w:rPr>
        <w:t> </w:t>
      </w:r>
      <w:r w:rsidR="00DD1DFA" w:rsidRPr="00DD1DFA">
        <w:rPr>
          <w:noProof/>
        </w:rPr>
        <w:t>tym</w:t>
      </w:r>
      <w:r w:rsidR="00181517" w:rsidRPr="00DD1DFA">
        <w:rPr>
          <w:noProof/>
        </w:rPr>
        <w:t xml:space="preserve"> właściwości związanych</w:t>
      </w:r>
      <w:r w:rsidR="00DD1DFA" w:rsidRPr="00DD1DFA">
        <w:rPr>
          <w:noProof/>
        </w:rPr>
        <w:t xml:space="preserve"> z</w:t>
      </w:r>
      <w:r w:rsidR="00DD1DFA">
        <w:rPr>
          <w:noProof/>
        </w:rPr>
        <w:t> </w:t>
      </w:r>
      <w:r w:rsidR="00DD1DFA" w:rsidRPr="00DD1DFA">
        <w:rPr>
          <w:noProof/>
        </w:rPr>
        <w:t>kli</w:t>
      </w:r>
      <w:r w:rsidR="00181517" w:rsidRPr="00DD1DFA">
        <w:rPr>
          <w:noProof/>
        </w:rPr>
        <w:t>matem,</w:t>
      </w:r>
      <w:r w:rsidR="00DD1DFA" w:rsidRPr="00DD1DFA">
        <w:rPr>
          <w:noProof/>
        </w:rPr>
        <w:t xml:space="preserve"> z</w:t>
      </w:r>
      <w:r w:rsidR="00DD1DFA">
        <w:rPr>
          <w:noProof/>
        </w:rPr>
        <w:t> </w:t>
      </w:r>
      <w:r w:rsidR="00DD1DFA" w:rsidRPr="00DD1DFA">
        <w:rPr>
          <w:noProof/>
        </w:rPr>
        <w:t>uwz</w:t>
      </w:r>
      <w:r w:rsidR="00181517" w:rsidRPr="00DD1DFA">
        <w:rPr>
          <w:noProof/>
        </w:rPr>
        <w:t>ględnieniem ich szczególnej sytuacji krajowej. Te dwa cele, realizowane łącznie, zakładają konieczność oceny wyrobów za pomocą jednej metody oceny,</w:t>
      </w:r>
      <w:r w:rsidR="00DD1DFA" w:rsidRPr="00DD1DFA">
        <w:rPr>
          <w:noProof/>
        </w:rPr>
        <w:t xml:space="preserve"> a</w:t>
      </w:r>
      <w:r w:rsidR="00DD1DFA">
        <w:rPr>
          <w:noProof/>
        </w:rPr>
        <w:t> </w:t>
      </w:r>
      <w:r w:rsidR="00DD1DFA" w:rsidRPr="00DD1DFA">
        <w:rPr>
          <w:noProof/>
        </w:rPr>
        <w:t>zat</w:t>
      </w:r>
      <w:r w:rsidR="00181517" w:rsidRPr="00DD1DFA">
        <w:rPr>
          <w:noProof/>
        </w:rPr>
        <w:t>em metoda ta musi być obowiązkowa. Dobrowolne normy można jednak wykorzystać do jeszcze większego skonkretyzowania wymogów dotyczących wyrobów, określonych dla danej rodziny lub kategorii wyrobów</w:t>
      </w:r>
      <w:r w:rsidR="00DD1DFA" w:rsidRPr="00DD1DFA">
        <w:rPr>
          <w:noProof/>
        </w:rPr>
        <w:t xml:space="preserve"> w</w:t>
      </w:r>
      <w:r w:rsidR="00DD1DFA">
        <w:rPr>
          <w:noProof/>
        </w:rPr>
        <w:t> </w:t>
      </w:r>
      <w:r w:rsidR="00DD1DFA" w:rsidRPr="00DD1DFA">
        <w:rPr>
          <w:noProof/>
        </w:rPr>
        <w:t>akt</w:t>
      </w:r>
      <w:r w:rsidR="00181517" w:rsidRPr="00DD1DFA">
        <w:rPr>
          <w:noProof/>
        </w:rPr>
        <w:t>ach delegowanych, zgodnie</w:t>
      </w:r>
      <w:r w:rsidR="00DD1DFA" w:rsidRPr="00DD1DFA">
        <w:rPr>
          <w:noProof/>
        </w:rPr>
        <w:t xml:space="preserve"> z</w:t>
      </w:r>
      <w:r w:rsidR="00DD1DFA">
        <w:rPr>
          <w:noProof/>
        </w:rPr>
        <w:t> </w:t>
      </w:r>
      <w:r w:rsidR="00DD1DFA" w:rsidRPr="00DD1DFA">
        <w:rPr>
          <w:noProof/>
        </w:rPr>
        <w:t>dec</w:t>
      </w:r>
      <w:r w:rsidR="00181517" w:rsidRPr="00DD1DFA">
        <w:rPr>
          <w:noProof/>
        </w:rPr>
        <w:t>yzją Parlamentu Europejskiego</w:t>
      </w:r>
      <w:r w:rsidR="00DD1DFA" w:rsidRPr="00DD1DFA">
        <w:rPr>
          <w:noProof/>
        </w:rPr>
        <w:t xml:space="preserve"> i</w:t>
      </w:r>
      <w:r w:rsidR="00DD1DFA">
        <w:rPr>
          <w:noProof/>
        </w:rPr>
        <w:t> </w:t>
      </w:r>
      <w:r w:rsidR="00DD1DFA" w:rsidRPr="00DD1DFA">
        <w:rPr>
          <w:noProof/>
        </w:rPr>
        <w:t>Rad</w:t>
      </w:r>
      <w:r w:rsidR="00181517" w:rsidRPr="00DD1DFA">
        <w:rPr>
          <w:noProof/>
        </w:rPr>
        <w:t>y nr</w:t>
      </w:r>
      <w:r w:rsidR="00DD1DFA" w:rsidRPr="00DD1DFA">
        <w:rPr>
          <w:noProof/>
        </w:rPr>
        <w:t> </w:t>
      </w:r>
      <w:r w:rsidR="00181517" w:rsidRPr="00DD1DFA">
        <w:rPr>
          <w:noProof/>
        </w:rPr>
        <w:t>768/2008. Zgodnie</w:t>
      </w:r>
      <w:r w:rsidR="00DD1DFA" w:rsidRPr="00DD1DFA">
        <w:rPr>
          <w:noProof/>
        </w:rPr>
        <w:t xml:space="preserve"> z</w:t>
      </w:r>
      <w:r w:rsidR="00DD1DFA">
        <w:rPr>
          <w:noProof/>
        </w:rPr>
        <w:t> </w:t>
      </w:r>
      <w:r w:rsidR="00DD1DFA" w:rsidRPr="00DD1DFA">
        <w:rPr>
          <w:noProof/>
        </w:rPr>
        <w:t>dec</w:t>
      </w:r>
      <w:r w:rsidR="00181517" w:rsidRPr="00DD1DFA">
        <w:rPr>
          <w:noProof/>
        </w:rPr>
        <w:t>yzją nr</w:t>
      </w:r>
      <w:r w:rsidR="00DD1DFA" w:rsidRPr="00DD1DFA">
        <w:rPr>
          <w:noProof/>
        </w:rPr>
        <w:t> </w:t>
      </w:r>
      <w:r w:rsidR="00181517" w:rsidRPr="00DD1DFA">
        <w:rPr>
          <w:noProof/>
        </w:rPr>
        <w:t>768/2008 normy te powinny umożliwiać domniemanie zgodności</w:t>
      </w:r>
      <w:r w:rsidR="00DD1DFA" w:rsidRPr="00DD1DFA">
        <w:rPr>
          <w:noProof/>
        </w:rPr>
        <w:t xml:space="preserve"> z</w:t>
      </w:r>
      <w:r w:rsidR="00DD1DFA">
        <w:rPr>
          <w:noProof/>
        </w:rPr>
        <w:t> </w:t>
      </w:r>
      <w:r w:rsidR="00DD1DFA" w:rsidRPr="00DD1DFA">
        <w:rPr>
          <w:noProof/>
        </w:rPr>
        <w:t>obj</w:t>
      </w:r>
      <w:r w:rsidR="00181517" w:rsidRPr="00DD1DFA">
        <w:rPr>
          <w:noProof/>
        </w:rPr>
        <w:t>ętymi nimi wymaganiami.</w:t>
      </w:r>
    </w:p>
    <w:p w14:paraId="720BCCDC" w14:textId="573AE2B0" w:rsidR="00181517" w:rsidRPr="00DD1DFA" w:rsidRDefault="005F7EFA" w:rsidP="005F7EFA">
      <w:pPr>
        <w:pStyle w:val="ManualConsidrant"/>
        <w:rPr>
          <w:noProof/>
        </w:rPr>
      </w:pPr>
      <w:r w:rsidRPr="005F7EFA">
        <w:t>(20)</w:t>
      </w:r>
      <w:r w:rsidRPr="005F7EFA">
        <w:tab/>
      </w:r>
      <w:r w:rsidR="00181517" w:rsidRPr="00DD1DFA">
        <w:rPr>
          <w:noProof/>
        </w:rPr>
        <w:t>Aby przyczynić się do realizacji celów Europejskiego Zielonego Ładu</w:t>
      </w:r>
      <w:r w:rsidR="00DD1DFA" w:rsidRPr="00DD1DFA">
        <w:rPr>
          <w:noProof/>
        </w:rPr>
        <w:t xml:space="preserve"> i</w:t>
      </w:r>
      <w:r w:rsidR="00DD1DFA">
        <w:rPr>
          <w:noProof/>
        </w:rPr>
        <w:t> </w:t>
      </w:r>
      <w:r w:rsidR="00DD1DFA" w:rsidRPr="00DD1DFA">
        <w:rPr>
          <w:noProof/>
        </w:rPr>
        <w:t>Pla</w:t>
      </w:r>
      <w:r w:rsidR="00181517" w:rsidRPr="00DD1DFA">
        <w:rPr>
          <w:noProof/>
        </w:rPr>
        <w:t>nu działania dotyczącego gospodarki</w:t>
      </w:r>
      <w:r w:rsidR="00DD1DFA" w:rsidRPr="00DD1DFA">
        <w:rPr>
          <w:noProof/>
        </w:rPr>
        <w:t xml:space="preserve"> o</w:t>
      </w:r>
      <w:r w:rsidR="00DD1DFA">
        <w:rPr>
          <w:noProof/>
        </w:rPr>
        <w:t> </w:t>
      </w:r>
      <w:r w:rsidR="00DD1DFA" w:rsidRPr="00DD1DFA">
        <w:rPr>
          <w:noProof/>
        </w:rPr>
        <w:t>obi</w:t>
      </w:r>
      <w:r w:rsidR="00181517" w:rsidRPr="00DD1DFA">
        <w:rPr>
          <w:noProof/>
        </w:rPr>
        <w:t>egu zamkniętym oraz aby zapewnić dostępność bezpiecznych wyrobów budowlanych, przy czym bezpieczeństwo jest jednym</w:t>
      </w:r>
      <w:r w:rsidR="00DD1DFA" w:rsidRPr="00DD1DFA">
        <w:rPr>
          <w:noProof/>
        </w:rPr>
        <w:t xml:space="preserve"> z</w:t>
      </w:r>
      <w:r w:rsidR="00DD1DFA">
        <w:rPr>
          <w:noProof/>
        </w:rPr>
        <w:t> </w:t>
      </w:r>
      <w:r w:rsidR="00DD1DFA" w:rsidRPr="00DD1DFA">
        <w:rPr>
          <w:noProof/>
        </w:rPr>
        <w:t>cel</w:t>
      </w:r>
      <w:r w:rsidR="00181517" w:rsidRPr="00DD1DFA">
        <w:rPr>
          <w:noProof/>
        </w:rPr>
        <w:t>ów, do których należy dążyć</w:t>
      </w:r>
      <w:r w:rsidR="00DD1DFA" w:rsidRPr="00DD1DFA">
        <w:rPr>
          <w:noProof/>
        </w:rPr>
        <w:t xml:space="preserve"> w</w:t>
      </w:r>
      <w:r w:rsidR="00DD1DFA">
        <w:rPr>
          <w:noProof/>
        </w:rPr>
        <w:t> </w:t>
      </w:r>
      <w:r w:rsidR="00DD1DFA" w:rsidRPr="00DD1DFA">
        <w:rPr>
          <w:noProof/>
        </w:rPr>
        <w:t>ram</w:t>
      </w:r>
      <w:r w:rsidR="00181517" w:rsidRPr="00DD1DFA">
        <w:rPr>
          <w:noProof/>
        </w:rPr>
        <w:t>ach prawodawstwa opartego na art.</w:t>
      </w:r>
      <w:r w:rsidR="00DD1DFA" w:rsidRPr="00DD1DFA">
        <w:rPr>
          <w:noProof/>
        </w:rPr>
        <w:t> </w:t>
      </w:r>
      <w:r w:rsidR="00181517" w:rsidRPr="00DD1DFA">
        <w:rPr>
          <w:noProof/>
        </w:rPr>
        <w:t>114 Traktatu</w:t>
      </w:r>
      <w:r w:rsidR="00DD1DFA" w:rsidRPr="00DD1DFA">
        <w:rPr>
          <w:noProof/>
        </w:rPr>
        <w:t xml:space="preserve"> o</w:t>
      </w:r>
      <w:r w:rsidR="00DD1DFA">
        <w:rPr>
          <w:noProof/>
        </w:rPr>
        <w:t> </w:t>
      </w:r>
      <w:r w:rsidR="00DD1DFA" w:rsidRPr="00DD1DFA">
        <w:rPr>
          <w:noProof/>
        </w:rPr>
        <w:t>fun</w:t>
      </w:r>
      <w:r w:rsidR="00181517" w:rsidRPr="00DD1DFA">
        <w:rPr>
          <w:noProof/>
        </w:rPr>
        <w:t>kcjonowaniu Unii Europejskiej (TFUE), konieczne jest wprowadzenie nieodłącznych wymogów dotyczących wyrobów</w:t>
      </w:r>
      <w:r w:rsidR="00DD1DFA" w:rsidRPr="00DD1DFA">
        <w:rPr>
          <w:noProof/>
        </w:rPr>
        <w:t xml:space="preserve"> w</w:t>
      </w:r>
      <w:r w:rsidR="00DD1DFA">
        <w:rPr>
          <w:noProof/>
        </w:rPr>
        <w:t> </w:t>
      </w:r>
      <w:r w:rsidR="00DD1DFA" w:rsidRPr="00DD1DFA">
        <w:rPr>
          <w:noProof/>
        </w:rPr>
        <w:t>zak</w:t>
      </w:r>
      <w:r w:rsidR="00181517" w:rsidRPr="00DD1DFA">
        <w:rPr>
          <w:noProof/>
        </w:rPr>
        <w:t>resie bezpieczeństwa, funkcjonalności</w:t>
      </w:r>
      <w:r w:rsidR="00DD1DFA" w:rsidRPr="00DD1DFA">
        <w:rPr>
          <w:noProof/>
        </w:rPr>
        <w:t xml:space="preserve"> i</w:t>
      </w:r>
      <w:r w:rsidR="00DD1DFA">
        <w:rPr>
          <w:noProof/>
        </w:rPr>
        <w:t> </w:t>
      </w:r>
      <w:r w:rsidR="00DD1DFA" w:rsidRPr="00DD1DFA">
        <w:rPr>
          <w:noProof/>
        </w:rPr>
        <w:t>och</w:t>
      </w:r>
      <w:r w:rsidR="00181517" w:rsidRPr="00DD1DFA">
        <w:rPr>
          <w:noProof/>
        </w:rPr>
        <w:t>rony środowiska,</w:t>
      </w:r>
      <w:r w:rsidR="00DD1DFA" w:rsidRPr="00DD1DFA">
        <w:rPr>
          <w:noProof/>
        </w:rPr>
        <w:t xml:space="preserve"> w</w:t>
      </w:r>
      <w:r w:rsidR="00DD1DFA">
        <w:rPr>
          <w:noProof/>
        </w:rPr>
        <w:t> </w:t>
      </w:r>
      <w:r w:rsidR="00DD1DFA" w:rsidRPr="00DD1DFA">
        <w:rPr>
          <w:noProof/>
        </w:rPr>
        <w:t>tym</w:t>
      </w:r>
      <w:r w:rsidR="00181517" w:rsidRPr="00DD1DFA">
        <w:rPr>
          <w:noProof/>
        </w:rPr>
        <w:t xml:space="preserve"> klimatu. Przy określaniu tych wymagań Komisja powinna wziąć pod uwagę ich potencjalny wkład</w:t>
      </w:r>
      <w:r w:rsidR="00DD1DFA" w:rsidRPr="00DD1DFA">
        <w:rPr>
          <w:noProof/>
        </w:rPr>
        <w:t xml:space="preserve"> w</w:t>
      </w:r>
      <w:r w:rsidR="00DD1DFA">
        <w:rPr>
          <w:noProof/>
        </w:rPr>
        <w:t> </w:t>
      </w:r>
      <w:r w:rsidR="00DD1DFA" w:rsidRPr="00DD1DFA">
        <w:rPr>
          <w:noProof/>
        </w:rPr>
        <w:t>osi</w:t>
      </w:r>
      <w:r w:rsidR="00181517" w:rsidRPr="00DD1DFA">
        <w:rPr>
          <w:noProof/>
        </w:rPr>
        <w:t>ągnięcie unijnych celów</w:t>
      </w:r>
      <w:r w:rsidR="00DD1DFA" w:rsidRPr="00DD1DFA">
        <w:rPr>
          <w:noProof/>
        </w:rPr>
        <w:t xml:space="preserve"> w</w:t>
      </w:r>
      <w:r w:rsidR="00DD1DFA">
        <w:rPr>
          <w:noProof/>
        </w:rPr>
        <w:t> </w:t>
      </w:r>
      <w:r w:rsidR="00DD1DFA" w:rsidRPr="00DD1DFA">
        <w:rPr>
          <w:noProof/>
        </w:rPr>
        <w:t>zak</w:t>
      </w:r>
      <w:r w:rsidR="00181517" w:rsidRPr="00DD1DFA">
        <w:rPr>
          <w:noProof/>
        </w:rPr>
        <w:t>resie klimatu, celów środowiskowych oraz celów</w:t>
      </w:r>
      <w:r w:rsidR="00DD1DFA" w:rsidRPr="00DD1DFA">
        <w:rPr>
          <w:noProof/>
        </w:rPr>
        <w:t xml:space="preserve"> w</w:t>
      </w:r>
      <w:r w:rsidR="00DD1DFA">
        <w:rPr>
          <w:noProof/>
        </w:rPr>
        <w:t> </w:t>
      </w:r>
      <w:r w:rsidR="00DD1DFA" w:rsidRPr="00DD1DFA">
        <w:rPr>
          <w:noProof/>
        </w:rPr>
        <w:t>zak</w:t>
      </w:r>
      <w:r w:rsidR="00181517" w:rsidRPr="00DD1DFA">
        <w:rPr>
          <w:noProof/>
        </w:rPr>
        <w:t>resie efektywności energetycznej. Wymagania te nie odnoszą się jedynie do właściwości użytkowych wyrobów budowlanych</w:t>
      </w:r>
      <w:r w:rsidR="00DD1DFA" w:rsidRPr="00DD1DFA">
        <w:rPr>
          <w:noProof/>
        </w:rPr>
        <w:t>. W</w:t>
      </w:r>
      <w:r w:rsidR="00DD1DFA">
        <w:rPr>
          <w:noProof/>
        </w:rPr>
        <w:t> </w:t>
      </w:r>
      <w:r w:rsidR="00DD1DFA" w:rsidRPr="00DD1DFA">
        <w:rPr>
          <w:noProof/>
        </w:rPr>
        <w:t>prz</w:t>
      </w:r>
      <w:r w:rsidR="00181517" w:rsidRPr="00DD1DFA">
        <w:rPr>
          <w:noProof/>
        </w:rPr>
        <w:t>eciwieństwie do poprzedniej dyrektywy 89/106/WE,</w:t>
      </w:r>
      <w:r w:rsidR="00DD1DFA" w:rsidRPr="00DD1DFA">
        <w:rPr>
          <w:noProof/>
        </w:rPr>
        <w:t xml:space="preserve"> w</w:t>
      </w:r>
      <w:r w:rsidR="00DD1DFA">
        <w:rPr>
          <w:noProof/>
        </w:rPr>
        <w:t> </w:t>
      </w:r>
      <w:r w:rsidR="00DD1DFA" w:rsidRPr="00DD1DFA">
        <w:rPr>
          <w:noProof/>
        </w:rPr>
        <w:t>roz</w:t>
      </w:r>
      <w:r w:rsidR="00181517" w:rsidRPr="00DD1DFA">
        <w:rPr>
          <w:noProof/>
        </w:rPr>
        <w:t>porządzeniu (UE) nr</w:t>
      </w:r>
      <w:r w:rsidR="00DD1DFA" w:rsidRPr="00DD1DFA">
        <w:rPr>
          <w:noProof/>
        </w:rPr>
        <w:t> </w:t>
      </w:r>
      <w:r w:rsidR="00181517" w:rsidRPr="00DD1DFA">
        <w:rPr>
          <w:noProof/>
        </w:rPr>
        <w:t>305/2011 nie przewidziano możliwości ustanowienia takich wymogów nieodłącznie związanych</w:t>
      </w:r>
      <w:r w:rsidR="00DD1DFA" w:rsidRPr="00DD1DFA">
        <w:rPr>
          <w:noProof/>
        </w:rPr>
        <w:t xml:space="preserve"> z</w:t>
      </w:r>
      <w:r w:rsidR="00DD1DFA">
        <w:rPr>
          <w:noProof/>
        </w:rPr>
        <w:t> </w:t>
      </w:r>
      <w:r w:rsidR="00DD1DFA" w:rsidRPr="00DD1DFA">
        <w:rPr>
          <w:noProof/>
        </w:rPr>
        <w:t>wyr</w:t>
      </w:r>
      <w:r w:rsidR="00181517" w:rsidRPr="00DD1DFA">
        <w:rPr>
          <w:noProof/>
        </w:rPr>
        <w:t>obem. Niektóre normy zharmonizowane dotyczące wyrobów budowlanych zawierają jednak takie wymogi nieodłącznie związane</w:t>
      </w:r>
      <w:r w:rsidR="00DD1DFA" w:rsidRPr="00DD1DFA">
        <w:rPr>
          <w:noProof/>
        </w:rPr>
        <w:t xml:space="preserve"> z</w:t>
      </w:r>
      <w:r w:rsidR="00DD1DFA">
        <w:rPr>
          <w:noProof/>
        </w:rPr>
        <w:t> </w:t>
      </w:r>
      <w:r w:rsidR="00DD1DFA" w:rsidRPr="00DD1DFA">
        <w:rPr>
          <w:noProof/>
        </w:rPr>
        <w:t>wyr</w:t>
      </w:r>
      <w:r w:rsidR="00181517" w:rsidRPr="00DD1DFA">
        <w:rPr>
          <w:noProof/>
        </w:rPr>
        <w:t>obem, które mogą odnosić się do środowiska, bezpieczeństwa lub po prostu do dobrego funkcjonowania wyrobu</w:t>
      </w:r>
      <w:r w:rsidR="00DD1DFA" w:rsidRPr="00DD1DFA">
        <w:rPr>
          <w:noProof/>
        </w:rPr>
        <w:t>. W</w:t>
      </w:r>
      <w:r w:rsidR="00DD1DFA">
        <w:rPr>
          <w:noProof/>
        </w:rPr>
        <w:t> </w:t>
      </w:r>
      <w:r w:rsidR="00DD1DFA" w:rsidRPr="00DD1DFA">
        <w:rPr>
          <w:noProof/>
        </w:rPr>
        <w:t>nor</w:t>
      </w:r>
      <w:r w:rsidR="00181517" w:rsidRPr="00DD1DFA">
        <w:rPr>
          <w:noProof/>
        </w:rPr>
        <w:t>mach tych wykazano, że istnieje praktyczna potrzeba wprowadzenia takich wymogów</w:t>
      </w:r>
      <w:r w:rsidR="00DD1DFA" w:rsidRPr="00DD1DFA">
        <w:rPr>
          <w:noProof/>
        </w:rPr>
        <w:t xml:space="preserve"> w</w:t>
      </w:r>
      <w:r w:rsidR="00DD1DFA">
        <w:rPr>
          <w:noProof/>
        </w:rPr>
        <w:t> </w:t>
      </w:r>
      <w:r w:rsidR="00DD1DFA" w:rsidRPr="00DD1DFA">
        <w:rPr>
          <w:noProof/>
        </w:rPr>
        <w:t>zak</w:t>
      </w:r>
      <w:r w:rsidR="00181517" w:rsidRPr="00DD1DFA">
        <w:rPr>
          <w:noProof/>
        </w:rPr>
        <w:t>resie bezpieczeństwa, środowiska lub po prostu funkcjonowania wyrobów</w:t>
      </w:r>
      <w:r w:rsidR="00DD1DFA" w:rsidRPr="00DD1DFA">
        <w:rPr>
          <w:noProof/>
        </w:rPr>
        <w:t>. W</w:t>
      </w:r>
      <w:r w:rsidR="00DD1DFA">
        <w:rPr>
          <w:noProof/>
        </w:rPr>
        <w:t> </w:t>
      </w:r>
      <w:r w:rsidR="00DD1DFA" w:rsidRPr="00DD1DFA">
        <w:rPr>
          <w:noProof/>
        </w:rPr>
        <w:t>art</w:t>
      </w:r>
      <w:r w:rsidR="00181517" w:rsidRPr="00DD1DFA">
        <w:rPr>
          <w:noProof/>
        </w:rPr>
        <w:t>.</w:t>
      </w:r>
      <w:r w:rsidR="00DD1DFA" w:rsidRPr="00DD1DFA">
        <w:rPr>
          <w:noProof/>
        </w:rPr>
        <w:t> </w:t>
      </w:r>
      <w:r w:rsidR="00181517" w:rsidRPr="00DD1DFA">
        <w:rPr>
          <w:noProof/>
        </w:rPr>
        <w:t>114 TFUE, stanowiącym podstawę prawną niniejszego rozporządzenia, nałożono również obowiązek dążenia do wysokiego poziomu ochrony środowiska, zdrowia</w:t>
      </w:r>
      <w:r w:rsidR="00DD1DFA" w:rsidRPr="00DD1DFA">
        <w:rPr>
          <w:noProof/>
        </w:rPr>
        <w:t xml:space="preserve"> i</w:t>
      </w:r>
      <w:r w:rsidR="00DD1DFA">
        <w:rPr>
          <w:noProof/>
        </w:rPr>
        <w:t> </w:t>
      </w:r>
      <w:r w:rsidR="00DD1DFA" w:rsidRPr="00DD1DFA">
        <w:rPr>
          <w:noProof/>
        </w:rPr>
        <w:t>bez</w:t>
      </w:r>
      <w:r w:rsidR="00181517" w:rsidRPr="00DD1DFA">
        <w:rPr>
          <w:noProof/>
        </w:rPr>
        <w:t>pieczeństwa ludzi</w:t>
      </w:r>
      <w:r w:rsidR="00DD1DFA" w:rsidRPr="00DD1DFA">
        <w:rPr>
          <w:noProof/>
        </w:rPr>
        <w:t>. W</w:t>
      </w:r>
      <w:r w:rsidR="00DD1DFA">
        <w:rPr>
          <w:noProof/>
        </w:rPr>
        <w:t> </w:t>
      </w:r>
      <w:r w:rsidR="00DD1DFA" w:rsidRPr="00DD1DFA">
        <w:rPr>
          <w:noProof/>
        </w:rPr>
        <w:t>nin</w:t>
      </w:r>
      <w:r w:rsidR="00181517" w:rsidRPr="00DD1DFA">
        <w:rPr>
          <w:noProof/>
        </w:rPr>
        <w:t>iejszym rozporządzeniu należy więc (ponownie) wprowadzić lub zatwierdzić wymogi nieodłącznie związane</w:t>
      </w:r>
      <w:r w:rsidR="00DD1DFA" w:rsidRPr="00DD1DFA">
        <w:rPr>
          <w:noProof/>
        </w:rPr>
        <w:t xml:space="preserve"> z</w:t>
      </w:r>
      <w:r w:rsidR="00DD1DFA">
        <w:rPr>
          <w:noProof/>
        </w:rPr>
        <w:t> </w:t>
      </w:r>
      <w:r w:rsidR="00DD1DFA" w:rsidRPr="00DD1DFA">
        <w:rPr>
          <w:noProof/>
        </w:rPr>
        <w:t>wyr</w:t>
      </w:r>
      <w:r w:rsidR="00181517" w:rsidRPr="00DD1DFA">
        <w:rPr>
          <w:noProof/>
        </w:rPr>
        <w:t>obem. Mimo że to prawodawca musi ustanowić te wymogi, istnieje potrzeba określenia ich dla ponad 30 rodzin wyrobów,</w:t>
      </w:r>
      <w:r w:rsidR="00DD1DFA" w:rsidRPr="00DD1DFA">
        <w:rPr>
          <w:noProof/>
        </w:rPr>
        <w:t xml:space="preserve"> z</w:t>
      </w:r>
      <w:r w:rsidR="00DD1DFA">
        <w:rPr>
          <w:noProof/>
        </w:rPr>
        <w:t> </w:t>
      </w:r>
      <w:r w:rsidR="00DD1DFA" w:rsidRPr="00DD1DFA">
        <w:rPr>
          <w:noProof/>
        </w:rPr>
        <w:t>któ</w:t>
      </w:r>
      <w:r w:rsidR="00181517" w:rsidRPr="00DD1DFA">
        <w:rPr>
          <w:noProof/>
        </w:rPr>
        <w:t>rych każda obejmuje kilka kategorii</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należy przekazać Komisji uprawnienia do przyjmowania aktów zgodnie</w:t>
      </w:r>
      <w:r w:rsidR="00DD1DFA" w:rsidRPr="00DD1DFA">
        <w:rPr>
          <w:noProof/>
        </w:rPr>
        <w:t xml:space="preserve"> z</w:t>
      </w:r>
      <w:r w:rsidR="00DD1DFA">
        <w:rPr>
          <w:noProof/>
        </w:rPr>
        <w:t> </w:t>
      </w:r>
      <w:r w:rsidR="00DD1DFA" w:rsidRPr="00DD1DFA">
        <w:rPr>
          <w:noProof/>
        </w:rPr>
        <w:t>art</w:t>
      </w:r>
      <w:r w:rsidR="00181517" w:rsidRPr="00DD1DFA">
        <w:rPr>
          <w:noProof/>
        </w:rPr>
        <w:t>.</w:t>
      </w:r>
      <w:r w:rsidR="00DD1DFA" w:rsidRPr="00DD1DFA">
        <w:rPr>
          <w:noProof/>
        </w:rPr>
        <w:t> </w:t>
      </w:r>
      <w:r w:rsidR="00181517" w:rsidRPr="00DD1DFA">
        <w:rPr>
          <w:noProof/>
        </w:rPr>
        <w:t>290 Traktatu</w:t>
      </w:r>
      <w:r w:rsidR="00DD1DFA" w:rsidRPr="00DD1DFA">
        <w:rPr>
          <w:noProof/>
        </w:rPr>
        <w:t xml:space="preserve"> o</w:t>
      </w:r>
      <w:r w:rsidR="00DD1DFA">
        <w:rPr>
          <w:noProof/>
        </w:rPr>
        <w:t> </w:t>
      </w:r>
      <w:r w:rsidR="00DD1DFA" w:rsidRPr="00DD1DFA">
        <w:rPr>
          <w:noProof/>
        </w:rPr>
        <w:t>fun</w:t>
      </w:r>
      <w:r w:rsidR="00181517" w:rsidRPr="00DD1DFA">
        <w:rPr>
          <w:noProof/>
        </w:rPr>
        <w:t>kcjonowaniu Unii Europejskiej</w:t>
      </w:r>
      <w:r w:rsidR="00DD1DFA" w:rsidRPr="00DD1DFA">
        <w:rPr>
          <w:noProof/>
        </w:rPr>
        <w:t xml:space="preserve"> w</w:t>
      </w:r>
      <w:r w:rsidR="00DD1DFA">
        <w:rPr>
          <w:noProof/>
        </w:rPr>
        <w:t> </w:t>
      </w:r>
      <w:r w:rsidR="00DD1DFA" w:rsidRPr="00DD1DFA">
        <w:rPr>
          <w:noProof/>
        </w:rPr>
        <w:t>cel</w:t>
      </w:r>
      <w:r w:rsidR="00181517" w:rsidRPr="00DD1DFA">
        <w:rPr>
          <w:noProof/>
        </w:rPr>
        <w:t>u określenia wymogów dla odpowiedniej rodziny lub kategorii wyrobów budowlanych.</w:t>
      </w:r>
    </w:p>
    <w:p w14:paraId="49BF0E5B" w14:textId="07F4D924" w:rsidR="00181517" w:rsidRPr="00DD1DFA" w:rsidRDefault="005F7EFA" w:rsidP="005F7EFA">
      <w:pPr>
        <w:pStyle w:val="ManualConsidrant"/>
        <w:rPr>
          <w:noProof/>
        </w:rPr>
      </w:pPr>
      <w:r w:rsidRPr="005F7EFA">
        <w:t>(21)</w:t>
      </w:r>
      <w:r w:rsidRPr="005F7EFA">
        <w:tab/>
      </w:r>
      <w:r w:rsidR="00181517" w:rsidRPr="00DD1DFA">
        <w:rPr>
          <w:noProof/>
        </w:rPr>
        <w:t>Produkcja</w:t>
      </w:r>
      <w:r w:rsidR="00DD1DFA" w:rsidRPr="00DD1DFA">
        <w:rPr>
          <w:noProof/>
        </w:rPr>
        <w:t xml:space="preserve"> i</w:t>
      </w:r>
      <w:r w:rsidR="00DD1DFA">
        <w:rPr>
          <w:noProof/>
        </w:rPr>
        <w:t> </w:t>
      </w:r>
      <w:r w:rsidR="00DD1DFA" w:rsidRPr="00DD1DFA">
        <w:rPr>
          <w:noProof/>
        </w:rPr>
        <w:t>dys</w:t>
      </w:r>
      <w:r w:rsidR="00181517" w:rsidRPr="00DD1DFA">
        <w:rPr>
          <w:noProof/>
        </w:rPr>
        <w:t>trybucja wyrobów budowlanych staje się coraz bardziej złożona, co prowadzi do powstawania nowych wyspecjalizowanych podmiotów gospodarczych, takich jak dostawcy usług realizacji zamówień. Aby zapewnić przejrzystość, pewne ogólne obowiązki,</w:t>
      </w:r>
      <w:r w:rsidR="00DD1DFA" w:rsidRPr="00DD1DFA">
        <w:rPr>
          <w:noProof/>
        </w:rPr>
        <w:t xml:space="preserve"> w</w:t>
      </w:r>
      <w:r w:rsidR="00DD1DFA">
        <w:rPr>
          <w:noProof/>
        </w:rPr>
        <w:t> </w:t>
      </w:r>
      <w:r w:rsidR="00DD1DFA" w:rsidRPr="00DD1DFA">
        <w:rPr>
          <w:noProof/>
        </w:rPr>
        <w:t>tym</w:t>
      </w:r>
      <w:r w:rsidR="00181517" w:rsidRPr="00DD1DFA">
        <w:rPr>
          <w:noProof/>
        </w:rPr>
        <w:t xml:space="preserve"> dotyczące współpracy</w:t>
      </w:r>
      <w:r w:rsidR="00DD1DFA" w:rsidRPr="00DD1DFA">
        <w:rPr>
          <w:noProof/>
        </w:rPr>
        <w:t xml:space="preserve"> z</w:t>
      </w:r>
      <w:r w:rsidR="00DD1DFA">
        <w:rPr>
          <w:noProof/>
        </w:rPr>
        <w:t> </w:t>
      </w:r>
      <w:r w:rsidR="00DD1DFA" w:rsidRPr="00DD1DFA">
        <w:rPr>
          <w:noProof/>
        </w:rPr>
        <w:t>org</w:t>
      </w:r>
      <w:r w:rsidR="00181517" w:rsidRPr="00DD1DFA">
        <w:rPr>
          <w:noProof/>
        </w:rPr>
        <w:t>anami, powinny mieć zastosowanie do wszystkich podmiotów zaangażowanych</w:t>
      </w:r>
      <w:r w:rsidR="00DD1DFA" w:rsidRPr="00DD1DFA">
        <w:rPr>
          <w:noProof/>
        </w:rPr>
        <w:t xml:space="preserve"> w</w:t>
      </w:r>
      <w:r w:rsidR="00DD1DFA">
        <w:rPr>
          <w:noProof/>
        </w:rPr>
        <w:t> </w:t>
      </w:r>
      <w:r w:rsidR="00DD1DFA" w:rsidRPr="00DD1DFA">
        <w:rPr>
          <w:noProof/>
        </w:rPr>
        <w:t>łań</w:t>
      </w:r>
      <w:r w:rsidR="00181517" w:rsidRPr="00DD1DFA">
        <w:rPr>
          <w:noProof/>
        </w:rPr>
        <w:t>cuch dostaw, produkcję, dystrybucję, znakowanie własną marką, przepakowywanie lub handel na rynku wtórnym, montaż, demontaż</w:t>
      </w:r>
      <w:r w:rsidR="00DD1DFA" w:rsidRPr="00DD1DFA">
        <w:rPr>
          <w:noProof/>
        </w:rPr>
        <w:t xml:space="preserve"> w</w:t>
      </w:r>
      <w:r w:rsidR="00DD1DFA">
        <w:rPr>
          <w:noProof/>
        </w:rPr>
        <w:t> </w:t>
      </w:r>
      <w:r w:rsidR="00DD1DFA" w:rsidRPr="00DD1DFA">
        <w:rPr>
          <w:noProof/>
        </w:rPr>
        <w:t>cel</w:t>
      </w:r>
      <w:r w:rsidR="00181517" w:rsidRPr="00DD1DFA">
        <w:rPr>
          <w:noProof/>
        </w:rPr>
        <w:t>u ponownego użycia lub regeneracji oraz samą regenerację wyrobów. Ponadto dostawcy powinni być zobowiązani do współpracy</w:t>
      </w:r>
      <w:r w:rsidR="00DD1DFA" w:rsidRPr="00DD1DFA">
        <w:rPr>
          <w:noProof/>
        </w:rPr>
        <w:t xml:space="preserve"> z</w:t>
      </w:r>
      <w:r w:rsidR="00DD1DFA">
        <w:rPr>
          <w:noProof/>
        </w:rPr>
        <w:t> </w:t>
      </w:r>
      <w:r w:rsidR="00DD1DFA" w:rsidRPr="00DD1DFA">
        <w:rPr>
          <w:noProof/>
        </w:rPr>
        <w:t>org</w:t>
      </w:r>
      <w:r w:rsidR="00181517" w:rsidRPr="00DD1DFA">
        <w:rPr>
          <w:noProof/>
        </w:rPr>
        <w:t>anami nadzoru rynku do celów oceny zrównoważenia środowiskowego</w:t>
      </w:r>
      <w:r w:rsidR="00DD1DFA" w:rsidRPr="00DD1DFA">
        <w:rPr>
          <w:noProof/>
        </w:rPr>
        <w:t>. Z</w:t>
      </w:r>
      <w:r w:rsidR="00DD1DFA">
        <w:rPr>
          <w:noProof/>
        </w:rPr>
        <w:t> </w:t>
      </w:r>
      <w:r w:rsidR="00DD1DFA" w:rsidRPr="00DD1DFA">
        <w:rPr>
          <w:noProof/>
        </w:rPr>
        <w:t>tyc</w:t>
      </w:r>
      <w:r w:rsidR="00181517" w:rsidRPr="00DD1DFA">
        <w:rPr>
          <w:noProof/>
        </w:rPr>
        <w:t>h względów oraz aby uniknąć powtarzania obowiązków, termin „podmiot gospodarczy” należy zdefiniować szeroko, tak aby obejmował wszystkie te podmioty</w:t>
      </w:r>
      <w:r w:rsidR="00DD1DFA" w:rsidRPr="00DD1DFA">
        <w:rPr>
          <w:noProof/>
        </w:rPr>
        <w:t xml:space="preserve"> i</w:t>
      </w:r>
      <w:r w:rsidR="00DD1DFA">
        <w:rPr>
          <w:noProof/>
        </w:rPr>
        <w:t> </w:t>
      </w:r>
      <w:r w:rsidR="00DD1DFA" w:rsidRPr="00DD1DFA">
        <w:rPr>
          <w:noProof/>
        </w:rPr>
        <w:t>aby</w:t>
      </w:r>
      <w:r w:rsidR="00181517" w:rsidRPr="00DD1DFA">
        <w:rPr>
          <w:noProof/>
        </w:rPr>
        <w:t xml:space="preserve"> można było dla nich wszystkich ustanowić jednorazowo podstawowe obowiązki ogólne.</w:t>
      </w:r>
    </w:p>
    <w:p w14:paraId="41968B68" w14:textId="15520E22" w:rsidR="00181517" w:rsidRPr="00DD1DFA" w:rsidRDefault="005F7EFA" w:rsidP="005F7EFA">
      <w:pPr>
        <w:pStyle w:val="ManualConsidrant"/>
        <w:rPr>
          <w:noProof/>
        </w:rPr>
      </w:pPr>
      <w:r w:rsidRPr="005F7EFA">
        <w:t>(22)</w:t>
      </w:r>
      <w:r w:rsidRPr="005F7EFA">
        <w:tab/>
      </w:r>
      <w:r w:rsidR="00181517" w:rsidRPr="00DD1DFA">
        <w:rPr>
          <w:noProof/>
        </w:rPr>
        <w:t>Aby zapewnić jednolite praktyki</w:t>
      </w:r>
      <w:r w:rsidR="00DD1DFA" w:rsidRPr="00DD1DFA">
        <w:rPr>
          <w:noProof/>
        </w:rPr>
        <w:t xml:space="preserve"> w</w:t>
      </w:r>
      <w:r w:rsidR="00DD1DFA">
        <w:rPr>
          <w:noProof/>
        </w:rPr>
        <w:t> </w:t>
      </w:r>
      <w:r w:rsidR="00DD1DFA" w:rsidRPr="00DD1DFA">
        <w:rPr>
          <w:noProof/>
        </w:rPr>
        <w:t>pań</w:t>
      </w:r>
      <w:r w:rsidR="00181517" w:rsidRPr="00DD1DFA">
        <w:rPr>
          <w:noProof/>
        </w:rPr>
        <w:t>stwach członkowskich, nawet</w:t>
      </w:r>
      <w:r w:rsidR="00DD1DFA" w:rsidRPr="00DD1DFA">
        <w:rPr>
          <w:noProof/>
        </w:rPr>
        <w:t xml:space="preserve"> w</w:t>
      </w:r>
      <w:r w:rsidR="00DD1DFA">
        <w:rPr>
          <w:noProof/>
        </w:rPr>
        <w:t> </w:t>
      </w:r>
      <w:r w:rsidR="00DD1DFA" w:rsidRPr="00DD1DFA">
        <w:rPr>
          <w:noProof/>
        </w:rPr>
        <w:t>prz</w:t>
      </w:r>
      <w:r w:rsidR="00181517" w:rsidRPr="00DD1DFA">
        <w:rPr>
          <w:noProof/>
        </w:rPr>
        <w:t>ypadku braku konsensusu co do tych praktyk, Komisja powinna być uprawniona do przyjmowania,</w:t>
      </w:r>
      <w:r w:rsidR="00DD1DFA" w:rsidRPr="00DD1DFA">
        <w:rPr>
          <w:noProof/>
        </w:rPr>
        <w:t xml:space="preserve"> w</w:t>
      </w:r>
      <w:r w:rsidR="00DD1DFA">
        <w:rPr>
          <w:noProof/>
        </w:rPr>
        <w:t> </w:t>
      </w:r>
      <w:r w:rsidR="00DD1DFA" w:rsidRPr="00DD1DFA">
        <w:rPr>
          <w:noProof/>
        </w:rPr>
        <w:t>odn</w:t>
      </w:r>
      <w:r w:rsidR="00181517" w:rsidRPr="00DD1DFA">
        <w:rPr>
          <w:noProof/>
        </w:rPr>
        <w:t>iesieniu do ograniczonego zakresu kwestii, aktów wykonawczych dotyczących wykonania niniejszego rozporządzenia. Odpowiednie uprawnienia odnoszą się do definicji, obowiązków</w:t>
      </w:r>
      <w:r w:rsidR="00DD1DFA" w:rsidRPr="00DD1DFA">
        <w:rPr>
          <w:noProof/>
        </w:rPr>
        <w:t xml:space="preserve"> i</w:t>
      </w:r>
      <w:r w:rsidR="00DD1DFA">
        <w:rPr>
          <w:noProof/>
        </w:rPr>
        <w:t> </w:t>
      </w:r>
      <w:r w:rsidR="00DD1DFA" w:rsidRPr="00DD1DFA">
        <w:rPr>
          <w:noProof/>
        </w:rPr>
        <w:t>pra</w:t>
      </w:r>
      <w:r w:rsidR="00181517" w:rsidRPr="00DD1DFA">
        <w:rPr>
          <w:noProof/>
        </w:rPr>
        <w:t>w podmiotów gospodarczych oraz obowiązków</w:t>
      </w:r>
      <w:r w:rsidR="00DD1DFA" w:rsidRPr="00DD1DFA">
        <w:rPr>
          <w:noProof/>
        </w:rPr>
        <w:t xml:space="preserve"> i</w:t>
      </w:r>
      <w:r w:rsidR="00DD1DFA">
        <w:rPr>
          <w:noProof/>
        </w:rPr>
        <w:t> </w:t>
      </w:r>
      <w:r w:rsidR="00DD1DFA" w:rsidRPr="00DD1DFA">
        <w:rPr>
          <w:noProof/>
        </w:rPr>
        <w:t>pra</w:t>
      </w:r>
      <w:r w:rsidR="00181517" w:rsidRPr="00DD1DFA">
        <w:rPr>
          <w:noProof/>
        </w:rPr>
        <w:t>w jednostek notyfikowanych.</w:t>
      </w:r>
    </w:p>
    <w:p w14:paraId="476EE029" w14:textId="3F435649" w:rsidR="00181517" w:rsidRPr="00DD1DFA" w:rsidRDefault="005F7EFA" w:rsidP="005F7EFA">
      <w:pPr>
        <w:pStyle w:val="ManualConsidrant"/>
        <w:rPr>
          <w:noProof/>
        </w:rPr>
      </w:pPr>
      <w:r w:rsidRPr="005F7EFA">
        <w:t>(23)</w:t>
      </w:r>
      <w:r w:rsidRPr="005F7EFA">
        <w:tab/>
      </w:r>
      <w:r w:rsidR="00181517" w:rsidRPr="00DD1DFA">
        <w:rPr>
          <w:noProof/>
        </w:rPr>
        <w:t>Aby poprawić pewność prawa</w:t>
      </w:r>
      <w:r w:rsidR="00DD1DFA" w:rsidRPr="00DD1DFA">
        <w:rPr>
          <w:noProof/>
        </w:rPr>
        <w:t xml:space="preserve"> i</w:t>
      </w:r>
      <w:r w:rsidR="00DD1DFA">
        <w:rPr>
          <w:noProof/>
        </w:rPr>
        <w:t> </w:t>
      </w:r>
      <w:r w:rsidR="00DD1DFA" w:rsidRPr="00DD1DFA">
        <w:rPr>
          <w:noProof/>
        </w:rPr>
        <w:t>zła</w:t>
      </w:r>
      <w:r w:rsidR="00181517" w:rsidRPr="00DD1DFA">
        <w:rPr>
          <w:noProof/>
        </w:rPr>
        <w:t>godzić fragmentację unijnego rynku wyrobów budowlanych wynikającą</w:t>
      </w:r>
      <w:r w:rsidR="00DD1DFA" w:rsidRPr="00DD1DFA">
        <w:rPr>
          <w:noProof/>
        </w:rPr>
        <w:t xml:space="preserve"> z</w:t>
      </w:r>
      <w:r w:rsidR="00DD1DFA">
        <w:rPr>
          <w:noProof/>
        </w:rPr>
        <w:t> </w:t>
      </w:r>
      <w:r w:rsidR="00DD1DFA" w:rsidRPr="00DD1DFA">
        <w:rPr>
          <w:noProof/>
        </w:rPr>
        <w:t>ist</w:t>
      </w:r>
      <w:r w:rsidR="00181517" w:rsidRPr="00DD1DFA">
        <w:rPr>
          <w:noProof/>
        </w:rPr>
        <w:t>nienia wymogów</w:t>
      </w:r>
      <w:r w:rsidR="00DD1DFA" w:rsidRPr="00DD1DFA">
        <w:rPr>
          <w:noProof/>
        </w:rPr>
        <w:t xml:space="preserve"> i</w:t>
      </w:r>
      <w:r w:rsidR="00DD1DFA">
        <w:rPr>
          <w:noProof/>
        </w:rPr>
        <w:t> </w:t>
      </w:r>
      <w:r w:rsidR="00DD1DFA" w:rsidRPr="00DD1DFA">
        <w:rPr>
          <w:noProof/>
        </w:rPr>
        <w:t>zna</w:t>
      </w:r>
      <w:r w:rsidR="00181517" w:rsidRPr="00DD1DFA">
        <w:rPr>
          <w:noProof/>
        </w:rPr>
        <w:t>ków krajowych, należy jasno określić obszar regulowany na szczeblu UE, tzw. strefę zharmonizowaną,</w:t>
      </w:r>
      <w:r w:rsidR="00DD1DFA" w:rsidRPr="00DD1DFA">
        <w:rPr>
          <w:noProof/>
        </w:rPr>
        <w:t xml:space="preserve"> w</w:t>
      </w:r>
      <w:r w:rsidR="00DD1DFA">
        <w:rPr>
          <w:noProof/>
        </w:rPr>
        <w:t> </w:t>
      </w:r>
      <w:r w:rsidR="00DD1DFA" w:rsidRPr="00DD1DFA">
        <w:rPr>
          <w:noProof/>
        </w:rPr>
        <w:t>odr</w:t>
      </w:r>
      <w:r w:rsidR="00181517" w:rsidRPr="00DD1DFA">
        <w:rPr>
          <w:noProof/>
        </w:rPr>
        <w:t>óżnieniu od elementów pozostających</w:t>
      </w:r>
      <w:r w:rsidR="00DD1DFA" w:rsidRPr="00DD1DFA">
        <w:rPr>
          <w:noProof/>
        </w:rPr>
        <w:t xml:space="preserve"> w</w:t>
      </w:r>
      <w:r w:rsidR="00DD1DFA">
        <w:rPr>
          <w:noProof/>
        </w:rPr>
        <w:t> </w:t>
      </w:r>
      <w:r w:rsidR="00DD1DFA" w:rsidRPr="00DD1DFA">
        <w:rPr>
          <w:noProof/>
        </w:rPr>
        <w:t>ges</w:t>
      </w:r>
      <w:r w:rsidR="00181517" w:rsidRPr="00DD1DFA">
        <w:rPr>
          <w:noProof/>
        </w:rPr>
        <w:t>tii krajowych organów regulacyjnych państw członkowskich.</w:t>
      </w:r>
    </w:p>
    <w:p w14:paraId="039A5466" w14:textId="143E90BD" w:rsidR="00181517" w:rsidRPr="00DD1DFA" w:rsidRDefault="005F7EFA" w:rsidP="005F7EFA">
      <w:pPr>
        <w:pStyle w:val="ManualConsidrant"/>
        <w:rPr>
          <w:noProof/>
        </w:rPr>
      </w:pPr>
      <w:r w:rsidRPr="005F7EFA">
        <w:t>(24)</w:t>
      </w:r>
      <w:r w:rsidRPr="005F7EFA">
        <w:tab/>
      </w:r>
      <w:r w:rsidR="00181517" w:rsidRPr="00DD1DFA">
        <w:rPr>
          <w:noProof/>
        </w:rPr>
        <w:t>Aby zachować równowagę między łagodzeniem fragmentacji rynku</w:t>
      </w:r>
      <w:r w:rsidR="00DD1DFA" w:rsidRPr="00DD1DFA">
        <w:rPr>
          <w:noProof/>
        </w:rPr>
        <w:t xml:space="preserve"> a</w:t>
      </w:r>
      <w:r w:rsidR="00DD1DFA">
        <w:rPr>
          <w:noProof/>
        </w:rPr>
        <w:t> </w:t>
      </w:r>
      <w:r w:rsidR="00DD1DFA" w:rsidRPr="00DD1DFA">
        <w:rPr>
          <w:noProof/>
        </w:rPr>
        <w:t>pra</w:t>
      </w:r>
      <w:r w:rsidR="00181517" w:rsidRPr="00DD1DFA">
        <w:rPr>
          <w:noProof/>
        </w:rPr>
        <w:t>wnie uzasadnionymi interesami państw członkowskich</w:t>
      </w:r>
      <w:r w:rsidR="00DD1DFA" w:rsidRPr="00DD1DFA">
        <w:rPr>
          <w:noProof/>
        </w:rPr>
        <w:t xml:space="preserve"> w</w:t>
      </w:r>
      <w:r w:rsidR="00DD1DFA">
        <w:rPr>
          <w:noProof/>
        </w:rPr>
        <w:t> </w:t>
      </w:r>
      <w:r w:rsidR="00DD1DFA" w:rsidRPr="00DD1DFA">
        <w:rPr>
          <w:noProof/>
        </w:rPr>
        <w:t>zak</w:t>
      </w:r>
      <w:r w:rsidR="00181517" w:rsidRPr="00DD1DFA">
        <w:rPr>
          <w:noProof/>
        </w:rPr>
        <w:t>resie regulacji obiektów budowlanych, należy jednocześnie przewidzieć mechanizm pozwalający na lepsze uwzględnienie potrzeb państw członkowskich przy opracowywaniu zharmonizowanych specyfikacji technicznych</w:t>
      </w:r>
      <w:r w:rsidR="00DD1DFA" w:rsidRPr="00DD1DFA">
        <w:rPr>
          <w:noProof/>
        </w:rPr>
        <w:t>. Z</w:t>
      </w:r>
      <w:r w:rsidR="00DD1DFA">
        <w:rPr>
          <w:noProof/>
        </w:rPr>
        <w:t> </w:t>
      </w:r>
      <w:r w:rsidR="00DD1DFA" w:rsidRPr="00DD1DFA">
        <w:rPr>
          <w:noProof/>
        </w:rPr>
        <w:t>teg</w:t>
      </w:r>
      <w:r w:rsidR="00181517" w:rsidRPr="00DD1DFA">
        <w:rPr>
          <w:noProof/>
        </w:rPr>
        <w:t>o samego powodu należy ustanowić mechanizm umożliwiający państwom członkowskim ustanawianie,</w:t>
      </w:r>
      <w:r w:rsidR="00DD1DFA" w:rsidRPr="00DD1DFA">
        <w:rPr>
          <w:noProof/>
        </w:rPr>
        <w:t xml:space="preserve"> w</w:t>
      </w:r>
      <w:r w:rsidR="00DD1DFA">
        <w:rPr>
          <w:noProof/>
        </w:rPr>
        <w:t> </w:t>
      </w:r>
      <w:r w:rsidR="00DD1DFA" w:rsidRPr="00DD1DFA">
        <w:rPr>
          <w:noProof/>
        </w:rPr>
        <w:t>opa</w:t>
      </w:r>
      <w:r w:rsidR="00181517" w:rsidRPr="00DD1DFA">
        <w:rPr>
          <w:noProof/>
        </w:rPr>
        <w:t>rciu</w:t>
      </w:r>
      <w:r w:rsidR="00DD1DFA" w:rsidRPr="00DD1DFA">
        <w:rPr>
          <w:noProof/>
        </w:rPr>
        <w:t xml:space="preserve"> o</w:t>
      </w:r>
      <w:r w:rsidR="00DD1DFA">
        <w:rPr>
          <w:noProof/>
        </w:rPr>
        <w:t> </w:t>
      </w:r>
      <w:r w:rsidR="00DD1DFA" w:rsidRPr="00DD1DFA">
        <w:rPr>
          <w:noProof/>
        </w:rPr>
        <w:t>nad</w:t>
      </w:r>
      <w:r w:rsidR="00181517" w:rsidRPr="00DD1DFA">
        <w:rPr>
          <w:noProof/>
        </w:rPr>
        <w:t>rzędne względy ochrony zdrowia, bezpieczeństwa lub środowiska, dodatkowych wymagań dotyczących wyrobów budowlanych.</w:t>
      </w:r>
    </w:p>
    <w:p w14:paraId="52A475D1" w14:textId="24EC31C8" w:rsidR="00181517" w:rsidRPr="00DD1DFA" w:rsidRDefault="005F7EFA" w:rsidP="005F7EFA">
      <w:pPr>
        <w:pStyle w:val="ManualConsidrant"/>
        <w:rPr>
          <w:noProof/>
        </w:rPr>
      </w:pPr>
      <w:r w:rsidRPr="005F7EFA">
        <w:t>(25)</w:t>
      </w:r>
      <w:r w:rsidRPr="005F7EFA">
        <w:tab/>
      </w:r>
      <w:r w:rsidR="00181517" w:rsidRPr="00DD1DFA">
        <w:rPr>
          <w:noProof/>
        </w:rPr>
        <w:t>Gospodarkę</w:t>
      </w:r>
      <w:r w:rsidR="00DD1DFA" w:rsidRPr="00DD1DFA">
        <w:rPr>
          <w:noProof/>
        </w:rPr>
        <w:t xml:space="preserve"> o</w:t>
      </w:r>
      <w:r w:rsidR="00DD1DFA">
        <w:rPr>
          <w:noProof/>
        </w:rPr>
        <w:t> </w:t>
      </w:r>
      <w:r w:rsidR="00DD1DFA" w:rsidRPr="00DD1DFA">
        <w:rPr>
          <w:noProof/>
        </w:rPr>
        <w:t>obi</w:t>
      </w:r>
      <w:r w:rsidR="00181517" w:rsidRPr="00DD1DFA">
        <w:rPr>
          <w:noProof/>
        </w:rPr>
        <w:t>egu zamkniętym, która stanowi kluczowy element Planu działania dotyczącego gospodarki</w:t>
      </w:r>
      <w:r w:rsidR="00DD1DFA" w:rsidRPr="00DD1DFA">
        <w:rPr>
          <w:noProof/>
        </w:rPr>
        <w:t xml:space="preserve"> o</w:t>
      </w:r>
      <w:r w:rsidR="00DD1DFA">
        <w:rPr>
          <w:noProof/>
        </w:rPr>
        <w:t> </w:t>
      </w:r>
      <w:r w:rsidR="00DD1DFA" w:rsidRPr="00DD1DFA">
        <w:rPr>
          <w:noProof/>
        </w:rPr>
        <w:t>obi</w:t>
      </w:r>
      <w:r w:rsidR="00181517" w:rsidRPr="00DD1DFA">
        <w:rPr>
          <w:noProof/>
        </w:rPr>
        <w:t>egu zamkniętym, można promować poprzez obowiązkowe systemy zwrotu kaucji oraz obowiązek przyjmowania nieużywanych produktów. Państwa członkowskie powinny mieć zatem możliwość wdrożenia takich środków.</w:t>
      </w:r>
    </w:p>
    <w:p w14:paraId="0A48A593" w14:textId="19106480" w:rsidR="00181517" w:rsidRPr="00DD1DFA" w:rsidRDefault="005F7EFA" w:rsidP="005F7EFA">
      <w:pPr>
        <w:pStyle w:val="ManualConsidrant"/>
        <w:rPr>
          <w:noProof/>
        </w:rPr>
      </w:pPr>
      <w:r w:rsidRPr="005F7EFA">
        <w:t>(26)</w:t>
      </w:r>
      <w:r w:rsidRPr="005F7EFA">
        <w:tab/>
      </w:r>
      <w:r w:rsidR="00181517" w:rsidRPr="00DD1DFA">
        <w:rPr>
          <w:noProof/>
        </w:rPr>
        <w:t>W celu zwiększenia jasności prawa</w:t>
      </w:r>
      <w:r w:rsidR="00DD1DFA" w:rsidRPr="00DD1DFA">
        <w:rPr>
          <w:noProof/>
        </w:rPr>
        <w:t xml:space="preserve"> i</w:t>
      </w:r>
      <w:r w:rsidR="00DD1DFA">
        <w:rPr>
          <w:noProof/>
        </w:rPr>
        <w:t> </w:t>
      </w:r>
      <w:r w:rsidR="00DD1DFA" w:rsidRPr="00DD1DFA">
        <w:rPr>
          <w:noProof/>
        </w:rPr>
        <w:t>zmn</w:t>
      </w:r>
      <w:r w:rsidR="00181517" w:rsidRPr="00DD1DFA">
        <w:rPr>
          <w:noProof/>
        </w:rPr>
        <w:t>iejszenia obciążeń administracyjnych podmiotów gospodarczych należy unikać sytuacji,</w:t>
      </w:r>
      <w:r w:rsidR="00DD1DFA" w:rsidRPr="00DD1DFA">
        <w:rPr>
          <w:noProof/>
        </w:rPr>
        <w:t xml:space="preserve"> w</w:t>
      </w:r>
      <w:r w:rsidR="00DD1DFA">
        <w:rPr>
          <w:noProof/>
        </w:rPr>
        <w:t> </w:t>
      </w:r>
      <w:r w:rsidR="00DD1DFA" w:rsidRPr="00DD1DFA">
        <w:rPr>
          <w:noProof/>
        </w:rPr>
        <w:t>któ</w:t>
      </w:r>
      <w:r w:rsidR="00181517" w:rsidRPr="00DD1DFA">
        <w:rPr>
          <w:noProof/>
        </w:rPr>
        <w:t>rych wyroby budowlane podlegają wielokrotnej ocenie</w:t>
      </w:r>
      <w:r w:rsidR="00DD1DFA" w:rsidRPr="00DD1DFA">
        <w:rPr>
          <w:noProof/>
        </w:rPr>
        <w:t xml:space="preserve"> w</w:t>
      </w:r>
      <w:r w:rsidR="00DD1DFA">
        <w:rPr>
          <w:noProof/>
        </w:rPr>
        <w:t> </w:t>
      </w:r>
      <w:r w:rsidR="00DD1DFA" w:rsidRPr="00DD1DFA">
        <w:rPr>
          <w:noProof/>
        </w:rPr>
        <w:t>zak</w:t>
      </w:r>
      <w:r w:rsidR="00181517" w:rsidRPr="00DD1DFA">
        <w:rPr>
          <w:noProof/>
        </w:rPr>
        <w:t>resie tego samego aspektu zdrowia, bezpieczeństwa lub ochrony środowiska,</w:t>
      </w:r>
      <w:r w:rsidR="00DD1DFA" w:rsidRPr="00DD1DFA">
        <w:rPr>
          <w:noProof/>
        </w:rPr>
        <w:t xml:space="preserve"> w</w:t>
      </w:r>
      <w:r w:rsidR="00DD1DFA">
        <w:rPr>
          <w:noProof/>
        </w:rPr>
        <w:t> </w:t>
      </w:r>
      <w:r w:rsidR="00DD1DFA" w:rsidRPr="00DD1DFA">
        <w:rPr>
          <w:noProof/>
        </w:rPr>
        <w:t>tym</w:t>
      </w:r>
      <w:r w:rsidR="00181517" w:rsidRPr="00DD1DFA">
        <w:rPr>
          <w:noProof/>
        </w:rPr>
        <w:t xml:space="preserve"> klimatu, na podstawie różnych przepisów Unii. Potwierdzono to</w:t>
      </w:r>
      <w:r w:rsidR="00DD1DFA" w:rsidRPr="00DD1DFA">
        <w:rPr>
          <w:noProof/>
        </w:rPr>
        <w:t xml:space="preserve"> w</w:t>
      </w:r>
      <w:r w:rsidR="00DD1DFA">
        <w:rPr>
          <w:noProof/>
        </w:rPr>
        <w:t> </w:t>
      </w:r>
      <w:r w:rsidR="00DD1DFA" w:rsidRPr="00DD1DFA">
        <w:rPr>
          <w:noProof/>
        </w:rPr>
        <w:t>ram</w:t>
      </w:r>
      <w:r w:rsidR="00181517" w:rsidRPr="00DD1DFA">
        <w:rPr>
          <w:noProof/>
        </w:rPr>
        <w:t>ach platformy REFIT, zalecając Komisji priorytetowe potraktowanie problemów związanych</w:t>
      </w:r>
      <w:r w:rsidR="00DD1DFA" w:rsidRPr="00DD1DFA">
        <w:rPr>
          <w:noProof/>
        </w:rPr>
        <w:t xml:space="preserve"> z</w:t>
      </w:r>
      <w:r w:rsidR="00DD1DFA">
        <w:rPr>
          <w:noProof/>
        </w:rPr>
        <w:t> </w:t>
      </w:r>
      <w:r w:rsidR="00DD1DFA" w:rsidRPr="00DD1DFA">
        <w:rPr>
          <w:noProof/>
        </w:rPr>
        <w:t>nak</w:t>
      </w:r>
      <w:r w:rsidR="00181517" w:rsidRPr="00DD1DFA">
        <w:rPr>
          <w:noProof/>
        </w:rPr>
        <w:t>ładającymi się</w:t>
      </w:r>
      <w:r w:rsidR="00DD1DFA" w:rsidRPr="00DD1DFA">
        <w:rPr>
          <w:noProof/>
        </w:rPr>
        <w:t xml:space="preserve"> i</w:t>
      </w:r>
      <w:r w:rsidR="00DD1DFA">
        <w:rPr>
          <w:noProof/>
        </w:rPr>
        <w:t> </w:t>
      </w:r>
      <w:r w:rsidR="00DD1DFA" w:rsidRPr="00DD1DFA">
        <w:rPr>
          <w:noProof/>
        </w:rPr>
        <w:t>pow</w:t>
      </w:r>
      <w:r w:rsidR="00181517" w:rsidRPr="00DD1DFA">
        <w:rPr>
          <w:noProof/>
        </w:rPr>
        <w:t>tarzającymi się wymogami. Komisja powinna więc być</w:t>
      </w:r>
      <w:r w:rsidR="00DD1DFA" w:rsidRPr="00DD1DFA">
        <w:rPr>
          <w:noProof/>
        </w:rPr>
        <w:t xml:space="preserve"> w</w:t>
      </w:r>
      <w:r w:rsidR="00DD1DFA">
        <w:rPr>
          <w:noProof/>
        </w:rPr>
        <w:t> </w:t>
      </w:r>
      <w:r w:rsidR="00DD1DFA" w:rsidRPr="00DD1DFA">
        <w:rPr>
          <w:noProof/>
        </w:rPr>
        <w:t>sta</w:t>
      </w:r>
      <w:r w:rsidR="00181517" w:rsidRPr="00DD1DFA">
        <w:rPr>
          <w:noProof/>
        </w:rPr>
        <w:t>nie określić warunki, na jakich spełnienie obowiązków wynikających</w:t>
      </w:r>
      <w:r w:rsidR="00DD1DFA" w:rsidRPr="00DD1DFA">
        <w:rPr>
          <w:noProof/>
        </w:rPr>
        <w:t xml:space="preserve"> z</w:t>
      </w:r>
      <w:r w:rsidR="00DD1DFA">
        <w:rPr>
          <w:noProof/>
        </w:rPr>
        <w:t> </w:t>
      </w:r>
      <w:r w:rsidR="00DD1DFA" w:rsidRPr="00DD1DFA">
        <w:rPr>
          <w:noProof/>
        </w:rPr>
        <w:t>inn</w:t>
      </w:r>
      <w:r w:rsidR="00181517" w:rsidRPr="00DD1DFA">
        <w:rPr>
          <w:noProof/>
        </w:rPr>
        <w:t>ych przepisów prawa Unii powoduje również spełnienie niektórych obowiązków wynikających</w:t>
      </w:r>
      <w:r w:rsidR="00DD1DFA" w:rsidRPr="00DD1DFA">
        <w:rPr>
          <w:noProof/>
        </w:rPr>
        <w:t xml:space="preserve"> z</w:t>
      </w:r>
      <w:r w:rsidR="00DD1DFA">
        <w:rPr>
          <w:noProof/>
        </w:rPr>
        <w:t> </w:t>
      </w:r>
      <w:r w:rsidR="00DD1DFA" w:rsidRPr="00DD1DFA">
        <w:rPr>
          <w:noProof/>
        </w:rPr>
        <w:t>nin</w:t>
      </w:r>
      <w:r w:rsidR="00181517" w:rsidRPr="00DD1DFA">
        <w:rPr>
          <w:noProof/>
        </w:rPr>
        <w:t>iejszego rozporządzenia,</w:t>
      </w:r>
      <w:r w:rsidR="00DD1DFA" w:rsidRPr="00DD1DFA">
        <w:rPr>
          <w:noProof/>
        </w:rPr>
        <w:t xml:space="preserve"> w</w:t>
      </w:r>
      <w:r w:rsidR="00DD1DFA">
        <w:rPr>
          <w:noProof/>
        </w:rPr>
        <w:t> </w:t>
      </w:r>
      <w:r w:rsidR="00DD1DFA" w:rsidRPr="00DD1DFA">
        <w:rPr>
          <w:noProof/>
        </w:rPr>
        <w:t>prz</w:t>
      </w:r>
      <w:r w:rsidR="00181517" w:rsidRPr="00DD1DFA">
        <w:rPr>
          <w:noProof/>
        </w:rPr>
        <w:t>ypadku gdy skądinąd ten sam aspekt dotyczący zdrowia, bezpieczeństwa lub ochrony środowiska,</w:t>
      </w:r>
      <w:r w:rsidR="00DD1DFA" w:rsidRPr="00DD1DFA">
        <w:rPr>
          <w:noProof/>
        </w:rPr>
        <w:t xml:space="preserve"> w</w:t>
      </w:r>
      <w:r w:rsidR="00DD1DFA">
        <w:rPr>
          <w:noProof/>
        </w:rPr>
        <w:t> </w:t>
      </w:r>
      <w:r w:rsidR="00DD1DFA" w:rsidRPr="00DD1DFA">
        <w:rPr>
          <w:noProof/>
        </w:rPr>
        <w:t>tym</w:t>
      </w:r>
      <w:r w:rsidR="00181517" w:rsidRPr="00DD1DFA">
        <w:rPr>
          <w:noProof/>
        </w:rPr>
        <w:t xml:space="preserve"> klimatu, byłby oceniany równolegle na podstawie niniejszego rozporządzenia</w:t>
      </w:r>
      <w:r w:rsidR="00DD1DFA" w:rsidRPr="00DD1DFA">
        <w:rPr>
          <w:noProof/>
        </w:rPr>
        <w:t xml:space="preserve"> i</w:t>
      </w:r>
      <w:r w:rsidR="00DD1DFA">
        <w:rPr>
          <w:noProof/>
        </w:rPr>
        <w:t> </w:t>
      </w:r>
      <w:r w:rsidR="00DD1DFA" w:rsidRPr="00DD1DFA">
        <w:rPr>
          <w:noProof/>
        </w:rPr>
        <w:t>inn</w:t>
      </w:r>
      <w:r w:rsidR="00181517" w:rsidRPr="00DD1DFA">
        <w:rPr>
          <w:noProof/>
        </w:rPr>
        <w:t>ych przepisów prawa Unii.</w:t>
      </w:r>
    </w:p>
    <w:p w14:paraId="2004B94B" w14:textId="456D9C42" w:rsidR="00181517" w:rsidRPr="00DD1DFA" w:rsidRDefault="005F7EFA" w:rsidP="005F7EFA">
      <w:pPr>
        <w:pStyle w:val="ManualConsidrant"/>
        <w:rPr>
          <w:noProof/>
        </w:rPr>
      </w:pPr>
      <w:r w:rsidRPr="005F7EFA">
        <w:t>(27)</w:t>
      </w:r>
      <w:r w:rsidRPr="005F7EFA">
        <w:tab/>
      </w:r>
      <w:r w:rsidR="00181517" w:rsidRPr="00DD1DFA">
        <w:rPr>
          <w:noProof/>
        </w:rPr>
        <w:t>Ponadto, aby uniknąć stosowania przez państwa członkowskie</w:t>
      </w:r>
      <w:r w:rsidR="00DD1DFA" w:rsidRPr="00DD1DFA">
        <w:rPr>
          <w:noProof/>
        </w:rPr>
        <w:t xml:space="preserve"> i</w:t>
      </w:r>
      <w:r w:rsidR="00DD1DFA">
        <w:rPr>
          <w:noProof/>
        </w:rPr>
        <w:t> </w:t>
      </w:r>
      <w:r w:rsidR="00DD1DFA" w:rsidRPr="00DD1DFA">
        <w:rPr>
          <w:noProof/>
        </w:rPr>
        <w:t>pod</w:t>
      </w:r>
      <w:r w:rsidR="00181517" w:rsidRPr="00DD1DFA">
        <w:rPr>
          <w:noProof/>
        </w:rPr>
        <w:t>mioty gospodarcze rozbieżnych praktyk, należy przekazać Komisji uprawnienia do przyjęcia aktów zgodnie</w:t>
      </w:r>
      <w:r w:rsidR="00DD1DFA" w:rsidRPr="00DD1DFA">
        <w:rPr>
          <w:noProof/>
        </w:rPr>
        <w:t xml:space="preserve"> z</w:t>
      </w:r>
      <w:r w:rsidR="00DD1DFA">
        <w:rPr>
          <w:noProof/>
        </w:rPr>
        <w:t> </w:t>
      </w:r>
      <w:r w:rsidR="00DD1DFA" w:rsidRPr="00DD1DFA">
        <w:rPr>
          <w:noProof/>
        </w:rPr>
        <w:t>art</w:t>
      </w:r>
      <w:r w:rsidR="00181517" w:rsidRPr="00DD1DFA">
        <w:rPr>
          <w:noProof/>
        </w:rPr>
        <w:t>.</w:t>
      </w:r>
      <w:r w:rsidR="00DD1DFA" w:rsidRPr="00DD1DFA">
        <w:rPr>
          <w:noProof/>
        </w:rPr>
        <w:t> </w:t>
      </w:r>
      <w:r w:rsidR="00181517" w:rsidRPr="00DD1DFA">
        <w:rPr>
          <w:noProof/>
        </w:rPr>
        <w:t>290 TFUE</w:t>
      </w:r>
      <w:r w:rsidR="00DD1DFA" w:rsidRPr="00DD1DFA">
        <w:rPr>
          <w:noProof/>
        </w:rPr>
        <w:t xml:space="preserve"> w</w:t>
      </w:r>
      <w:r w:rsidR="00DD1DFA">
        <w:rPr>
          <w:noProof/>
        </w:rPr>
        <w:t> </w:t>
      </w:r>
      <w:r w:rsidR="00DD1DFA" w:rsidRPr="00DD1DFA">
        <w:rPr>
          <w:noProof/>
        </w:rPr>
        <w:t>cel</w:t>
      </w:r>
      <w:r w:rsidR="00181517" w:rsidRPr="00DD1DFA">
        <w:rPr>
          <w:noProof/>
        </w:rPr>
        <w:t>u określenia, czy niektóre wyroby budowlane wchodzą</w:t>
      </w:r>
      <w:r w:rsidR="00DD1DFA" w:rsidRPr="00DD1DFA">
        <w:rPr>
          <w:noProof/>
        </w:rPr>
        <w:t xml:space="preserve"> w</w:t>
      </w:r>
      <w:r w:rsidR="00DD1DFA">
        <w:rPr>
          <w:noProof/>
        </w:rPr>
        <w:t> </w:t>
      </w:r>
      <w:r w:rsidR="00DD1DFA" w:rsidRPr="00DD1DFA">
        <w:rPr>
          <w:noProof/>
        </w:rPr>
        <w:t>zak</w:t>
      </w:r>
      <w:r w:rsidR="00181517" w:rsidRPr="00DD1DFA">
        <w:rPr>
          <w:noProof/>
        </w:rPr>
        <w:t>res definicji wyrobu budowlanego.</w:t>
      </w:r>
    </w:p>
    <w:p w14:paraId="70453142" w14:textId="5FB532E0" w:rsidR="00181517" w:rsidRPr="00DD1DFA" w:rsidRDefault="005F7EFA" w:rsidP="005F7EFA">
      <w:pPr>
        <w:pStyle w:val="ManualConsidrant"/>
        <w:rPr>
          <w:noProof/>
        </w:rPr>
      </w:pPr>
      <w:r w:rsidRPr="005F7EFA">
        <w:t>(28)</w:t>
      </w:r>
      <w:r w:rsidRPr="005F7EFA">
        <w:tab/>
      </w:r>
      <w:r w:rsidR="00E70421" w:rsidRPr="00DD1DFA">
        <w:rPr>
          <w:noProof/>
        </w:rPr>
        <w:t>W szczególności</w:t>
      </w:r>
      <w:r w:rsidR="00DD1DFA" w:rsidRPr="00DD1DFA">
        <w:rPr>
          <w:noProof/>
        </w:rPr>
        <w:t xml:space="preserve"> w</w:t>
      </w:r>
      <w:r w:rsidR="00DD1DFA">
        <w:rPr>
          <w:noProof/>
        </w:rPr>
        <w:t> </w:t>
      </w:r>
      <w:r w:rsidR="00DD1DFA" w:rsidRPr="00DD1DFA">
        <w:rPr>
          <w:noProof/>
        </w:rPr>
        <w:t>prz</w:t>
      </w:r>
      <w:r w:rsidR="00E70421" w:rsidRPr="00DD1DFA">
        <w:rPr>
          <w:noProof/>
        </w:rPr>
        <w:t>ypadku produktów związanych</w:t>
      </w:r>
      <w:r w:rsidR="00DD1DFA" w:rsidRPr="00DD1DFA">
        <w:rPr>
          <w:noProof/>
        </w:rPr>
        <w:t xml:space="preserve"> z</w:t>
      </w:r>
      <w:r w:rsidR="00DD1DFA">
        <w:rPr>
          <w:noProof/>
        </w:rPr>
        <w:t> </w:t>
      </w:r>
      <w:r w:rsidR="00DD1DFA" w:rsidRPr="00DD1DFA">
        <w:rPr>
          <w:noProof/>
        </w:rPr>
        <w:t>ene</w:t>
      </w:r>
      <w:r w:rsidR="00E70421" w:rsidRPr="00DD1DFA">
        <w:rPr>
          <w:noProof/>
        </w:rPr>
        <w:t>rgią, ujętych</w:t>
      </w:r>
      <w:r w:rsidR="00DD1DFA" w:rsidRPr="00DD1DFA">
        <w:rPr>
          <w:noProof/>
        </w:rPr>
        <w:t xml:space="preserve"> w</w:t>
      </w:r>
      <w:r w:rsidR="00DD1DFA">
        <w:rPr>
          <w:noProof/>
        </w:rPr>
        <w:t> </w:t>
      </w:r>
      <w:r w:rsidR="00DD1DFA" w:rsidRPr="00DD1DFA">
        <w:rPr>
          <w:noProof/>
        </w:rPr>
        <w:t>pla</w:t>
      </w:r>
      <w:r w:rsidR="00E70421" w:rsidRPr="00DD1DFA">
        <w:rPr>
          <w:noProof/>
        </w:rPr>
        <w:t>nach prac dotyczących ekoprojektu, które to produkty są jednocześnie wyrobami budowlanymi, oraz</w:t>
      </w:r>
      <w:r w:rsidR="00DD1DFA" w:rsidRPr="00DD1DFA">
        <w:rPr>
          <w:noProof/>
        </w:rPr>
        <w:t xml:space="preserve"> w</w:t>
      </w:r>
      <w:r w:rsidR="00DD1DFA">
        <w:rPr>
          <w:noProof/>
        </w:rPr>
        <w:t> </w:t>
      </w:r>
      <w:r w:rsidR="00DD1DFA" w:rsidRPr="00DD1DFA">
        <w:rPr>
          <w:noProof/>
        </w:rPr>
        <w:t>prz</w:t>
      </w:r>
      <w:r w:rsidR="00E70421" w:rsidRPr="00DD1DFA">
        <w:rPr>
          <w:noProof/>
        </w:rPr>
        <w:t>ypadku produktów pośrednich,</w:t>
      </w:r>
      <w:r w:rsidR="00DD1DFA" w:rsidRPr="00DD1DFA">
        <w:rPr>
          <w:noProof/>
        </w:rPr>
        <w:t xml:space="preserve"> z</w:t>
      </w:r>
      <w:r w:rsidR="00DD1DFA">
        <w:rPr>
          <w:noProof/>
        </w:rPr>
        <w:t> </w:t>
      </w:r>
      <w:r w:rsidR="00DD1DFA" w:rsidRPr="00DD1DFA">
        <w:rPr>
          <w:noProof/>
        </w:rPr>
        <w:t>wyj</w:t>
      </w:r>
      <w:r w:rsidR="00E70421" w:rsidRPr="00DD1DFA">
        <w:rPr>
          <w:noProof/>
        </w:rPr>
        <w:t>ątkiem cementu, pierwszeństwo</w:t>
      </w:r>
      <w:r w:rsidR="00DD1DFA" w:rsidRPr="00DD1DFA">
        <w:rPr>
          <w:noProof/>
        </w:rPr>
        <w:t xml:space="preserve"> w</w:t>
      </w:r>
      <w:r w:rsidR="00DD1DFA">
        <w:rPr>
          <w:noProof/>
        </w:rPr>
        <w:t> </w:t>
      </w:r>
      <w:r w:rsidR="00DD1DFA" w:rsidRPr="00DD1DFA">
        <w:rPr>
          <w:noProof/>
        </w:rPr>
        <w:t>ust</w:t>
      </w:r>
      <w:r w:rsidR="00E70421" w:rsidRPr="00DD1DFA">
        <w:rPr>
          <w:noProof/>
        </w:rPr>
        <w:t>alaniu wymogów</w:t>
      </w:r>
      <w:r w:rsidR="00DD1DFA" w:rsidRPr="00DD1DFA">
        <w:rPr>
          <w:noProof/>
        </w:rPr>
        <w:t xml:space="preserve"> w</w:t>
      </w:r>
      <w:r w:rsidR="00DD1DFA">
        <w:rPr>
          <w:noProof/>
        </w:rPr>
        <w:t> </w:t>
      </w:r>
      <w:r w:rsidR="00DD1DFA" w:rsidRPr="00DD1DFA">
        <w:rPr>
          <w:noProof/>
        </w:rPr>
        <w:t>zak</w:t>
      </w:r>
      <w:r w:rsidR="00E70421" w:rsidRPr="00DD1DFA">
        <w:rPr>
          <w:noProof/>
        </w:rPr>
        <w:t>resie zrównoważonego rozwoju będzie miało [rozporządzenie</w:t>
      </w:r>
      <w:r w:rsidR="00DD1DFA" w:rsidRPr="00DD1DFA">
        <w:rPr>
          <w:noProof/>
        </w:rPr>
        <w:t xml:space="preserve"> w</w:t>
      </w:r>
      <w:r w:rsidR="00DD1DFA">
        <w:rPr>
          <w:noProof/>
        </w:rPr>
        <w:t> </w:t>
      </w:r>
      <w:r w:rsidR="00DD1DFA" w:rsidRPr="00DD1DFA">
        <w:rPr>
          <w:noProof/>
        </w:rPr>
        <w:t>spr</w:t>
      </w:r>
      <w:r w:rsidR="00E70421" w:rsidRPr="00DD1DFA">
        <w:rPr>
          <w:noProof/>
        </w:rPr>
        <w:t>awie ekoprojektu dla zrównoważonych produktów]. Powinno to dotyczyć na przykład źródeł ciepła, kotłów, pomp ciepła, urządzeń do ogrzewania wody</w:t>
      </w:r>
      <w:r w:rsidR="00DD1DFA" w:rsidRPr="00DD1DFA">
        <w:rPr>
          <w:noProof/>
        </w:rPr>
        <w:t xml:space="preserve"> i</w:t>
      </w:r>
      <w:r w:rsidR="00DD1DFA">
        <w:rPr>
          <w:noProof/>
        </w:rPr>
        <w:t> </w:t>
      </w:r>
      <w:r w:rsidR="00DD1DFA" w:rsidRPr="00DD1DFA">
        <w:rPr>
          <w:noProof/>
        </w:rPr>
        <w:t>pom</w:t>
      </w:r>
      <w:r w:rsidR="00E70421" w:rsidRPr="00DD1DFA">
        <w:rPr>
          <w:noProof/>
        </w:rPr>
        <w:t>ieszczeń, wentylatorów, systemów chłodzenia</w:t>
      </w:r>
      <w:r w:rsidR="00DD1DFA" w:rsidRPr="00DD1DFA">
        <w:rPr>
          <w:noProof/>
        </w:rPr>
        <w:t xml:space="preserve"> i</w:t>
      </w:r>
      <w:r w:rsidR="00DD1DFA">
        <w:rPr>
          <w:noProof/>
        </w:rPr>
        <w:t> </w:t>
      </w:r>
      <w:r w:rsidR="00DD1DFA" w:rsidRPr="00DD1DFA">
        <w:rPr>
          <w:noProof/>
        </w:rPr>
        <w:t>wen</w:t>
      </w:r>
      <w:r w:rsidR="00E70421" w:rsidRPr="00DD1DFA">
        <w:rPr>
          <w:noProof/>
        </w:rPr>
        <w:t>tylacji oraz produktów fotowoltaicznych,</w:t>
      </w:r>
      <w:r w:rsidR="00DD1DFA" w:rsidRPr="00DD1DFA">
        <w:rPr>
          <w:noProof/>
        </w:rPr>
        <w:t xml:space="preserve"> z</w:t>
      </w:r>
      <w:r w:rsidR="00DD1DFA">
        <w:rPr>
          <w:noProof/>
        </w:rPr>
        <w:t> </w:t>
      </w:r>
      <w:r w:rsidR="00DD1DFA" w:rsidRPr="00DD1DFA">
        <w:rPr>
          <w:noProof/>
        </w:rPr>
        <w:t>wyj</w:t>
      </w:r>
      <w:r w:rsidR="00E70421" w:rsidRPr="00DD1DFA">
        <w:rPr>
          <w:noProof/>
        </w:rPr>
        <w:t>ątkiem paneli fotowoltaicznych zintegrowanych</w:t>
      </w:r>
      <w:r w:rsidR="00DD1DFA" w:rsidRPr="00DD1DFA">
        <w:rPr>
          <w:noProof/>
        </w:rPr>
        <w:t xml:space="preserve"> z</w:t>
      </w:r>
      <w:r w:rsidR="00DD1DFA">
        <w:rPr>
          <w:noProof/>
        </w:rPr>
        <w:t> </w:t>
      </w:r>
      <w:r w:rsidR="00DD1DFA" w:rsidRPr="00DD1DFA">
        <w:rPr>
          <w:noProof/>
        </w:rPr>
        <w:t>bud</w:t>
      </w:r>
      <w:r w:rsidR="00E70421" w:rsidRPr="00DD1DFA">
        <w:rPr>
          <w:noProof/>
        </w:rPr>
        <w:t>ynkiem</w:t>
      </w:r>
      <w:r w:rsidR="00DD1DFA" w:rsidRPr="00DD1DFA">
        <w:rPr>
          <w:noProof/>
        </w:rPr>
        <w:t>. W</w:t>
      </w:r>
      <w:r w:rsidR="00DD1DFA">
        <w:rPr>
          <w:noProof/>
        </w:rPr>
        <w:t> </w:t>
      </w:r>
      <w:r w:rsidR="00DD1DFA" w:rsidRPr="00DD1DFA">
        <w:rPr>
          <w:noProof/>
        </w:rPr>
        <w:t>raz</w:t>
      </w:r>
      <w:r w:rsidR="00E70421" w:rsidRPr="00DD1DFA">
        <w:rPr>
          <w:noProof/>
        </w:rPr>
        <w:t>ie potrzeby niniejsze rozporządzenie nadal może mieć charakter uzupełniający, głównie</w:t>
      </w:r>
      <w:r w:rsidR="00DD1DFA" w:rsidRPr="00DD1DFA">
        <w:rPr>
          <w:noProof/>
        </w:rPr>
        <w:t xml:space="preserve"> w</w:t>
      </w:r>
      <w:r w:rsidR="00DD1DFA">
        <w:rPr>
          <w:noProof/>
        </w:rPr>
        <w:t> </w:t>
      </w:r>
      <w:r w:rsidR="00DD1DFA" w:rsidRPr="00DD1DFA">
        <w:rPr>
          <w:noProof/>
        </w:rPr>
        <w:t>odn</w:t>
      </w:r>
      <w:r w:rsidR="00E70421" w:rsidRPr="00DD1DFA">
        <w:rPr>
          <w:noProof/>
        </w:rPr>
        <w:t>iesieniu do aspektów dotyczących bezpieczeństwa, przy jednoczesnym uwzględnieniu innych przepisów Unii dotyczących wyrobów, takich jak urządzenia gazowe, urządzenia niskiego napięcia</w:t>
      </w:r>
      <w:r w:rsidR="00DD1DFA" w:rsidRPr="00DD1DFA">
        <w:rPr>
          <w:noProof/>
        </w:rPr>
        <w:t xml:space="preserve"> i</w:t>
      </w:r>
      <w:r w:rsidR="00DD1DFA">
        <w:rPr>
          <w:noProof/>
        </w:rPr>
        <w:t> </w:t>
      </w:r>
      <w:r w:rsidR="00DD1DFA" w:rsidRPr="00DD1DFA">
        <w:rPr>
          <w:noProof/>
        </w:rPr>
        <w:t>mas</w:t>
      </w:r>
      <w:r w:rsidR="00E70421" w:rsidRPr="00DD1DFA">
        <w:rPr>
          <w:noProof/>
        </w:rPr>
        <w:t>zyny</w:t>
      </w:r>
      <w:r w:rsidR="00DD1DFA" w:rsidRPr="00DD1DFA">
        <w:rPr>
          <w:noProof/>
        </w:rPr>
        <w:t>. W</w:t>
      </w:r>
      <w:r w:rsidR="00DD1DFA">
        <w:rPr>
          <w:noProof/>
        </w:rPr>
        <w:t> </w:t>
      </w:r>
      <w:r w:rsidR="00DD1DFA" w:rsidRPr="00DD1DFA">
        <w:rPr>
          <w:noProof/>
        </w:rPr>
        <w:t>prz</w:t>
      </w:r>
      <w:r w:rsidR="00E70421" w:rsidRPr="00DD1DFA">
        <w:rPr>
          <w:noProof/>
        </w:rPr>
        <w:t>ypadku innych wyrobów, aby uniknąć niepotrzebnych obciążeń dla podmiotów gospodarczych,</w:t>
      </w:r>
      <w:r w:rsidR="00DD1DFA" w:rsidRPr="00DD1DFA">
        <w:rPr>
          <w:noProof/>
        </w:rPr>
        <w:t xml:space="preserve"> w</w:t>
      </w:r>
      <w:r w:rsidR="00DD1DFA">
        <w:rPr>
          <w:noProof/>
        </w:rPr>
        <w:t> </w:t>
      </w:r>
      <w:r w:rsidR="00DD1DFA" w:rsidRPr="00DD1DFA">
        <w:rPr>
          <w:noProof/>
        </w:rPr>
        <w:t>prz</w:t>
      </w:r>
      <w:r w:rsidR="00E70421" w:rsidRPr="00DD1DFA">
        <w:rPr>
          <w:noProof/>
        </w:rPr>
        <w:t>yszłości może pojawić się potrzeba określenia warunków, na jakich</w:t>
      </w:r>
      <w:r w:rsidR="00DD1DFA" w:rsidRPr="00DD1DFA">
        <w:rPr>
          <w:noProof/>
        </w:rPr>
        <w:t xml:space="preserve"> w</w:t>
      </w:r>
      <w:r w:rsidR="00DD1DFA">
        <w:rPr>
          <w:noProof/>
        </w:rPr>
        <w:t> </w:t>
      </w:r>
      <w:r w:rsidR="00DD1DFA" w:rsidRPr="00DD1DFA">
        <w:rPr>
          <w:noProof/>
        </w:rPr>
        <w:t>wyn</w:t>
      </w:r>
      <w:r w:rsidR="00E70421" w:rsidRPr="00DD1DFA">
        <w:rPr>
          <w:noProof/>
        </w:rPr>
        <w:t>iku spełnienia obowiązków wynikających</w:t>
      </w:r>
      <w:r w:rsidR="00DD1DFA" w:rsidRPr="00DD1DFA">
        <w:rPr>
          <w:noProof/>
        </w:rPr>
        <w:t xml:space="preserve"> z</w:t>
      </w:r>
      <w:r w:rsidR="00DD1DFA">
        <w:rPr>
          <w:noProof/>
        </w:rPr>
        <w:t> </w:t>
      </w:r>
      <w:r w:rsidR="00DD1DFA" w:rsidRPr="00DD1DFA">
        <w:rPr>
          <w:noProof/>
        </w:rPr>
        <w:t>inn</w:t>
      </w:r>
      <w:r w:rsidR="00E70421" w:rsidRPr="00DD1DFA">
        <w:rPr>
          <w:noProof/>
        </w:rPr>
        <w:t>ych przepisów prawa Unii zostają również spełnione niektóre obowiązki wynikające</w:t>
      </w:r>
      <w:r w:rsidR="00DD1DFA" w:rsidRPr="00DD1DFA">
        <w:rPr>
          <w:noProof/>
        </w:rPr>
        <w:t xml:space="preserve"> z</w:t>
      </w:r>
      <w:r w:rsidR="00DD1DFA">
        <w:rPr>
          <w:noProof/>
        </w:rPr>
        <w:t> </w:t>
      </w:r>
      <w:r w:rsidR="00DD1DFA" w:rsidRPr="00DD1DFA">
        <w:rPr>
          <w:noProof/>
        </w:rPr>
        <w:t>nin</w:t>
      </w:r>
      <w:r w:rsidR="00E70421" w:rsidRPr="00DD1DFA">
        <w:rPr>
          <w:noProof/>
        </w:rPr>
        <w:t>iejszego rozporządzenia. Komisja powinna posiadać uprawnienia do przyjęcia aktów zgodnie</w:t>
      </w:r>
      <w:r w:rsidR="00DD1DFA" w:rsidRPr="00DD1DFA">
        <w:rPr>
          <w:noProof/>
        </w:rPr>
        <w:t xml:space="preserve"> z</w:t>
      </w:r>
      <w:r w:rsidR="00DD1DFA">
        <w:rPr>
          <w:noProof/>
        </w:rPr>
        <w:t> </w:t>
      </w:r>
      <w:r w:rsidR="00DD1DFA" w:rsidRPr="00DD1DFA">
        <w:rPr>
          <w:noProof/>
        </w:rPr>
        <w:t>art</w:t>
      </w:r>
      <w:r w:rsidR="00E70421" w:rsidRPr="00DD1DFA">
        <w:rPr>
          <w:noProof/>
        </w:rPr>
        <w:t>.</w:t>
      </w:r>
      <w:r w:rsidR="00DD1DFA" w:rsidRPr="00DD1DFA">
        <w:rPr>
          <w:noProof/>
        </w:rPr>
        <w:t> </w:t>
      </w:r>
      <w:r w:rsidR="00E70421" w:rsidRPr="00DD1DFA">
        <w:rPr>
          <w:noProof/>
        </w:rPr>
        <w:t>290 TFUE</w:t>
      </w:r>
      <w:r w:rsidR="00DD1DFA" w:rsidRPr="00DD1DFA">
        <w:rPr>
          <w:noProof/>
        </w:rPr>
        <w:t xml:space="preserve"> w</w:t>
      </w:r>
      <w:r w:rsidR="00DD1DFA">
        <w:rPr>
          <w:noProof/>
        </w:rPr>
        <w:t> </w:t>
      </w:r>
      <w:r w:rsidR="00DD1DFA" w:rsidRPr="00DD1DFA">
        <w:rPr>
          <w:noProof/>
        </w:rPr>
        <w:t>cel</w:t>
      </w:r>
      <w:r w:rsidR="00E70421" w:rsidRPr="00DD1DFA">
        <w:rPr>
          <w:noProof/>
        </w:rPr>
        <w:t xml:space="preserve">u określenia takich warunków. </w:t>
      </w:r>
    </w:p>
    <w:p w14:paraId="297FA7F7" w14:textId="1825081E" w:rsidR="00181517" w:rsidRPr="00DD1DFA" w:rsidRDefault="005F7EFA" w:rsidP="005F7EFA">
      <w:pPr>
        <w:pStyle w:val="ManualConsidrant"/>
        <w:rPr>
          <w:noProof/>
        </w:rPr>
      </w:pPr>
      <w:r w:rsidRPr="005F7EFA">
        <w:t>(29)</w:t>
      </w:r>
      <w:r w:rsidRPr="005F7EFA">
        <w:tab/>
      </w:r>
      <w:r w:rsidR="00181517" w:rsidRPr="00DD1DFA">
        <w:rPr>
          <w:noProof/>
        </w:rPr>
        <w:t>Aby stworzyć zachętę do przestrzegania przepisów, producent wyrobów budowlanych powinien ponosić odpowiedzialność za nieprawidłowe deklaracje właściwości użytkowych</w:t>
      </w:r>
      <w:r w:rsidR="00DD1DFA" w:rsidRPr="00DD1DFA">
        <w:rPr>
          <w:noProof/>
        </w:rPr>
        <w:t xml:space="preserve"> i</w:t>
      </w:r>
      <w:r w:rsidR="00DD1DFA">
        <w:rPr>
          <w:noProof/>
        </w:rPr>
        <w:t> </w:t>
      </w:r>
      <w:r w:rsidR="00DD1DFA" w:rsidRPr="00DD1DFA">
        <w:rPr>
          <w:noProof/>
        </w:rPr>
        <w:t>dek</w:t>
      </w:r>
      <w:r w:rsidR="00181517" w:rsidRPr="00DD1DFA">
        <w:rPr>
          <w:noProof/>
        </w:rPr>
        <w:t xml:space="preserve">laracje zgodności. </w:t>
      </w:r>
    </w:p>
    <w:p w14:paraId="215B734B" w14:textId="590B0E00" w:rsidR="00181517" w:rsidRPr="00DD1DFA" w:rsidRDefault="005F7EFA" w:rsidP="005F7EFA">
      <w:pPr>
        <w:pStyle w:val="ManualConsidrant"/>
        <w:rPr>
          <w:noProof/>
        </w:rPr>
      </w:pPr>
      <w:r w:rsidRPr="005F7EFA">
        <w:t>(30)</w:t>
      </w:r>
      <w:r w:rsidRPr="005F7EFA">
        <w:tab/>
      </w:r>
      <w:r w:rsidR="00181517" w:rsidRPr="00DD1DFA">
        <w:rPr>
          <w:noProof/>
        </w:rPr>
        <w:t>Zwiększone wykorzystanie wyrobów poddanych regeneracji jest częścią zmiany</w:t>
      </w:r>
      <w:r w:rsidR="00DD1DFA" w:rsidRPr="00DD1DFA">
        <w:rPr>
          <w:noProof/>
        </w:rPr>
        <w:t xml:space="preserve"> w</w:t>
      </w:r>
      <w:r w:rsidR="00DD1DFA">
        <w:rPr>
          <w:noProof/>
        </w:rPr>
        <w:t> </w:t>
      </w:r>
      <w:r w:rsidR="00DD1DFA" w:rsidRPr="00DD1DFA">
        <w:rPr>
          <w:noProof/>
        </w:rPr>
        <w:t>kie</w:t>
      </w:r>
      <w:r w:rsidR="00181517" w:rsidRPr="00DD1DFA">
        <w:rPr>
          <w:noProof/>
        </w:rPr>
        <w:t>runku gospodarki</w:t>
      </w:r>
      <w:r w:rsidR="00DD1DFA" w:rsidRPr="00DD1DFA">
        <w:rPr>
          <w:noProof/>
        </w:rPr>
        <w:t xml:space="preserve"> o</w:t>
      </w:r>
      <w:r w:rsidR="00DD1DFA">
        <w:rPr>
          <w:noProof/>
        </w:rPr>
        <w:t> </w:t>
      </w:r>
      <w:r w:rsidR="00DD1DFA" w:rsidRPr="00DD1DFA">
        <w:rPr>
          <w:noProof/>
        </w:rPr>
        <w:t>bar</w:t>
      </w:r>
      <w:r w:rsidR="00181517" w:rsidRPr="00DD1DFA">
        <w:rPr>
          <w:noProof/>
        </w:rPr>
        <w:t>dziej zamkniętym obiegu oraz zmniejszenia śladu środowiskowego</w:t>
      </w:r>
      <w:r w:rsidR="00DD1DFA" w:rsidRPr="00DD1DFA">
        <w:rPr>
          <w:noProof/>
        </w:rPr>
        <w:t xml:space="preserve"> i</w:t>
      </w:r>
      <w:r w:rsidR="00DD1DFA">
        <w:rPr>
          <w:noProof/>
        </w:rPr>
        <w:t> </w:t>
      </w:r>
      <w:r w:rsidR="00DD1DFA" w:rsidRPr="00DD1DFA">
        <w:rPr>
          <w:noProof/>
        </w:rPr>
        <w:t>węg</w:t>
      </w:r>
      <w:r w:rsidR="00181517" w:rsidRPr="00DD1DFA">
        <w:rPr>
          <w:noProof/>
        </w:rPr>
        <w:t>lowego wyrobów budowlanych. Ponadto rynek regeneracji wyrobów nie jest obecnie zbyt rozwinięty,</w:t>
      </w:r>
      <w:r w:rsidR="00DD1DFA" w:rsidRPr="00DD1DFA">
        <w:rPr>
          <w:noProof/>
        </w:rPr>
        <w:t xml:space="preserve"> a</w:t>
      </w:r>
      <w:r w:rsidR="00DD1DFA">
        <w:rPr>
          <w:noProof/>
        </w:rPr>
        <w:t> </w:t>
      </w:r>
      <w:r w:rsidR="00DD1DFA" w:rsidRPr="00DD1DFA">
        <w:rPr>
          <w:noProof/>
        </w:rPr>
        <w:t>wym</w:t>
      </w:r>
      <w:r w:rsidR="00181517" w:rsidRPr="00DD1DFA">
        <w:rPr>
          <w:noProof/>
        </w:rPr>
        <w:t>ogi dotyczące wyrobów poddanych regeneracji znacząco różnią się</w:t>
      </w:r>
      <w:r w:rsidR="00DD1DFA" w:rsidRPr="00DD1DFA">
        <w:rPr>
          <w:noProof/>
        </w:rPr>
        <w:t xml:space="preserve"> w</w:t>
      </w:r>
      <w:r w:rsidR="00DD1DFA">
        <w:rPr>
          <w:noProof/>
        </w:rPr>
        <w:t> </w:t>
      </w:r>
      <w:r w:rsidR="00DD1DFA" w:rsidRPr="00DD1DFA">
        <w:rPr>
          <w:noProof/>
        </w:rPr>
        <w:t>pos</w:t>
      </w:r>
      <w:r w:rsidR="00181517" w:rsidRPr="00DD1DFA">
        <w:rPr>
          <w:noProof/>
        </w:rPr>
        <w:t>zczególnych państwach członkowskich</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w:t>
      </w:r>
      <w:r w:rsidR="00DD1DFA" w:rsidRPr="00DD1DFA">
        <w:rPr>
          <w:noProof/>
        </w:rPr>
        <w:t xml:space="preserve"> a</w:t>
      </w:r>
      <w:r w:rsidR="00DD1DFA">
        <w:rPr>
          <w:noProof/>
        </w:rPr>
        <w:t> </w:t>
      </w:r>
      <w:r w:rsidR="00DD1DFA" w:rsidRPr="00DD1DFA">
        <w:rPr>
          <w:noProof/>
        </w:rPr>
        <w:t>tak</w:t>
      </w:r>
      <w:r w:rsidR="00181517" w:rsidRPr="00DD1DFA">
        <w:rPr>
          <w:noProof/>
        </w:rPr>
        <w:t>że</w:t>
      </w:r>
      <w:r w:rsidR="00DD1DFA" w:rsidRPr="00DD1DFA">
        <w:rPr>
          <w:noProof/>
        </w:rPr>
        <w:t xml:space="preserve"> w</w:t>
      </w:r>
      <w:r w:rsidR="00DD1DFA">
        <w:rPr>
          <w:noProof/>
        </w:rPr>
        <w:t> </w:t>
      </w:r>
      <w:r w:rsidR="00DD1DFA" w:rsidRPr="00DD1DFA">
        <w:rPr>
          <w:noProof/>
        </w:rPr>
        <w:t>cel</w:t>
      </w:r>
      <w:r w:rsidR="00181517" w:rsidRPr="00DD1DFA">
        <w:rPr>
          <w:noProof/>
        </w:rPr>
        <w:t>u poszanowania zasady pomocniczości, państwa członkowskie powinny mieć możliwość zwolnienia wyrobów poddanych regeneracji</w:t>
      </w:r>
      <w:r w:rsidR="00DD1DFA" w:rsidRPr="00DD1DFA">
        <w:rPr>
          <w:noProof/>
        </w:rPr>
        <w:t xml:space="preserve"> z</w:t>
      </w:r>
      <w:r w:rsidR="00DD1DFA">
        <w:rPr>
          <w:noProof/>
        </w:rPr>
        <w:t> </w:t>
      </w:r>
      <w:r w:rsidR="00DD1DFA" w:rsidRPr="00DD1DFA">
        <w:rPr>
          <w:noProof/>
        </w:rPr>
        <w:t>obo</w:t>
      </w:r>
      <w:r w:rsidR="00181517" w:rsidRPr="00DD1DFA">
        <w:rPr>
          <w:noProof/>
        </w:rPr>
        <w:t>wiązku sporządzania dla nich deklaracji właściwości użytkowych. Takie zwolnienie nie powinno być jednak możliwe</w:t>
      </w:r>
      <w:r w:rsidR="00DD1DFA" w:rsidRPr="00DD1DFA">
        <w:rPr>
          <w:noProof/>
        </w:rPr>
        <w:t xml:space="preserve"> w</w:t>
      </w:r>
      <w:r w:rsidR="00DD1DFA">
        <w:rPr>
          <w:noProof/>
        </w:rPr>
        <w:t> </w:t>
      </w:r>
      <w:r w:rsidR="00DD1DFA" w:rsidRPr="00DD1DFA">
        <w:rPr>
          <w:noProof/>
        </w:rPr>
        <w:t>prz</w:t>
      </w:r>
      <w:r w:rsidR="00181517" w:rsidRPr="00DD1DFA">
        <w:rPr>
          <w:noProof/>
        </w:rPr>
        <w:t>ypadku wyrobów, które nie nadają się do regeneracji lub gdy</w:t>
      </w:r>
      <w:r w:rsidR="00DD1DFA" w:rsidRPr="00DD1DFA">
        <w:rPr>
          <w:noProof/>
        </w:rPr>
        <w:t xml:space="preserve"> w</w:t>
      </w:r>
      <w:r w:rsidR="00DD1DFA">
        <w:rPr>
          <w:noProof/>
        </w:rPr>
        <w:t> </w:t>
      </w:r>
      <w:r w:rsidR="00DD1DFA" w:rsidRPr="00DD1DFA">
        <w:rPr>
          <w:noProof/>
        </w:rPr>
        <w:t>grę</w:t>
      </w:r>
      <w:r w:rsidR="00181517" w:rsidRPr="00DD1DFA">
        <w:rPr>
          <w:noProof/>
        </w:rPr>
        <w:t xml:space="preserve"> wchodzą interesy innych państw członkowskich.</w:t>
      </w:r>
    </w:p>
    <w:p w14:paraId="4C62BF70" w14:textId="6448D472" w:rsidR="00181517" w:rsidRPr="00DD1DFA" w:rsidRDefault="005F7EFA" w:rsidP="005F7EFA">
      <w:pPr>
        <w:pStyle w:val="ManualConsidrant"/>
        <w:rPr>
          <w:noProof/>
        </w:rPr>
      </w:pPr>
      <w:r w:rsidRPr="005F7EFA">
        <w:t>(31)</w:t>
      </w:r>
      <w:r w:rsidRPr="005F7EFA">
        <w:tab/>
      </w:r>
      <w:r w:rsidR="00232AA9" w:rsidRPr="00DD1DFA">
        <w:rPr>
          <w:noProof/>
        </w:rPr>
        <w:t>Aby zwiększyć dostęp do łatwo dostępnych</w:t>
      </w:r>
      <w:r w:rsidR="00DD1DFA" w:rsidRPr="00DD1DFA">
        <w:rPr>
          <w:noProof/>
        </w:rPr>
        <w:t xml:space="preserve"> i</w:t>
      </w:r>
      <w:r w:rsidR="00DD1DFA">
        <w:rPr>
          <w:noProof/>
        </w:rPr>
        <w:t> </w:t>
      </w:r>
      <w:r w:rsidR="00DD1DFA" w:rsidRPr="00DD1DFA">
        <w:rPr>
          <w:noProof/>
        </w:rPr>
        <w:t>wyc</w:t>
      </w:r>
      <w:r w:rsidR="00232AA9" w:rsidRPr="00DD1DFA">
        <w:rPr>
          <w:noProof/>
        </w:rPr>
        <w:t>zerpujących informacji</w:t>
      </w:r>
      <w:r w:rsidR="00DD1DFA" w:rsidRPr="00DD1DFA">
        <w:rPr>
          <w:noProof/>
        </w:rPr>
        <w:t xml:space="preserve"> o</w:t>
      </w:r>
      <w:r w:rsidR="00DD1DFA">
        <w:rPr>
          <w:noProof/>
        </w:rPr>
        <w:t> </w:t>
      </w:r>
      <w:r w:rsidR="00DD1DFA" w:rsidRPr="00DD1DFA">
        <w:rPr>
          <w:noProof/>
        </w:rPr>
        <w:t>wyr</w:t>
      </w:r>
      <w:r w:rsidR="00232AA9" w:rsidRPr="00DD1DFA">
        <w:rPr>
          <w:noProof/>
        </w:rPr>
        <w:t>obach budowlanych,</w:t>
      </w:r>
      <w:r w:rsidR="00DD1DFA" w:rsidRPr="00DD1DFA">
        <w:rPr>
          <w:noProof/>
        </w:rPr>
        <w:t xml:space="preserve"> a</w:t>
      </w:r>
      <w:r w:rsidR="00DD1DFA">
        <w:rPr>
          <w:noProof/>
        </w:rPr>
        <w:t> </w:t>
      </w:r>
      <w:r w:rsidR="00DD1DFA" w:rsidRPr="00DD1DFA">
        <w:rPr>
          <w:noProof/>
        </w:rPr>
        <w:t>tym</w:t>
      </w:r>
      <w:r w:rsidR="00232AA9" w:rsidRPr="00DD1DFA">
        <w:rPr>
          <w:noProof/>
        </w:rPr>
        <w:t xml:space="preserve"> samym przyczynić się do zwiększenia ich bezpieczeństwa, funkcjonalności</w:t>
      </w:r>
      <w:r w:rsidR="00DD1DFA" w:rsidRPr="00DD1DFA">
        <w:rPr>
          <w:noProof/>
        </w:rPr>
        <w:t xml:space="preserve"> i</w:t>
      </w:r>
      <w:r w:rsidR="00DD1DFA">
        <w:rPr>
          <w:noProof/>
        </w:rPr>
        <w:t> </w:t>
      </w:r>
      <w:r w:rsidR="00DD1DFA" w:rsidRPr="00DD1DFA">
        <w:rPr>
          <w:noProof/>
        </w:rPr>
        <w:t>zró</w:t>
      </w:r>
      <w:r w:rsidR="00232AA9" w:rsidRPr="00DD1DFA">
        <w:rPr>
          <w:noProof/>
        </w:rPr>
        <w:t>wnoważoności, należy dopilnować, by deklaracja właściwości użytkowych zawierała wszystkie informacje niezbędne dla użytkowników</w:t>
      </w:r>
      <w:r w:rsidR="00DD1DFA" w:rsidRPr="00DD1DFA">
        <w:rPr>
          <w:noProof/>
        </w:rPr>
        <w:t xml:space="preserve"> i</w:t>
      </w:r>
      <w:r w:rsidR="00DD1DFA">
        <w:rPr>
          <w:noProof/>
        </w:rPr>
        <w:t> </w:t>
      </w:r>
      <w:r w:rsidR="00DD1DFA" w:rsidRPr="00DD1DFA">
        <w:rPr>
          <w:noProof/>
        </w:rPr>
        <w:t>org</w:t>
      </w:r>
      <w:r w:rsidR="00232AA9" w:rsidRPr="00DD1DFA">
        <w:rPr>
          <w:noProof/>
        </w:rPr>
        <w:t>anów. Ze względu na użyteczność dla użytkowników producenci powinni mieć możliwość umieszczania</w:t>
      </w:r>
      <w:r w:rsidR="00DD1DFA" w:rsidRPr="00DD1DFA">
        <w:rPr>
          <w:noProof/>
        </w:rPr>
        <w:t xml:space="preserve"> w</w:t>
      </w:r>
      <w:r w:rsidR="00DD1DFA">
        <w:rPr>
          <w:noProof/>
        </w:rPr>
        <w:t> </w:t>
      </w:r>
      <w:r w:rsidR="00DD1DFA" w:rsidRPr="00DD1DFA">
        <w:rPr>
          <w:noProof/>
        </w:rPr>
        <w:t>tak</w:t>
      </w:r>
      <w:r w:rsidR="00232AA9" w:rsidRPr="00DD1DFA">
        <w:rPr>
          <w:noProof/>
        </w:rPr>
        <w:t>iej deklaracji dodatkowych informacji, pod warunkiem że deklaracje właściwości użytkowych pozostaną jednolite</w:t>
      </w:r>
      <w:r w:rsidR="00DD1DFA" w:rsidRPr="00DD1DFA">
        <w:rPr>
          <w:noProof/>
        </w:rPr>
        <w:t xml:space="preserve"> i</w:t>
      </w:r>
      <w:r w:rsidR="00DD1DFA">
        <w:rPr>
          <w:noProof/>
        </w:rPr>
        <w:t> </w:t>
      </w:r>
      <w:r w:rsidR="00DD1DFA" w:rsidRPr="00DD1DFA">
        <w:rPr>
          <w:noProof/>
        </w:rPr>
        <w:t>łat</w:t>
      </w:r>
      <w:r w:rsidR="00232AA9" w:rsidRPr="00DD1DFA">
        <w:rPr>
          <w:noProof/>
        </w:rPr>
        <w:t>we do odczytania oraz że nie będą nadmiernie wykorzystywane do celów reklamowych.</w:t>
      </w:r>
    </w:p>
    <w:p w14:paraId="03571890" w14:textId="6352385B" w:rsidR="00181517" w:rsidRPr="00DD1DFA" w:rsidRDefault="005F7EFA" w:rsidP="005F7EFA">
      <w:pPr>
        <w:pStyle w:val="ManualConsidrant"/>
        <w:rPr>
          <w:noProof/>
        </w:rPr>
      </w:pPr>
      <w:r w:rsidRPr="005F7EFA">
        <w:t>(32)</w:t>
      </w:r>
      <w:r w:rsidRPr="005F7EFA">
        <w:tab/>
      </w:r>
      <w:r w:rsidR="00E70421" w:rsidRPr="00DD1DFA">
        <w:rPr>
          <w:noProof/>
        </w:rPr>
        <w:t>Aby jednak ponowne użycie</w:t>
      </w:r>
      <w:r w:rsidR="00DD1DFA" w:rsidRPr="00DD1DFA">
        <w:rPr>
          <w:noProof/>
        </w:rPr>
        <w:t xml:space="preserve"> i</w:t>
      </w:r>
      <w:r w:rsidR="00DD1DFA">
        <w:rPr>
          <w:noProof/>
        </w:rPr>
        <w:t> </w:t>
      </w:r>
      <w:r w:rsidR="00DD1DFA" w:rsidRPr="00DD1DFA">
        <w:rPr>
          <w:noProof/>
        </w:rPr>
        <w:t>reg</w:t>
      </w:r>
      <w:r w:rsidR="00E70421" w:rsidRPr="00DD1DFA">
        <w:rPr>
          <w:noProof/>
        </w:rPr>
        <w:t>eneracja wyrobów budowlanych oraz wykorzystanie nadwyżek wyrobów budowlanych były możliwe na dużą skalę, należy ustanowić</w:t>
      </w:r>
      <w:r w:rsidR="00DD1DFA" w:rsidRPr="00DD1DFA">
        <w:rPr>
          <w:noProof/>
        </w:rPr>
        <w:t xml:space="preserve"> w</w:t>
      </w:r>
      <w:r w:rsidR="00DD1DFA">
        <w:rPr>
          <w:noProof/>
        </w:rPr>
        <w:t> </w:t>
      </w:r>
      <w:r w:rsidR="00DD1DFA" w:rsidRPr="00DD1DFA">
        <w:rPr>
          <w:noProof/>
        </w:rPr>
        <w:t>odn</w:t>
      </w:r>
      <w:r w:rsidR="00E70421" w:rsidRPr="00DD1DFA">
        <w:rPr>
          <w:noProof/>
        </w:rPr>
        <w:t>iesieniu do tych wyrobów budowlanych złagodzoną procedurę sporządzania deklaracji właściwości użytkowych</w:t>
      </w:r>
      <w:r w:rsidR="00DD1DFA" w:rsidRPr="00DD1DFA">
        <w:rPr>
          <w:noProof/>
        </w:rPr>
        <w:t>. W</w:t>
      </w:r>
      <w:r w:rsidR="00DD1DFA">
        <w:rPr>
          <w:noProof/>
        </w:rPr>
        <w:t> </w:t>
      </w:r>
      <w:r w:rsidR="00DD1DFA" w:rsidRPr="00DD1DFA">
        <w:rPr>
          <w:noProof/>
        </w:rPr>
        <w:t>prz</w:t>
      </w:r>
      <w:r w:rsidR="00E70421" w:rsidRPr="00DD1DFA">
        <w:rPr>
          <w:noProof/>
        </w:rPr>
        <w:t>ypadku nadwyżek wyrobów budowlanych, jeżeli zmiana</w:t>
      </w:r>
      <w:r w:rsidR="00DD1DFA" w:rsidRPr="00DD1DFA">
        <w:rPr>
          <w:noProof/>
        </w:rPr>
        <w:t xml:space="preserve"> w</w:t>
      </w:r>
      <w:r w:rsidR="00DD1DFA">
        <w:rPr>
          <w:noProof/>
        </w:rPr>
        <w:t> </w:t>
      </w:r>
      <w:r w:rsidR="00DD1DFA" w:rsidRPr="00DD1DFA">
        <w:rPr>
          <w:noProof/>
        </w:rPr>
        <w:t>wyn</w:t>
      </w:r>
      <w:r w:rsidR="00E70421" w:rsidRPr="00DD1DFA">
        <w:rPr>
          <w:noProof/>
        </w:rPr>
        <w:t>iku ich użycia jest wykluczona, złagodzona procedura powinna ograniczać się do przypadków,</w:t>
      </w:r>
      <w:r w:rsidR="00DD1DFA" w:rsidRPr="00DD1DFA">
        <w:rPr>
          <w:noProof/>
        </w:rPr>
        <w:t xml:space="preserve"> w</w:t>
      </w:r>
      <w:r w:rsidR="00DD1DFA">
        <w:rPr>
          <w:noProof/>
        </w:rPr>
        <w:t> </w:t>
      </w:r>
      <w:r w:rsidR="00DD1DFA" w:rsidRPr="00DD1DFA">
        <w:rPr>
          <w:noProof/>
        </w:rPr>
        <w:t>któ</w:t>
      </w:r>
      <w:r w:rsidR="00E70421" w:rsidRPr="00DD1DFA">
        <w:rPr>
          <w:noProof/>
        </w:rPr>
        <w:t>rych pierwotny producent odmawia przyjęcia odpowiedzialności za nadwyżkę wyrobu budowlanego, ponieważ zawsze lepiej jest, gdy za wyroby budowlane, jeżeli nie uległy zmianie, odpowiedzialność ponosi pierwotny, kompetentny producent.</w:t>
      </w:r>
    </w:p>
    <w:p w14:paraId="3F55FCDE" w14:textId="6DB5678B" w:rsidR="00181517" w:rsidRPr="00DD1DFA" w:rsidRDefault="005F7EFA" w:rsidP="005F7EFA">
      <w:pPr>
        <w:pStyle w:val="ManualConsidrant"/>
        <w:rPr>
          <w:noProof/>
        </w:rPr>
      </w:pPr>
      <w:r w:rsidRPr="005F7EFA">
        <w:t>(33)</w:t>
      </w:r>
      <w:r w:rsidRPr="005F7EFA">
        <w:tab/>
      </w:r>
      <w:r w:rsidR="00181517" w:rsidRPr="00DD1DFA">
        <w:rPr>
          <w:noProof/>
        </w:rPr>
        <w:t>Aby zmniejszyć obciążenie dla podmiotów gospodarczych,</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szc</w:t>
      </w:r>
      <w:r w:rsidR="00181517" w:rsidRPr="00DD1DFA">
        <w:rPr>
          <w:noProof/>
        </w:rPr>
        <w:t>zególności producentów, podmioty gospodarcze wystawiające deklaracje właściwości użytkowych</w:t>
      </w:r>
      <w:r w:rsidR="00DD1DFA" w:rsidRPr="00DD1DFA">
        <w:rPr>
          <w:noProof/>
        </w:rPr>
        <w:t xml:space="preserve"> i</w:t>
      </w:r>
      <w:r w:rsidR="00DD1DFA">
        <w:rPr>
          <w:noProof/>
        </w:rPr>
        <w:t> </w:t>
      </w:r>
      <w:r w:rsidR="00DD1DFA" w:rsidRPr="00DD1DFA">
        <w:rPr>
          <w:noProof/>
        </w:rPr>
        <w:t>dek</w:t>
      </w:r>
      <w:r w:rsidR="00181517" w:rsidRPr="00DD1DFA">
        <w:rPr>
          <w:noProof/>
        </w:rPr>
        <w:t>laracje zgodności powinny dostarczać te deklaracje drogą elektroniczną, być upoważnione do ich dostarczania za pośrednictwem odnośnika bezpośredniego do dokumentu niepodlegającego modyfikacji lub umieszczać</w:t>
      </w:r>
      <w:r w:rsidR="00DD1DFA" w:rsidRPr="00DD1DFA">
        <w:rPr>
          <w:noProof/>
        </w:rPr>
        <w:t xml:space="preserve"> w</w:t>
      </w:r>
      <w:r w:rsidR="00DD1DFA">
        <w:rPr>
          <w:noProof/>
        </w:rPr>
        <w:t> </w:t>
      </w:r>
      <w:r w:rsidR="00DD1DFA" w:rsidRPr="00DD1DFA">
        <w:rPr>
          <w:noProof/>
        </w:rPr>
        <w:t>tyc</w:t>
      </w:r>
      <w:r w:rsidR="00181517" w:rsidRPr="00DD1DFA">
        <w:rPr>
          <w:noProof/>
        </w:rPr>
        <w:t>h deklaracjach odnośniki bezpośrednie do dokumentów niepodlegających modyfikacji.</w:t>
      </w:r>
    </w:p>
    <w:p w14:paraId="60D29F19" w14:textId="5B87397D" w:rsidR="00181517" w:rsidRPr="00DD1DFA" w:rsidRDefault="005F7EFA" w:rsidP="005F7EFA">
      <w:pPr>
        <w:pStyle w:val="ManualConsidrant"/>
        <w:rPr>
          <w:noProof/>
        </w:rPr>
      </w:pPr>
      <w:r w:rsidRPr="005F7EFA">
        <w:t>(34)</w:t>
      </w:r>
      <w:r w:rsidRPr="005F7EFA">
        <w:tab/>
      </w:r>
      <w:r w:rsidR="00232AA9" w:rsidRPr="00DD1DFA">
        <w:rPr>
          <w:noProof/>
        </w:rPr>
        <w:t>Aby producenci mogli wykazać, że wyroby budowlane korzystające ze swobodnego przepływu towarów spełniają odpowiednie wymogi unijne, należy wprowadzić wymóg przedstawienia deklaracji zgodności uzupełniającej deklarację właściwości użytkowych, przyczyniając się tym samym do zapewnienia większej zgodności ram prawnych dotyczących wyrobów budowlanych</w:t>
      </w:r>
      <w:r w:rsidR="00DD1DFA" w:rsidRPr="00DD1DFA">
        <w:rPr>
          <w:noProof/>
        </w:rPr>
        <w:t xml:space="preserve"> z</w:t>
      </w:r>
      <w:r w:rsidR="00DD1DFA">
        <w:rPr>
          <w:noProof/>
        </w:rPr>
        <w:t> </w:t>
      </w:r>
      <w:r w:rsidR="00DD1DFA" w:rsidRPr="00DD1DFA">
        <w:rPr>
          <w:noProof/>
        </w:rPr>
        <w:t>prz</w:t>
      </w:r>
      <w:r w:rsidR="00232AA9" w:rsidRPr="00DD1DFA">
        <w:rPr>
          <w:noProof/>
        </w:rPr>
        <w:t>episami rozporządzenia (WE) nr</w:t>
      </w:r>
      <w:r w:rsidR="00DD1DFA" w:rsidRPr="00DD1DFA">
        <w:rPr>
          <w:noProof/>
        </w:rPr>
        <w:t> </w:t>
      </w:r>
      <w:r w:rsidR="00232AA9" w:rsidRPr="00DD1DFA">
        <w:rPr>
          <w:noProof/>
        </w:rPr>
        <w:t>765/2008. Aby jednak zminimalizować potencjalne obciążenia administracyjne, deklarację zgodności</w:t>
      </w:r>
      <w:r w:rsidR="00DD1DFA" w:rsidRPr="00DD1DFA">
        <w:rPr>
          <w:noProof/>
        </w:rPr>
        <w:t xml:space="preserve"> i</w:t>
      </w:r>
      <w:r w:rsidR="00DD1DFA">
        <w:rPr>
          <w:noProof/>
        </w:rPr>
        <w:t> </w:t>
      </w:r>
      <w:r w:rsidR="00DD1DFA" w:rsidRPr="00DD1DFA">
        <w:rPr>
          <w:noProof/>
        </w:rPr>
        <w:t>dek</w:t>
      </w:r>
      <w:r w:rsidR="00232AA9" w:rsidRPr="00DD1DFA">
        <w:rPr>
          <w:noProof/>
        </w:rPr>
        <w:t>larację właściwości użytkowych należy połączyć</w:t>
      </w:r>
      <w:r w:rsidR="00DD1DFA" w:rsidRPr="00DD1DFA">
        <w:rPr>
          <w:noProof/>
        </w:rPr>
        <w:t xml:space="preserve"> i</w:t>
      </w:r>
      <w:r w:rsidR="00DD1DFA">
        <w:rPr>
          <w:noProof/>
        </w:rPr>
        <w:t> </w:t>
      </w:r>
      <w:r w:rsidR="00DD1DFA" w:rsidRPr="00DD1DFA">
        <w:rPr>
          <w:noProof/>
        </w:rPr>
        <w:t>dos</w:t>
      </w:r>
      <w:r w:rsidR="00232AA9" w:rsidRPr="00DD1DFA">
        <w:rPr>
          <w:noProof/>
        </w:rPr>
        <w:t>tarczyć drogą elektroniczną. Obciążenia administracyjne dla MŚP należy dodatkowo zminimalizować poprzez wprowadzenie ukierunkowanych przepisów</w:t>
      </w:r>
      <w:r w:rsidR="00DD1DFA" w:rsidRPr="00DD1DFA">
        <w:rPr>
          <w:noProof/>
        </w:rPr>
        <w:t xml:space="preserve"> w</w:t>
      </w:r>
      <w:r w:rsidR="00DD1DFA">
        <w:rPr>
          <w:noProof/>
        </w:rPr>
        <w:t> </w:t>
      </w:r>
      <w:r w:rsidR="00DD1DFA" w:rsidRPr="00DD1DFA">
        <w:rPr>
          <w:noProof/>
        </w:rPr>
        <w:t>zak</w:t>
      </w:r>
      <w:r w:rsidR="00232AA9" w:rsidRPr="00DD1DFA">
        <w:rPr>
          <w:noProof/>
        </w:rPr>
        <w:t>resie uproszczenia,</w:t>
      </w:r>
      <w:r w:rsidR="00DD1DFA" w:rsidRPr="00DD1DFA">
        <w:rPr>
          <w:noProof/>
        </w:rPr>
        <w:t xml:space="preserve"> w</w:t>
      </w:r>
      <w:r w:rsidR="00DD1DFA">
        <w:rPr>
          <w:noProof/>
        </w:rPr>
        <w:t> </w:t>
      </w:r>
      <w:r w:rsidR="00DD1DFA" w:rsidRPr="00DD1DFA">
        <w:rPr>
          <w:noProof/>
        </w:rPr>
        <w:t>tym</w:t>
      </w:r>
      <w:r w:rsidR="00232AA9" w:rsidRPr="00DD1DFA">
        <w:rPr>
          <w:noProof/>
        </w:rPr>
        <w:t xml:space="preserve"> dotyczących stosowania odpowiedniej dokumentacji technicznej zastępującej badania typu, umożliwiającej mikroprzedsiębiorstwom korzystanie</w:t>
      </w:r>
      <w:r w:rsidR="00DD1DFA" w:rsidRPr="00DD1DFA">
        <w:rPr>
          <w:noProof/>
        </w:rPr>
        <w:t xml:space="preserve"> z</w:t>
      </w:r>
      <w:r w:rsidR="00DD1DFA">
        <w:rPr>
          <w:noProof/>
        </w:rPr>
        <w:t> </w:t>
      </w:r>
      <w:r w:rsidR="00DD1DFA" w:rsidRPr="00DD1DFA">
        <w:rPr>
          <w:noProof/>
        </w:rPr>
        <w:t>łag</w:t>
      </w:r>
      <w:r w:rsidR="00232AA9" w:rsidRPr="00DD1DFA">
        <w:rPr>
          <w:noProof/>
        </w:rPr>
        <w:t>odniejszego systemu weryfikacji oraz ograniczającej wymogi dla nieseryjnych wyrobów wykonywanych na zamówienie, instalowanych</w:t>
      </w:r>
      <w:r w:rsidR="00DD1DFA" w:rsidRPr="00DD1DFA">
        <w:rPr>
          <w:noProof/>
        </w:rPr>
        <w:t xml:space="preserve"> w</w:t>
      </w:r>
      <w:r w:rsidR="00DD1DFA">
        <w:rPr>
          <w:noProof/>
        </w:rPr>
        <w:t> </w:t>
      </w:r>
      <w:r w:rsidR="00DD1DFA" w:rsidRPr="00DD1DFA">
        <w:rPr>
          <w:noProof/>
        </w:rPr>
        <w:t>okr</w:t>
      </w:r>
      <w:r w:rsidR="00232AA9" w:rsidRPr="00DD1DFA">
        <w:rPr>
          <w:noProof/>
        </w:rPr>
        <w:t>eślonym pojedynczym obiekcie budowlanym. Państwa członkowskie powinny mieć również możliwość zwolnienia mikroprzedsiębiorstw, które nie prowadzą handlu transgranicznego,</w:t>
      </w:r>
      <w:r w:rsidR="00DD1DFA" w:rsidRPr="00DD1DFA">
        <w:rPr>
          <w:noProof/>
        </w:rPr>
        <w:t xml:space="preserve"> z</w:t>
      </w:r>
      <w:r w:rsidR="00DD1DFA">
        <w:rPr>
          <w:noProof/>
        </w:rPr>
        <w:t> </w:t>
      </w:r>
      <w:r w:rsidR="00DD1DFA" w:rsidRPr="00DD1DFA">
        <w:rPr>
          <w:noProof/>
        </w:rPr>
        <w:t>obo</w:t>
      </w:r>
      <w:r w:rsidR="00232AA9" w:rsidRPr="00DD1DFA">
        <w:rPr>
          <w:noProof/>
        </w:rPr>
        <w:t>wiązku sporządzania deklaracji właściwości użytkowych.</w:t>
      </w:r>
    </w:p>
    <w:p w14:paraId="0B2E62BE" w14:textId="6A806A9F" w:rsidR="00181517" w:rsidRPr="00DD1DFA" w:rsidRDefault="005F7EFA" w:rsidP="005F7EFA">
      <w:pPr>
        <w:pStyle w:val="ManualConsidrant"/>
        <w:rPr>
          <w:noProof/>
        </w:rPr>
      </w:pPr>
      <w:r w:rsidRPr="005F7EFA">
        <w:t>(35)</w:t>
      </w:r>
      <w:r w:rsidRPr="005F7EFA">
        <w:tab/>
      </w:r>
      <w:r w:rsidR="00181517" w:rsidRPr="00DD1DFA">
        <w:rPr>
          <w:noProof/>
        </w:rPr>
        <w:t>W celu zapewnienia zgodności</w:t>
      </w:r>
      <w:r w:rsidR="00DD1DFA" w:rsidRPr="00DD1DFA">
        <w:rPr>
          <w:noProof/>
        </w:rPr>
        <w:t xml:space="preserve"> z</w:t>
      </w:r>
      <w:r w:rsidR="00DD1DFA">
        <w:rPr>
          <w:noProof/>
        </w:rPr>
        <w:t> </w:t>
      </w:r>
      <w:r w:rsidR="00DD1DFA" w:rsidRPr="00DD1DFA">
        <w:rPr>
          <w:noProof/>
        </w:rPr>
        <w:t>inn</w:t>
      </w:r>
      <w:r w:rsidR="00181517" w:rsidRPr="00DD1DFA">
        <w:rPr>
          <w:noProof/>
        </w:rPr>
        <w:t>ymi przepisami dotyczącymi wyrobów oraz zgodnie</w:t>
      </w:r>
      <w:r w:rsidR="00DD1DFA" w:rsidRPr="00DD1DFA">
        <w:rPr>
          <w:noProof/>
        </w:rPr>
        <w:t xml:space="preserve"> z</w:t>
      </w:r>
      <w:r w:rsidR="00DD1DFA">
        <w:rPr>
          <w:noProof/>
        </w:rPr>
        <w:t> </w:t>
      </w:r>
      <w:r w:rsidR="00DD1DFA" w:rsidRPr="00DD1DFA">
        <w:rPr>
          <w:noProof/>
        </w:rPr>
        <w:t>ogó</w:t>
      </w:r>
      <w:r w:rsidR="00181517" w:rsidRPr="00DD1DFA">
        <w:rPr>
          <w:noProof/>
        </w:rPr>
        <w:t>lnymi zasadami rozporządzenia (WE) nr</w:t>
      </w:r>
      <w:r w:rsidR="00DD1DFA" w:rsidRPr="00DD1DFA">
        <w:rPr>
          <w:noProof/>
        </w:rPr>
        <w:t> </w:t>
      </w:r>
      <w:r w:rsidR="00181517" w:rsidRPr="00DD1DFA">
        <w:rPr>
          <w:noProof/>
        </w:rPr>
        <w:t>765/2008 oznakowanie CE należy umieszczać na wyrobach budowlanych, dla których producent sporządził deklarację właściwości użytkowych lub deklarację zgodności. Producent bierze zatem na siebie odpowiedzialność za zapewnienie zgodności danego wyrobu</w:t>
      </w:r>
      <w:r w:rsidR="00DD1DFA" w:rsidRPr="00DD1DFA">
        <w:rPr>
          <w:noProof/>
        </w:rPr>
        <w:t xml:space="preserve"> z</w:t>
      </w:r>
      <w:r w:rsidR="00DD1DFA">
        <w:rPr>
          <w:noProof/>
        </w:rPr>
        <w:t> </w:t>
      </w:r>
      <w:r w:rsidR="00DD1DFA" w:rsidRPr="00DD1DFA">
        <w:rPr>
          <w:noProof/>
        </w:rPr>
        <w:t>dek</w:t>
      </w:r>
      <w:r w:rsidR="00181517" w:rsidRPr="00DD1DFA">
        <w:rPr>
          <w:noProof/>
        </w:rPr>
        <w:t>larowanymi właściwościami użytkowymi</w:t>
      </w:r>
      <w:r w:rsidR="00DD1DFA" w:rsidRPr="00DD1DFA">
        <w:rPr>
          <w:noProof/>
        </w:rPr>
        <w:t xml:space="preserve"> i</w:t>
      </w:r>
      <w:r w:rsidR="00DD1DFA">
        <w:rPr>
          <w:noProof/>
        </w:rPr>
        <w:t> </w:t>
      </w:r>
      <w:r w:rsidR="00DD1DFA" w:rsidRPr="00DD1DFA">
        <w:rPr>
          <w:noProof/>
        </w:rPr>
        <w:t>obo</w:t>
      </w:r>
      <w:r w:rsidR="00181517" w:rsidRPr="00DD1DFA">
        <w:rPr>
          <w:noProof/>
        </w:rPr>
        <w:t>wiązującymi wymogami dotyczącymi wyrobów.</w:t>
      </w:r>
    </w:p>
    <w:p w14:paraId="0D8ED2A4" w14:textId="7FDA0861" w:rsidR="00181517" w:rsidRPr="00DD1DFA" w:rsidRDefault="005F7EFA" w:rsidP="005F7EFA">
      <w:pPr>
        <w:pStyle w:val="ManualConsidrant"/>
        <w:rPr>
          <w:noProof/>
        </w:rPr>
      </w:pPr>
      <w:r w:rsidRPr="005F7EFA">
        <w:t>(36)</w:t>
      </w:r>
      <w:r w:rsidRPr="005F7EFA">
        <w:tab/>
      </w:r>
      <w:r w:rsidR="00916D59" w:rsidRPr="00DD1DFA">
        <w:rPr>
          <w:noProof/>
        </w:rPr>
        <w:t>Aby zapewnić bezpieczeństwo, funkcjonalność</w:t>
      </w:r>
      <w:r w:rsidR="00DD1DFA" w:rsidRPr="00DD1DFA">
        <w:rPr>
          <w:noProof/>
        </w:rPr>
        <w:t xml:space="preserve"> i</w:t>
      </w:r>
      <w:r w:rsidR="00DD1DFA">
        <w:rPr>
          <w:noProof/>
        </w:rPr>
        <w:t> </w:t>
      </w:r>
      <w:r w:rsidR="00DD1DFA" w:rsidRPr="00DD1DFA">
        <w:rPr>
          <w:noProof/>
        </w:rPr>
        <w:t>zró</w:t>
      </w:r>
      <w:r w:rsidR="00916D59" w:rsidRPr="00DD1DFA">
        <w:rPr>
          <w:noProof/>
        </w:rPr>
        <w:t>wnoważoność wyrobów budowlanych,</w:t>
      </w:r>
      <w:r w:rsidR="00DD1DFA" w:rsidRPr="00DD1DFA">
        <w:rPr>
          <w:noProof/>
        </w:rPr>
        <w:t xml:space="preserve"> a</w:t>
      </w:r>
      <w:r w:rsidR="00DD1DFA">
        <w:rPr>
          <w:noProof/>
        </w:rPr>
        <w:t> </w:t>
      </w:r>
      <w:r w:rsidR="00DD1DFA" w:rsidRPr="00DD1DFA">
        <w:rPr>
          <w:noProof/>
        </w:rPr>
        <w:t>tym</w:t>
      </w:r>
      <w:r w:rsidR="00916D59" w:rsidRPr="00DD1DFA">
        <w:rPr>
          <w:noProof/>
        </w:rPr>
        <w:t xml:space="preserve"> samym obiektów budowlanych, wszystkie podmioty gospodarcze mające związek</w:t>
      </w:r>
      <w:r w:rsidR="00DD1DFA" w:rsidRPr="00DD1DFA">
        <w:rPr>
          <w:noProof/>
        </w:rPr>
        <w:t xml:space="preserve"> z</w:t>
      </w:r>
      <w:r w:rsidR="00DD1DFA">
        <w:rPr>
          <w:noProof/>
        </w:rPr>
        <w:t> </w:t>
      </w:r>
      <w:r w:rsidR="00DD1DFA" w:rsidRPr="00DD1DFA">
        <w:rPr>
          <w:noProof/>
        </w:rPr>
        <w:t>łań</w:t>
      </w:r>
      <w:r w:rsidR="00916D59" w:rsidRPr="00DD1DFA">
        <w:rPr>
          <w:noProof/>
        </w:rPr>
        <w:t>cuchem dostaw</w:t>
      </w:r>
      <w:r w:rsidR="00DD1DFA" w:rsidRPr="00DD1DFA">
        <w:rPr>
          <w:noProof/>
        </w:rPr>
        <w:t xml:space="preserve"> i</w:t>
      </w:r>
      <w:r w:rsidR="00DD1DFA">
        <w:rPr>
          <w:noProof/>
        </w:rPr>
        <w:t> </w:t>
      </w:r>
      <w:r w:rsidR="00DD1DFA" w:rsidRPr="00DD1DFA">
        <w:rPr>
          <w:noProof/>
        </w:rPr>
        <w:t>sie</w:t>
      </w:r>
      <w:r w:rsidR="00916D59" w:rsidRPr="00DD1DFA">
        <w:rPr>
          <w:noProof/>
        </w:rPr>
        <w:t>cią dystrybucji powinny wprowadzić właściwe środki</w:t>
      </w:r>
      <w:r w:rsidR="00DD1DFA" w:rsidRPr="00DD1DFA">
        <w:rPr>
          <w:noProof/>
        </w:rPr>
        <w:t xml:space="preserve"> w</w:t>
      </w:r>
      <w:r w:rsidR="00DD1DFA">
        <w:rPr>
          <w:noProof/>
        </w:rPr>
        <w:t> </w:t>
      </w:r>
      <w:r w:rsidR="00DD1DFA" w:rsidRPr="00DD1DFA">
        <w:rPr>
          <w:noProof/>
        </w:rPr>
        <w:t>cel</w:t>
      </w:r>
      <w:r w:rsidR="00916D59" w:rsidRPr="00DD1DFA">
        <w:rPr>
          <w:noProof/>
        </w:rPr>
        <w:t>u zagwarantowania, że wprowadzają do obrotu lub udostępniają na rynku wyłącznie wyroby budowlane zgodne</w:t>
      </w:r>
      <w:r w:rsidR="00DD1DFA" w:rsidRPr="00DD1DFA">
        <w:rPr>
          <w:noProof/>
        </w:rPr>
        <w:t xml:space="preserve"> z</w:t>
      </w:r>
      <w:r w:rsidR="00DD1DFA">
        <w:rPr>
          <w:noProof/>
        </w:rPr>
        <w:t> </w:t>
      </w:r>
      <w:r w:rsidR="00DD1DFA" w:rsidRPr="00DD1DFA">
        <w:rPr>
          <w:noProof/>
        </w:rPr>
        <w:t>obo</w:t>
      </w:r>
      <w:r w:rsidR="00916D59" w:rsidRPr="00DD1DFA">
        <w:rPr>
          <w:noProof/>
        </w:rPr>
        <w:t>wiązującymi wymogami unijnymi. Aby zwiększyć jasność prawa, należy wyraźnie określić obowiązki podmiotów gospodarczych.</w:t>
      </w:r>
    </w:p>
    <w:p w14:paraId="3B339939" w14:textId="0BA97AD6" w:rsidR="00181517" w:rsidRPr="00DD1DFA" w:rsidRDefault="005F7EFA" w:rsidP="005F7EFA">
      <w:pPr>
        <w:pStyle w:val="ManualConsidrant"/>
        <w:rPr>
          <w:noProof/>
        </w:rPr>
      </w:pPr>
      <w:r w:rsidRPr="005F7EFA">
        <w:t>(37)</w:t>
      </w:r>
      <w:r w:rsidRPr="005F7EFA">
        <w:tab/>
      </w:r>
      <w:r w:rsidR="00181517" w:rsidRPr="00DD1DFA">
        <w:rPr>
          <w:noProof/>
        </w:rPr>
        <w:t>Producenci wyrobów budowlanych muszą</w:t>
      </w:r>
      <w:r w:rsidR="00DD1DFA" w:rsidRPr="00DD1DFA">
        <w:rPr>
          <w:noProof/>
        </w:rPr>
        <w:t xml:space="preserve"> w</w:t>
      </w:r>
      <w:r w:rsidR="00DD1DFA">
        <w:rPr>
          <w:noProof/>
        </w:rPr>
        <w:t> </w:t>
      </w:r>
      <w:r w:rsidR="00DD1DFA" w:rsidRPr="00DD1DFA">
        <w:rPr>
          <w:noProof/>
        </w:rPr>
        <w:t>dok</w:t>
      </w:r>
      <w:r w:rsidR="00181517" w:rsidRPr="00DD1DFA">
        <w:rPr>
          <w:noProof/>
        </w:rPr>
        <w:t>ładny</w:t>
      </w:r>
      <w:r w:rsidR="00DD1DFA" w:rsidRPr="00DD1DFA">
        <w:rPr>
          <w:noProof/>
        </w:rPr>
        <w:t xml:space="preserve"> i</w:t>
      </w:r>
      <w:r w:rsidR="00DD1DFA">
        <w:rPr>
          <w:noProof/>
        </w:rPr>
        <w:t> </w:t>
      </w:r>
      <w:r w:rsidR="00DD1DFA" w:rsidRPr="00DD1DFA">
        <w:rPr>
          <w:noProof/>
        </w:rPr>
        <w:t>jed</w:t>
      </w:r>
      <w:r w:rsidR="00181517" w:rsidRPr="00DD1DFA">
        <w:rPr>
          <w:noProof/>
        </w:rPr>
        <w:t>noznaczny sposób określić typ wyrobu, aby zapewnić dokładną podstawę oceny zgodności takiego wyrobu</w:t>
      </w:r>
      <w:r w:rsidR="00DD1DFA" w:rsidRPr="00DD1DFA">
        <w:rPr>
          <w:noProof/>
        </w:rPr>
        <w:t xml:space="preserve"> z</w:t>
      </w:r>
      <w:r w:rsidR="00DD1DFA">
        <w:rPr>
          <w:noProof/>
        </w:rPr>
        <w:t> </w:t>
      </w:r>
      <w:r w:rsidR="00DD1DFA" w:rsidRPr="00DD1DFA">
        <w:rPr>
          <w:noProof/>
        </w:rPr>
        <w:t>wym</w:t>
      </w:r>
      <w:r w:rsidR="00181517" w:rsidRPr="00DD1DFA">
        <w:rPr>
          <w:noProof/>
        </w:rPr>
        <w:t>ogami unijnymi. Jednocześnie, aby uniknąć obchodzenia obowiązujących wymogów, producentom należy zakazać tworzenia coraz nowszych typów wyrobów, jeśli są one identyczne pod względem podstawowych cech.</w:t>
      </w:r>
    </w:p>
    <w:p w14:paraId="4589E9A9" w14:textId="7960A511" w:rsidR="00181517" w:rsidRPr="00DD1DFA" w:rsidRDefault="005F7EFA" w:rsidP="005F7EFA">
      <w:pPr>
        <w:pStyle w:val="ManualConsidrant"/>
        <w:rPr>
          <w:noProof/>
        </w:rPr>
      </w:pPr>
      <w:r w:rsidRPr="005F7EFA">
        <w:t>(38)</w:t>
      </w:r>
      <w:r w:rsidRPr="005F7EFA">
        <w:tab/>
      </w:r>
      <w:r w:rsidR="00181517" w:rsidRPr="00DD1DFA">
        <w:rPr>
          <w:noProof/>
        </w:rPr>
        <w:t>Aby uniknąć oświadczeń wprowadzających</w:t>
      </w:r>
      <w:r w:rsidR="00DD1DFA" w:rsidRPr="00DD1DFA">
        <w:rPr>
          <w:noProof/>
        </w:rPr>
        <w:t xml:space="preserve"> w</w:t>
      </w:r>
      <w:r w:rsidR="00DD1DFA">
        <w:rPr>
          <w:noProof/>
        </w:rPr>
        <w:t> </w:t>
      </w:r>
      <w:r w:rsidR="00DD1DFA" w:rsidRPr="00DD1DFA">
        <w:rPr>
          <w:noProof/>
        </w:rPr>
        <w:t>błą</w:t>
      </w:r>
      <w:r w:rsidR="00181517" w:rsidRPr="00DD1DFA">
        <w:rPr>
          <w:noProof/>
        </w:rPr>
        <w:t>d, wszelkie oświadczenia producentów wyrobów budowlanych powinny opierać się na metodzie oceny zawartej</w:t>
      </w:r>
      <w:r w:rsidR="00DD1DFA" w:rsidRPr="00DD1DFA">
        <w:rPr>
          <w:noProof/>
        </w:rPr>
        <w:t xml:space="preserve"> w</w:t>
      </w:r>
      <w:r w:rsidR="00DD1DFA">
        <w:rPr>
          <w:noProof/>
        </w:rPr>
        <w:t> </w:t>
      </w:r>
      <w:r w:rsidR="00DD1DFA" w:rsidRPr="00DD1DFA">
        <w:rPr>
          <w:noProof/>
        </w:rPr>
        <w:t>zha</w:t>
      </w:r>
      <w:r w:rsidR="00181517" w:rsidRPr="00DD1DFA">
        <w:rPr>
          <w:noProof/>
        </w:rPr>
        <w:t>rmonizowanych specyfikacjach technicznych lub, jeśli taka metoda oceny nie istnieje, na metodach odzwierciedlających najlepsze dostępne techniki,</w:t>
      </w:r>
      <w:r w:rsidR="00DD1DFA" w:rsidRPr="00DD1DFA">
        <w:rPr>
          <w:noProof/>
        </w:rPr>
        <w:t xml:space="preserve"> w</w:t>
      </w:r>
      <w:r w:rsidR="00DD1DFA">
        <w:rPr>
          <w:noProof/>
        </w:rPr>
        <w:t> </w:t>
      </w:r>
      <w:r w:rsidR="00DD1DFA" w:rsidRPr="00DD1DFA">
        <w:rPr>
          <w:noProof/>
        </w:rPr>
        <w:t>prz</w:t>
      </w:r>
      <w:r w:rsidR="00181517" w:rsidRPr="00DD1DFA">
        <w:rPr>
          <w:noProof/>
        </w:rPr>
        <w:t>ypadku gdy nie istnieje taka metoda oceny przewidziana</w:t>
      </w:r>
      <w:r w:rsidR="00DD1DFA" w:rsidRPr="00DD1DFA">
        <w:rPr>
          <w:noProof/>
        </w:rPr>
        <w:t xml:space="preserve"> w</w:t>
      </w:r>
      <w:r w:rsidR="00DD1DFA">
        <w:rPr>
          <w:noProof/>
        </w:rPr>
        <w:t> </w:t>
      </w:r>
      <w:r w:rsidR="00DD1DFA" w:rsidRPr="00DD1DFA">
        <w:rPr>
          <w:noProof/>
        </w:rPr>
        <w:t>zha</w:t>
      </w:r>
      <w:r w:rsidR="00181517" w:rsidRPr="00DD1DFA">
        <w:rPr>
          <w:noProof/>
        </w:rPr>
        <w:t>rmonizowanej specyfikacji technicznej.</w:t>
      </w:r>
    </w:p>
    <w:p w14:paraId="56D5DCF2" w14:textId="29C8047B" w:rsidR="00181517" w:rsidRPr="00DD1DFA" w:rsidRDefault="005F7EFA" w:rsidP="005F7EFA">
      <w:pPr>
        <w:pStyle w:val="ManualConsidrant"/>
        <w:rPr>
          <w:noProof/>
        </w:rPr>
      </w:pPr>
      <w:r w:rsidRPr="005F7EFA">
        <w:t>(39)</w:t>
      </w:r>
      <w:r w:rsidRPr="005F7EFA">
        <w:tab/>
      </w:r>
      <w:r w:rsidR="00181517" w:rsidRPr="00DD1DFA">
        <w:rPr>
          <w:noProof/>
        </w:rPr>
        <w:t>Dokumentacja techniczna wyrobów budowlanych sporządzona przez producenta ułatwia organom</w:t>
      </w:r>
      <w:r w:rsidR="00DD1DFA" w:rsidRPr="00DD1DFA">
        <w:rPr>
          <w:noProof/>
        </w:rPr>
        <w:t xml:space="preserve"> i</w:t>
      </w:r>
      <w:r w:rsidR="00DD1DFA">
        <w:rPr>
          <w:noProof/>
        </w:rPr>
        <w:t> </w:t>
      </w:r>
      <w:r w:rsidR="00DD1DFA" w:rsidRPr="00DD1DFA">
        <w:rPr>
          <w:noProof/>
        </w:rPr>
        <w:t>jed</w:t>
      </w:r>
      <w:r w:rsidR="00181517" w:rsidRPr="00DD1DFA">
        <w:rPr>
          <w:noProof/>
        </w:rPr>
        <w:t>nostkom notyfikowanym weryfikację tych wyrobów pod kątem zgodności</w:t>
      </w:r>
      <w:r w:rsidR="00DD1DFA" w:rsidRPr="00DD1DFA">
        <w:rPr>
          <w:noProof/>
        </w:rPr>
        <w:t xml:space="preserve"> z</w:t>
      </w:r>
      <w:r w:rsidR="00DD1DFA">
        <w:rPr>
          <w:noProof/>
        </w:rPr>
        <w:t> </w:t>
      </w:r>
      <w:r w:rsidR="00DD1DFA" w:rsidRPr="00DD1DFA">
        <w:rPr>
          <w:noProof/>
        </w:rPr>
        <w:t>wym</w:t>
      </w:r>
      <w:r w:rsidR="00181517" w:rsidRPr="00DD1DFA">
        <w:rPr>
          <w:noProof/>
        </w:rPr>
        <w:t>ogami unijnymi. Aby zwiększyć dostęp do wyczerpujących informacji, taka dokumentacja techniczna powinna zawierać ocenę zrównoważenia środowiskowego danego wyrobu budowlanego.</w:t>
      </w:r>
    </w:p>
    <w:p w14:paraId="658A26F9" w14:textId="4DA76484" w:rsidR="00181517" w:rsidRPr="00DD1DFA" w:rsidRDefault="005F7EFA" w:rsidP="005F7EFA">
      <w:pPr>
        <w:pStyle w:val="ManualConsidrant"/>
        <w:rPr>
          <w:noProof/>
        </w:rPr>
      </w:pPr>
      <w:r w:rsidRPr="005F7EFA">
        <w:t>(40)</w:t>
      </w:r>
      <w:r w:rsidRPr="005F7EFA">
        <w:tab/>
      </w:r>
      <w:r w:rsidR="00181517" w:rsidRPr="00DD1DFA">
        <w:rPr>
          <w:noProof/>
        </w:rPr>
        <w:t>Aby zapewnić przejrzystość dla użytkowników wyrobów budowlanych</w:t>
      </w:r>
      <w:r w:rsidR="00DD1DFA" w:rsidRPr="00DD1DFA">
        <w:rPr>
          <w:noProof/>
        </w:rPr>
        <w:t xml:space="preserve"> i</w:t>
      </w:r>
      <w:r w:rsidR="00DD1DFA">
        <w:rPr>
          <w:noProof/>
        </w:rPr>
        <w:t> </w:t>
      </w:r>
      <w:r w:rsidR="00DD1DFA" w:rsidRPr="00DD1DFA">
        <w:rPr>
          <w:noProof/>
        </w:rPr>
        <w:t>uni</w:t>
      </w:r>
      <w:r w:rsidR="00181517" w:rsidRPr="00DD1DFA">
        <w:rPr>
          <w:noProof/>
        </w:rPr>
        <w:t>knąć niewłaściwego stosowania tych wyrobów, producent powinien dokładnie określić te wyroby budowlane</w:t>
      </w:r>
      <w:r w:rsidR="00DD1DFA" w:rsidRPr="00DD1DFA">
        <w:rPr>
          <w:noProof/>
        </w:rPr>
        <w:t xml:space="preserve"> i</w:t>
      </w:r>
      <w:r w:rsidR="00DD1DFA">
        <w:rPr>
          <w:noProof/>
        </w:rPr>
        <w:t> </w:t>
      </w:r>
      <w:r w:rsidR="00DD1DFA" w:rsidRPr="00DD1DFA">
        <w:rPr>
          <w:noProof/>
        </w:rPr>
        <w:t>ich</w:t>
      </w:r>
      <w:r w:rsidR="00181517" w:rsidRPr="00DD1DFA">
        <w:rPr>
          <w:noProof/>
        </w:rPr>
        <w:t xml:space="preserve"> zamierzone zastosowanie</w:t>
      </w:r>
      <w:r w:rsidR="00DD1DFA" w:rsidRPr="00DD1DFA">
        <w:rPr>
          <w:noProof/>
        </w:rPr>
        <w:t>. Z</w:t>
      </w:r>
      <w:r w:rsidR="00DD1DFA">
        <w:rPr>
          <w:noProof/>
        </w:rPr>
        <w:t> </w:t>
      </w:r>
      <w:r w:rsidR="00DD1DFA" w:rsidRPr="00DD1DFA">
        <w:rPr>
          <w:noProof/>
        </w:rPr>
        <w:t>teg</w:t>
      </w:r>
      <w:r w:rsidR="00181517" w:rsidRPr="00DD1DFA">
        <w:rPr>
          <w:noProof/>
        </w:rPr>
        <w:t>o samego powodu producent powinien wyraźnie zaznaczyć, czy wyroby budowlane są przeznaczone wyłącznie do użytku profesjonalnego, czy też do użytku przez konsumentów. Aby zapewnić identyfikowalność wyrobów budowlanych, na wyrobach należy umieścić informacje na temat producentów lub, jeśli nie jest to możliwe, np. ze względu na wielkość lub powierzchnię wyrobu, na jego opakowaniu lub, jeśli nie jest to możliwe,</w:t>
      </w:r>
      <w:r w:rsidR="00DD1DFA" w:rsidRPr="00DD1DFA">
        <w:rPr>
          <w:noProof/>
        </w:rPr>
        <w:t xml:space="preserve"> w</w:t>
      </w:r>
      <w:r w:rsidR="00DD1DFA">
        <w:rPr>
          <w:noProof/>
        </w:rPr>
        <w:t> </w:t>
      </w:r>
      <w:r w:rsidR="00DD1DFA" w:rsidRPr="00DD1DFA">
        <w:rPr>
          <w:noProof/>
        </w:rPr>
        <w:t>doł</w:t>
      </w:r>
      <w:r w:rsidR="00181517" w:rsidRPr="00DD1DFA">
        <w:rPr>
          <w:noProof/>
        </w:rPr>
        <w:t>ączonym do niego dokumencie.</w:t>
      </w:r>
    </w:p>
    <w:p w14:paraId="0006105A" w14:textId="6F4F3B6B" w:rsidR="00181517" w:rsidRPr="00DD1DFA" w:rsidRDefault="005F7EFA" w:rsidP="005F7EFA">
      <w:pPr>
        <w:pStyle w:val="ManualConsidrant"/>
        <w:rPr>
          <w:noProof/>
        </w:rPr>
      </w:pPr>
      <w:r w:rsidRPr="005F7EFA">
        <w:t>(41)</w:t>
      </w:r>
      <w:r w:rsidRPr="005F7EFA">
        <w:tab/>
      </w:r>
      <w:r w:rsidR="00181517" w:rsidRPr="00DD1DFA">
        <w:rPr>
          <w:noProof/>
        </w:rPr>
        <w:t>Aby zapewnić spełnienie wymogów określonych</w:t>
      </w:r>
      <w:r w:rsidR="00DD1DFA" w:rsidRPr="00DD1DFA">
        <w:rPr>
          <w:noProof/>
        </w:rPr>
        <w:t xml:space="preserve"> w</w:t>
      </w:r>
      <w:r w:rsidR="00DD1DFA">
        <w:rPr>
          <w:noProof/>
        </w:rPr>
        <w:t> </w:t>
      </w:r>
      <w:r w:rsidR="00DD1DFA" w:rsidRPr="00DD1DFA">
        <w:rPr>
          <w:noProof/>
        </w:rPr>
        <w:t>nin</w:t>
      </w:r>
      <w:r w:rsidR="00181517" w:rsidRPr="00DD1DFA">
        <w:rPr>
          <w:noProof/>
        </w:rPr>
        <w:t>iejszym rozporządzeniu, producenci powinni aktywnie wyszukiwać, przechowywać</w:t>
      </w:r>
      <w:r w:rsidR="00DD1DFA" w:rsidRPr="00DD1DFA">
        <w:rPr>
          <w:noProof/>
        </w:rPr>
        <w:t xml:space="preserve"> i</w:t>
      </w:r>
      <w:r w:rsidR="00DD1DFA">
        <w:rPr>
          <w:noProof/>
        </w:rPr>
        <w:t> </w:t>
      </w:r>
      <w:r w:rsidR="00DD1DFA" w:rsidRPr="00DD1DFA">
        <w:rPr>
          <w:noProof/>
        </w:rPr>
        <w:t>oce</w:t>
      </w:r>
      <w:r w:rsidR="00181517" w:rsidRPr="00DD1DFA">
        <w:rPr>
          <w:noProof/>
        </w:rPr>
        <w:t>niać informacje oraz podejmować odpowiednie działania</w:t>
      </w:r>
      <w:r w:rsidR="00DD1DFA" w:rsidRPr="00DD1DFA">
        <w:rPr>
          <w:noProof/>
        </w:rPr>
        <w:t xml:space="preserve"> w</w:t>
      </w:r>
      <w:r w:rsidR="00DD1DFA">
        <w:rPr>
          <w:noProof/>
        </w:rPr>
        <w:t> </w:t>
      </w:r>
      <w:r w:rsidR="00DD1DFA" w:rsidRPr="00DD1DFA">
        <w:rPr>
          <w:noProof/>
        </w:rPr>
        <w:t>prz</w:t>
      </w:r>
      <w:r w:rsidR="00181517" w:rsidRPr="00DD1DFA">
        <w:rPr>
          <w:noProof/>
        </w:rPr>
        <w:t>ypadku potwierdzenia niezgodności lub osiągania niewystarczających wyników lub</w:t>
      </w:r>
      <w:r w:rsidR="00DD1DFA" w:rsidRPr="00DD1DFA">
        <w:rPr>
          <w:noProof/>
        </w:rPr>
        <w:t xml:space="preserve"> w</w:t>
      </w:r>
      <w:r w:rsidR="00DD1DFA">
        <w:rPr>
          <w:noProof/>
        </w:rPr>
        <w:t> </w:t>
      </w:r>
      <w:r w:rsidR="00DD1DFA" w:rsidRPr="00DD1DFA">
        <w:rPr>
          <w:noProof/>
        </w:rPr>
        <w:t>prz</w:t>
      </w:r>
      <w:r w:rsidR="00181517" w:rsidRPr="00DD1DFA">
        <w:rPr>
          <w:noProof/>
        </w:rPr>
        <w:t>ypadku wystąpienia ryzyka.</w:t>
      </w:r>
    </w:p>
    <w:p w14:paraId="03AE03C6" w14:textId="23D2F6B5" w:rsidR="00181517" w:rsidRPr="00DD1DFA" w:rsidRDefault="005F7EFA" w:rsidP="005F7EFA">
      <w:pPr>
        <w:pStyle w:val="ManualConsidrant"/>
        <w:rPr>
          <w:noProof/>
        </w:rPr>
      </w:pPr>
      <w:r w:rsidRPr="005F7EFA">
        <w:t>(42)</w:t>
      </w:r>
      <w:r w:rsidRPr="005F7EFA">
        <w:tab/>
      </w:r>
      <w:r w:rsidR="00181517" w:rsidRPr="00DD1DFA">
        <w:rPr>
          <w:noProof/>
        </w:rPr>
        <w:t>Aby zoptymalizować realizację celów określonych</w:t>
      </w:r>
      <w:r w:rsidR="00DD1DFA" w:rsidRPr="00DD1DFA">
        <w:rPr>
          <w:noProof/>
        </w:rPr>
        <w:t xml:space="preserve"> w</w:t>
      </w:r>
      <w:r w:rsidR="00DD1DFA">
        <w:rPr>
          <w:noProof/>
        </w:rPr>
        <w:t> </w:t>
      </w:r>
      <w:r w:rsidR="00DD1DFA" w:rsidRPr="00DD1DFA">
        <w:rPr>
          <w:noProof/>
        </w:rPr>
        <w:t>ram</w:t>
      </w:r>
      <w:r w:rsidR="00181517" w:rsidRPr="00DD1DFA">
        <w:rPr>
          <w:noProof/>
        </w:rPr>
        <w:t>ach Europejskiego Zielonego Ładu</w:t>
      </w:r>
      <w:r w:rsidR="00DD1DFA" w:rsidRPr="00DD1DFA">
        <w:rPr>
          <w:noProof/>
        </w:rPr>
        <w:t xml:space="preserve"> i</w:t>
      </w:r>
      <w:r w:rsidR="00DD1DFA">
        <w:rPr>
          <w:noProof/>
        </w:rPr>
        <w:t> </w:t>
      </w:r>
      <w:r w:rsidR="00DD1DFA" w:rsidRPr="00DD1DFA">
        <w:rPr>
          <w:noProof/>
        </w:rPr>
        <w:t>Pla</w:t>
      </w:r>
      <w:r w:rsidR="00181517" w:rsidRPr="00DD1DFA">
        <w:rPr>
          <w:noProof/>
        </w:rPr>
        <w:t>nu działania dotyczącego gospodarki</w:t>
      </w:r>
      <w:r w:rsidR="00DD1DFA" w:rsidRPr="00DD1DFA">
        <w:rPr>
          <w:noProof/>
        </w:rPr>
        <w:t xml:space="preserve"> o</w:t>
      </w:r>
      <w:r w:rsidR="00DD1DFA">
        <w:rPr>
          <w:noProof/>
        </w:rPr>
        <w:t> </w:t>
      </w:r>
      <w:r w:rsidR="00DD1DFA" w:rsidRPr="00DD1DFA">
        <w:rPr>
          <w:noProof/>
        </w:rPr>
        <w:t>obi</w:t>
      </w:r>
      <w:r w:rsidR="00181517" w:rsidRPr="00DD1DFA">
        <w:rPr>
          <w:noProof/>
        </w:rPr>
        <w:t>egu zamkniętym, producentów należy zobowiązać do osiągnięcia odpowiedniego poziomu zrównoważenia środowiskowego, zarówno</w:t>
      </w:r>
      <w:r w:rsidR="00DD1DFA" w:rsidRPr="00DD1DFA">
        <w:rPr>
          <w:noProof/>
        </w:rPr>
        <w:t xml:space="preserve"> w</w:t>
      </w:r>
      <w:r w:rsidR="00DD1DFA">
        <w:rPr>
          <w:noProof/>
        </w:rPr>
        <w:t> </w:t>
      </w:r>
      <w:r w:rsidR="00DD1DFA" w:rsidRPr="00DD1DFA">
        <w:rPr>
          <w:noProof/>
        </w:rPr>
        <w:t>odn</w:t>
      </w:r>
      <w:r w:rsidR="00181517" w:rsidRPr="00DD1DFA">
        <w:rPr>
          <w:noProof/>
        </w:rPr>
        <w:t>iesieniu do ich wyrobów, jak</w:t>
      </w:r>
      <w:r w:rsidR="00DD1DFA" w:rsidRPr="00DD1DFA">
        <w:rPr>
          <w:noProof/>
        </w:rPr>
        <w:t xml:space="preserve"> i</w:t>
      </w:r>
      <w:r w:rsidR="00DD1DFA">
        <w:rPr>
          <w:noProof/>
        </w:rPr>
        <w:t> </w:t>
      </w:r>
      <w:r w:rsidR="00DD1DFA" w:rsidRPr="00DD1DFA">
        <w:rPr>
          <w:noProof/>
        </w:rPr>
        <w:t>ich</w:t>
      </w:r>
      <w:r w:rsidR="00181517" w:rsidRPr="00DD1DFA">
        <w:rPr>
          <w:noProof/>
        </w:rPr>
        <w:t xml:space="preserve"> wytwarzania. Obowiązek ten wymaga podejmowania decyzji umożliwiających znalezienie kompromisu pomiędzy różnymi aspektami środowiskowymi oraz pomiędzy aspektami środowiskowymi</w:t>
      </w:r>
      <w:r w:rsidR="00DD1DFA" w:rsidRPr="00DD1DFA">
        <w:rPr>
          <w:noProof/>
        </w:rPr>
        <w:t xml:space="preserve"> i</w:t>
      </w:r>
      <w:r w:rsidR="00DD1DFA">
        <w:rPr>
          <w:noProof/>
        </w:rPr>
        <w:t> </w:t>
      </w:r>
      <w:r w:rsidR="00DD1DFA" w:rsidRPr="00DD1DFA">
        <w:rPr>
          <w:noProof/>
        </w:rPr>
        <w:t>asp</w:t>
      </w:r>
      <w:r w:rsidR="00181517" w:rsidRPr="00DD1DFA">
        <w:rPr>
          <w:noProof/>
        </w:rPr>
        <w:t>ektami dotyczącymi bezpieczeństwa, przy czym zarówno aspekty środowiskowe, jak</w:t>
      </w:r>
      <w:r w:rsidR="00DD1DFA" w:rsidRPr="00DD1DFA">
        <w:rPr>
          <w:noProof/>
        </w:rPr>
        <w:t xml:space="preserve"> i</w:t>
      </w:r>
      <w:r w:rsidR="00DD1DFA">
        <w:rPr>
          <w:noProof/>
        </w:rPr>
        <w:t> </w:t>
      </w:r>
      <w:r w:rsidR="00DD1DFA" w:rsidRPr="00DD1DFA">
        <w:rPr>
          <w:noProof/>
        </w:rPr>
        <w:t>asp</w:t>
      </w:r>
      <w:r w:rsidR="00181517" w:rsidRPr="00DD1DFA">
        <w:rPr>
          <w:noProof/>
        </w:rPr>
        <w:t>ekty dotyczące bezpieczeństwa mogą odnosić się do samego wyrobu lub do obiektów budowlanych. Aby zapewnić producentom pewność co do sposobu podejmowania decyzji umożliwiających znalezienie kompromisu,</w:t>
      </w:r>
      <w:r w:rsidR="00DD1DFA" w:rsidRPr="00DD1DFA">
        <w:rPr>
          <w:noProof/>
        </w:rPr>
        <w:t xml:space="preserve"> w</w:t>
      </w:r>
      <w:r w:rsidR="00DD1DFA">
        <w:rPr>
          <w:noProof/>
        </w:rPr>
        <w:t> </w:t>
      </w:r>
      <w:r w:rsidR="00DD1DFA" w:rsidRPr="00DD1DFA">
        <w:rPr>
          <w:noProof/>
        </w:rPr>
        <w:t>nin</w:t>
      </w:r>
      <w:r w:rsidR="00181517" w:rsidRPr="00DD1DFA">
        <w:rPr>
          <w:noProof/>
        </w:rPr>
        <w:t>iejszym rozporządzeniu należy określić jasne przepisy dotyczące kompromisów.</w:t>
      </w:r>
    </w:p>
    <w:p w14:paraId="45D36373" w14:textId="18E4FD37" w:rsidR="00181517" w:rsidRPr="00DD1DFA" w:rsidRDefault="005F7EFA" w:rsidP="005F7EFA">
      <w:pPr>
        <w:pStyle w:val="ManualConsidrant"/>
        <w:rPr>
          <w:noProof/>
        </w:rPr>
      </w:pPr>
      <w:r w:rsidRPr="005F7EFA">
        <w:t>(43)</w:t>
      </w:r>
      <w:r w:rsidRPr="005F7EFA">
        <w:tab/>
      </w:r>
      <w:r w:rsidR="00576F65" w:rsidRPr="00DD1DFA">
        <w:rPr>
          <w:noProof/>
        </w:rPr>
        <w:t>Dążąc do zapewnienia zrównoważoności</w:t>
      </w:r>
      <w:r w:rsidR="00DD1DFA" w:rsidRPr="00DD1DFA">
        <w:rPr>
          <w:noProof/>
        </w:rPr>
        <w:t xml:space="preserve"> i</w:t>
      </w:r>
      <w:r w:rsidR="00DD1DFA">
        <w:rPr>
          <w:noProof/>
        </w:rPr>
        <w:t> </w:t>
      </w:r>
      <w:r w:rsidR="00DD1DFA" w:rsidRPr="00DD1DFA">
        <w:rPr>
          <w:noProof/>
        </w:rPr>
        <w:t>trw</w:t>
      </w:r>
      <w:r w:rsidR="00576F65" w:rsidRPr="00DD1DFA">
        <w:rPr>
          <w:noProof/>
        </w:rPr>
        <w:t>ałości wyrobów budowlanych, producenci powinni zagwarantować możliwość użytkowania wyrobów przez bardzo długi czas. Tak długie użytkowanie wymaga sporządzenia odpowiedniego projektu, stosowania niezawodnych części, zapewnienia możliwości naprawy wyrobów, dostępności informacji na temat napraw</w:t>
      </w:r>
      <w:r w:rsidR="00DD1DFA" w:rsidRPr="00DD1DFA">
        <w:rPr>
          <w:noProof/>
        </w:rPr>
        <w:t xml:space="preserve"> i</w:t>
      </w:r>
      <w:r w:rsidR="00DD1DFA">
        <w:rPr>
          <w:noProof/>
        </w:rPr>
        <w:t> </w:t>
      </w:r>
      <w:r w:rsidR="00DD1DFA" w:rsidRPr="00DD1DFA">
        <w:rPr>
          <w:noProof/>
        </w:rPr>
        <w:t>dos</w:t>
      </w:r>
      <w:r w:rsidR="00576F65" w:rsidRPr="00DD1DFA">
        <w:rPr>
          <w:noProof/>
        </w:rPr>
        <w:t>tępu do części zamiennych.</w:t>
      </w:r>
    </w:p>
    <w:p w14:paraId="599B13D4" w14:textId="2B81429B" w:rsidR="00181517" w:rsidRPr="00DD1DFA" w:rsidRDefault="005F7EFA" w:rsidP="005F7EFA">
      <w:pPr>
        <w:pStyle w:val="ManualConsidrant"/>
        <w:rPr>
          <w:noProof/>
        </w:rPr>
      </w:pPr>
      <w:r w:rsidRPr="005F7EFA">
        <w:t>(44)</w:t>
      </w:r>
      <w:r w:rsidRPr="005F7EFA">
        <w:tab/>
      </w:r>
      <w:r w:rsidR="00576F65" w:rsidRPr="00DD1DFA">
        <w:rPr>
          <w:noProof/>
        </w:rPr>
        <w:t>Aby wzmocnić obieg zamknięty wyrobów budowlanych zgodnie</w:t>
      </w:r>
      <w:r w:rsidR="00DD1DFA" w:rsidRPr="00DD1DFA">
        <w:rPr>
          <w:noProof/>
        </w:rPr>
        <w:t xml:space="preserve"> z</w:t>
      </w:r>
      <w:r w:rsidR="00DD1DFA">
        <w:rPr>
          <w:noProof/>
        </w:rPr>
        <w:t> </w:t>
      </w:r>
      <w:r w:rsidR="00DD1DFA" w:rsidRPr="00DD1DFA">
        <w:rPr>
          <w:noProof/>
        </w:rPr>
        <w:t>cel</w:t>
      </w:r>
      <w:r w:rsidR="00576F65" w:rsidRPr="00DD1DFA">
        <w:rPr>
          <w:noProof/>
        </w:rPr>
        <w:t>ami określonymi</w:t>
      </w:r>
      <w:r w:rsidR="00DD1DFA" w:rsidRPr="00DD1DFA">
        <w:rPr>
          <w:noProof/>
        </w:rPr>
        <w:t xml:space="preserve"> w</w:t>
      </w:r>
      <w:r w:rsidR="00DD1DFA">
        <w:rPr>
          <w:noProof/>
        </w:rPr>
        <w:t> </w:t>
      </w:r>
      <w:r w:rsidR="00DD1DFA" w:rsidRPr="00DD1DFA">
        <w:rPr>
          <w:noProof/>
        </w:rPr>
        <w:t>ram</w:t>
      </w:r>
      <w:r w:rsidR="00576F65" w:rsidRPr="00DD1DFA">
        <w:rPr>
          <w:noProof/>
        </w:rPr>
        <w:t>ach Planu działania dotyczącego gospodarki</w:t>
      </w:r>
      <w:r w:rsidR="00DD1DFA" w:rsidRPr="00DD1DFA">
        <w:rPr>
          <w:noProof/>
        </w:rPr>
        <w:t xml:space="preserve"> o</w:t>
      </w:r>
      <w:r w:rsidR="00DD1DFA">
        <w:rPr>
          <w:noProof/>
        </w:rPr>
        <w:t> </w:t>
      </w:r>
      <w:r w:rsidR="00DD1DFA" w:rsidRPr="00DD1DFA">
        <w:rPr>
          <w:noProof/>
        </w:rPr>
        <w:t>obi</w:t>
      </w:r>
      <w:r w:rsidR="00576F65" w:rsidRPr="00DD1DFA">
        <w:rPr>
          <w:noProof/>
        </w:rPr>
        <w:t>egu zamkniętym, producenci powinni propagować ponowne użycie, regenerację</w:t>
      </w:r>
      <w:r w:rsidR="00DD1DFA" w:rsidRPr="00DD1DFA">
        <w:rPr>
          <w:noProof/>
        </w:rPr>
        <w:t xml:space="preserve"> i</w:t>
      </w:r>
      <w:r w:rsidR="00DD1DFA">
        <w:rPr>
          <w:noProof/>
        </w:rPr>
        <w:t> </w:t>
      </w:r>
      <w:r w:rsidR="00DD1DFA" w:rsidRPr="00DD1DFA">
        <w:rPr>
          <w:noProof/>
        </w:rPr>
        <w:t>rec</w:t>
      </w:r>
      <w:r w:rsidR="00576F65" w:rsidRPr="00DD1DFA">
        <w:rPr>
          <w:noProof/>
        </w:rPr>
        <w:t>ykling swoich wyrobów. Przygotowanie do ponownego użycia, ponowne użycie, regeneracja</w:t>
      </w:r>
      <w:r w:rsidR="00DD1DFA" w:rsidRPr="00DD1DFA">
        <w:rPr>
          <w:noProof/>
        </w:rPr>
        <w:t xml:space="preserve"> i</w:t>
      </w:r>
      <w:r w:rsidR="00DD1DFA">
        <w:rPr>
          <w:noProof/>
        </w:rPr>
        <w:t> </w:t>
      </w:r>
      <w:r w:rsidR="00DD1DFA" w:rsidRPr="00DD1DFA">
        <w:rPr>
          <w:noProof/>
        </w:rPr>
        <w:t>rec</w:t>
      </w:r>
      <w:r w:rsidR="00576F65" w:rsidRPr="00DD1DFA">
        <w:rPr>
          <w:noProof/>
        </w:rPr>
        <w:t>ykling wymagają wdrożenia określonych rozwiązań projektowych,</w:t>
      </w:r>
      <w:r w:rsidR="00DD1DFA" w:rsidRPr="00DD1DFA">
        <w:rPr>
          <w:noProof/>
        </w:rPr>
        <w:t xml:space="preserve"> a</w:t>
      </w:r>
      <w:r w:rsidR="00DD1DFA">
        <w:rPr>
          <w:noProof/>
        </w:rPr>
        <w:t> </w:t>
      </w:r>
      <w:r w:rsidR="00DD1DFA" w:rsidRPr="00DD1DFA">
        <w:rPr>
          <w:noProof/>
        </w:rPr>
        <w:t>mia</w:t>
      </w:r>
      <w:r w:rsidR="00576F65" w:rsidRPr="00DD1DFA">
        <w:rPr>
          <w:noProof/>
        </w:rPr>
        <w:t>nowicie ułatwienia oddzielania części składowych</w:t>
      </w:r>
      <w:r w:rsidR="00DD1DFA" w:rsidRPr="00DD1DFA">
        <w:rPr>
          <w:noProof/>
        </w:rPr>
        <w:t xml:space="preserve"> i</w:t>
      </w:r>
      <w:r w:rsidR="00DD1DFA">
        <w:rPr>
          <w:noProof/>
        </w:rPr>
        <w:t> </w:t>
      </w:r>
      <w:r w:rsidR="00DD1DFA" w:rsidRPr="00DD1DFA">
        <w:rPr>
          <w:noProof/>
        </w:rPr>
        <w:t>mat</w:t>
      </w:r>
      <w:r w:rsidR="00576F65" w:rsidRPr="00DD1DFA">
        <w:rPr>
          <w:noProof/>
        </w:rPr>
        <w:t>eriałów na późniejszym etapie recyklingu oraz unikania materiałów mieszanych, łączonych lub</w:t>
      </w:r>
      <w:r w:rsidR="00DD1DFA" w:rsidRPr="00DD1DFA">
        <w:rPr>
          <w:noProof/>
        </w:rPr>
        <w:t xml:space="preserve"> o</w:t>
      </w:r>
      <w:r w:rsidR="00DD1DFA">
        <w:rPr>
          <w:noProof/>
        </w:rPr>
        <w:t> </w:t>
      </w:r>
      <w:r w:rsidR="00DD1DFA" w:rsidRPr="00DD1DFA">
        <w:rPr>
          <w:noProof/>
        </w:rPr>
        <w:t>sko</w:t>
      </w:r>
      <w:r w:rsidR="00576F65" w:rsidRPr="00DD1DFA">
        <w:rPr>
          <w:noProof/>
        </w:rPr>
        <w:t>mplikowanym składzie. Ponieważ zwykłe instrukcje dotyczące stosowania nie zawsze docierają do podmiotów gospodarczych odpowiedzialnych za przygotowanie do ponownego użycia, ponowne użycie, regenerację</w:t>
      </w:r>
      <w:r w:rsidR="00DD1DFA" w:rsidRPr="00DD1DFA">
        <w:rPr>
          <w:noProof/>
        </w:rPr>
        <w:t xml:space="preserve"> i</w:t>
      </w:r>
      <w:r w:rsidR="00DD1DFA">
        <w:rPr>
          <w:noProof/>
        </w:rPr>
        <w:t> </w:t>
      </w:r>
      <w:r w:rsidR="00DD1DFA" w:rsidRPr="00DD1DFA">
        <w:rPr>
          <w:noProof/>
        </w:rPr>
        <w:t>rec</w:t>
      </w:r>
      <w:r w:rsidR="00576F65" w:rsidRPr="00DD1DFA">
        <w:rPr>
          <w:noProof/>
        </w:rPr>
        <w:t>ykling, oprócz instrukcji dotyczących stosowania,</w:t>
      </w:r>
      <w:r w:rsidR="00DD1DFA" w:rsidRPr="00DD1DFA">
        <w:rPr>
          <w:noProof/>
        </w:rPr>
        <w:t xml:space="preserve"> w</w:t>
      </w:r>
      <w:r w:rsidR="00DD1DFA">
        <w:rPr>
          <w:noProof/>
        </w:rPr>
        <w:t> </w:t>
      </w:r>
      <w:r w:rsidR="00DD1DFA" w:rsidRPr="00DD1DFA">
        <w:rPr>
          <w:noProof/>
        </w:rPr>
        <w:t>baz</w:t>
      </w:r>
      <w:r w:rsidR="00576F65" w:rsidRPr="00DD1DFA">
        <w:rPr>
          <w:noProof/>
        </w:rPr>
        <w:t>ach danych</w:t>
      </w:r>
      <w:r w:rsidR="00DD1DFA" w:rsidRPr="00DD1DFA">
        <w:rPr>
          <w:noProof/>
        </w:rPr>
        <w:t xml:space="preserve"> o</w:t>
      </w:r>
      <w:r w:rsidR="00DD1DFA">
        <w:rPr>
          <w:noProof/>
        </w:rPr>
        <w:t> </w:t>
      </w:r>
      <w:r w:rsidR="00DD1DFA" w:rsidRPr="00DD1DFA">
        <w:rPr>
          <w:noProof/>
        </w:rPr>
        <w:t>wyr</w:t>
      </w:r>
      <w:r w:rsidR="00576F65" w:rsidRPr="00DD1DFA">
        <w:rPr>
          <w:noProof/>
        </w:rPr>
        <w:t>obach lub systemach dotyczących wyrobów oraz na stronach internetowych producentów należy udostępnić niezbędne informacje</w:t>
      </w:r>
      <w:r w:rsidR="00DD1DFA" w:rsidRPr="00DD1DFA">
        <w:rPr>
          <w:noProof/>
        </w:rPr>
        <w:t xml:space="preserve"> w</w:t>
      </w:r>
      <w:r w:rsidR="00DD1DFA">
        <w:rPr>
          <w:noProof/>
        </w:rPr>
        <w:t> </w:t>
      </w:r>
      <w:r w:rsidR="00DD1DFA" w:rsidRPr="00DD1DFA">
        <w:rPr>
          <w:noProof/>
        </w:rPr>
        <w:t>tym</w:t>
      </w:r>
      <w:r w:rsidR="00576F65" w:rsidRPr="00DD1DFA">
        <w:rPr>
          <w:noProof/>
        </w:rPr>
        <w:t xml:space="preserve"> zakresie.</w:t>
      </w:r>
    </w:p>
    <w:p w14:paraId="2D54869B" w14:textId="4BF25A5B" w:rsidR="00181517" w:rsidRPr="00DD1DFA" w:rsidRDefault="005F7EFA" w:rsidP="005F7EFA">
      <w:pPr>
        <w:pStyle w:val="ManualConsidrant"/>
        <w:rPr>
          <w:noProof/>
        </w:rPr>
      </w:pPr>
      <w:r w:rsidRPr="005F7EFA">
        <w:t>(45)</w:t>
      </w:r>
      <w:r w:rsidRPr="005F7EFA">
        <w:tab/>
      </w:r>
      <w:r w:rsidR="00576F65" w:rsidRPr="00DD1DFA">
        <w:rPr>
          <w:noProof/>
        </w:rPr>
        <w:t>Aby dostarczać bezpieczne, funkcjonalne</w:t>
      </w:r>
      <w:r w:rsidR="00DD1DFA" w:rsidRPr="00DD1DFA">
        <w:rPr>
          <w:noProof/>
        </w:rPr>
        <w:t xml:space="preserve"> i</w:t>
      </w:r>
      <w:r w:rsidR="00DD1DFA">
        <w:rPr>
          <w:noProof/>
        </w:rPr>
        <w:t> </w:t>
      </w:r>
      <w:r w:rsidR="00DD1DFA" w:rsidRPr="00DD1DFA">
        <w:rPr>
          <w:noProof/>
        </w:rPr>
        <w:t>zró</w:t>
      </w:r>
      <w:r w:rsidR="00576F65" w:rsidRPr="00DD1DFA">
        <w:rPr>
          <w:noProof/>
        </w:rPr>
        <w:t>wnoważone pod względem środowiskowym wyroby budowlane, należy ustanowić kompleksowe obowiązki dla producentów</w:t>
      </w:r>
      <w:r w:rsidR="00DD1DFA" w:rsidRPr="00DD1DFA">
        <w:rPr>
          <w:noProof/>
        </w:rPr>
        <w:t xml:space="preserve"> w</w:t>
      </w:r>
      <w:r w:rsidR="00DD1DFA">
        <w:rPr>
          <w:noProof/>
        </w:rPr>
        <w:t> </w:t>
      </w:r>
      <w:r w:rsidR="00DD1DFA" w:rsidRPr="00DD1DFA">
        <w:rPr>
          <w:noProof/>
        </w:rPr>
        <w:t>zak</w:t>
      </w:r>
      <w:r w:rsidR="00576F65" w:rsidRPr="00DD1DFA">
        <w:rPr>
          <w:noProof/>
        </w:rPr>
        <w:t>resie zrównoważoności</w:t>
      </w:r>
      <w:r w:rsidR="00DD1DFA" w:rsidRPr="00DD1DFA">
        <w:rPr>
          <w:noProof/>
        </w:rPr>
        <w:t xml:space="preserve"> i</w:t>
      </w:r>
      <w:r w:rsidR="00DD1DFA">
        <w:rPr>
          <w:noProof/>
        </w:rPr>
        <w:t> </w:t>
      </w:r>
      <w:r w:rsidR="00DD1DFA" w:rsidRPr="00DD1DFA">
        <w:rPr>
          <w:noProof/>
        </w:rPr>
        <w:t>bez</w:t>
      </w:r>
      <w:r w:rsidR="00576F65" w:rsidRPr="00DD1DFA">
        <w:rPr>
          <w:noProof/>
        </w:rPr>
        <w:t>pieczeństwa. Ze względu na znaczenie tych obowiązków</w:t>
      </w:r>
      <w:r w:rsidR="00DD1DFA" w:rsidRPr="00DD1DFA">
        <w:rPr>
          <w:noProof/>
        </w:rPr>
        <w:t xml:space="preserve"> i</w:t>
      </w:r>
      <w:r w:rsidR="00DD1DFA">
        <w:rPr>
          <w:noProof/>
        </w:rPr>
        <w:t> </w:t>
      </w:r>
      <w:r w:rsidR="00DD1DFA" w:rsidRPr="00DD1DFA">
        <w:rPr>
          <w:noProof/>
        </w:rPr>
        <w:t>osi</w:t>
      </w:r>
      <w:r w:rsidR="00576F65" w:rsidRPr="00DD1DFA">
        <w:rPr>
          <w:noProof/>
        </w:rPr>
        <w:t>ągnięcie właściwej równowagi między funkcjonalnością, bezpieczeństwem</w:t>
      </w:r>
      <w:r w:rsidR="00DD1DFA" w:rsidRPr="00DD1DFA">
        <w:rPr>
          <w:noProof/>
        </w:rPr>
        <w:t xml:space="preserve"> i</w:t>
      </w:r>
      <w:r w:rsidR="00DD1DFA">
        <w:rPr>
          <w:noProof/>
        </w:rPr>
        <w:t> </w:t>
      </w:r>
      <w:r w:rsidR="00DD1DFA" w:rsidRPr="00DD1DFA">
        <w:rPr>
          <w:noProof/>
        </w:rPr>
        <w:t>zró</w:t>
      </w:r>
      <w:r w:rsidR="00576F65" w:rsidRPr="00DD1DFA">
        <w:rPr>
          <w:noProof/>
        </w:rPr>
        <w:t>wnoważonością, Komisja powinna posiadać uprawnienia do określania</w:t>
      </w:r>
      <w:r w:rsidR="00DD1DFA" w:rsidRPr="00DD1DFA">
        <w:rPr>
          <w:noProof/>
        </w:rPr>
        <w:t xml:space="preserve"> w</w:t>
      </w:r>
      <w:r w:rsidR="00DD1DFA">
        <w:rPr>
          <w:noProof/>
        </w:rPr>
        <w:t> </w:t>
      </w:r>
      <w:r w:rsidR="00DD1DFA" w:rsidRPr="00DD1DFA">
        <w:rPr>
          <w:noProof/>
        </w:rPr>
        <w:t>dro</w:t>
      </w:r>
      <w:r w:rsidR="00576F65" w:rsidRPr="00DD1DFA">
        <w:rPr>
          <w:noProof/>
        </w:rPr>
        <w:t>dze aktów delegowanych warunków, na jakich –</w:t>
      </w:r>
      <w:r w:rsidR="00DD1DFA" w:rsidRPr="00DD1DFA">
        <w:rPr>
          <w:noProof/>
        </w:rPr>
        <w:t xml:space="preserve"> w</w:t>
      </w:r>
      <w:r w:rsidR="00DD1DFA">
        <w:rPr>
          <w:noProof/>
        </w:rPr>
        <w:t> </w:t>
      </w:r>
      <w:r w:rsidR="00DD1DFA" w:rsidRPr="00DD1DFA">
        <w:rPr>
          <w:noProof/>
        </w:rPr>
        <w:t>odn</w:t>
      </w:r>
      <w:r w:rsidR="00576F65" w:rsidRPr="00DD1DFA">
        <w:rPr>
          <w:noProof/>
        </w:rPr>
        <w:t xml:space="preserve">iesieniu do konkretnej rodziny lub kategorii wyrobów – obowiązki te zostają spełnione lub zakłada się, że zostały spełnione. </w:t>
      </w:r>
    </w:p>
    <w:p w14:paraId="1EBCB2F1" w14:textId="448C0D98" w:rsidR="00181517" w:rsidRPr="00DD1DFA" w:rsidRDefault="005F7EFA" w:rsidP="005F7EFA">
      <w:pPr>
        <w:pStyle w:val="ManualConsidrant"/>
        <w:rPr>
          <w:noProof/>
        </w:rPr>
      </w:pPr>
      <w:r w:rsidRPr="005F7EFA">
        <w:t>(46)</w:t>
      </w:r>
      <w:r w:rsidRPr="005F7EFA">
        <w:tab/>
      </w:r>
      <w:r w:rsidR="00A0054C" w:rsidRPr="00DD1DFA">
        <w:rPr>
          <w:noProof/>
        </w:rPr>
        <w:t>Niektóre wyroby budowlane stają się odpadami, mimo że nigdy ich nie użyto. Aby uniknąć takiego marnotrawienia zasobów, producenci powinni zgodzić się na odzyskanie, bezpośrednio lub za pośrednictwem importerów</w:t>
      </w:r>
      <w:r w:rsidR="00DD1DFA" w:rsidRPr="00DD1DFA">
        <w:rPr>
          <w:noProof/>
        </w:rPr>
        <w:t xml:space="preserve"> i</w:t>
      </w:r>
      <w:r w:rsidR="00DD1DFA">
        <w:rPr>
          <w:noProof/>
        </w:rPr>
        <w:t> </w:t>
      </w:r>
      <w:r w:rsidR="00DD1DFA" w:rsidRPr="00DD1DFA">
        <w:rPr>
          <w:noProof/>
        </w:rPr>
        <w:t>dys</w:t>
      </w:r>
      <w:r w:rsidR="00A0054C" w:rsidRPr="00DD1DFA">
        <w:rPr>
          <w:noProof/>
        </w:rPr>
        <w:t>trybutorów, praw własności do wyrobów, których po dostarczeniu na plac budowy lub do użytkownika nie używano</w:t>
      </w:r>
      <w:r w:rsidR="00DD1DFA" w:rsidRPr="00DD1DFA">
        <w:rPr>
          <w:noProof/>
        </w:rPr>
        <w:t xml:space="preserve"> i</w:t>
      </w:r>
      <w:r w:rsidR="00DD1DFA">
        <w:rPr>
          <w:noProof/>
        </w:rPr>
        <w:t> </w:t>
      </w:r>
      <w:r w:rsidR="00DD1DFA" w:rsidRPr="00DD1DFA">
        <w:rPr>
          <w:noProof/>
        </w:rPr>
        <w:t>któ</w:t>
      </w:r>
      <w:r w:rsidR="00A0054C" w:rsidRPr="00DD1DFA">
        <w:rPr>
          <w:noProof/>
        </w:rPr>
        <w:t>re znajdują się</w:t>
      </w:r>
      <w:r w:rsidR="00DD1DFA" w:rsidRPr="00DD1DFA">
        <w:rPr>
          <w:noProof/>
        </w:rPr>
        <w:t xml:space="preserve"> w</w:t>
      </w:r>
      <w:r w:rsidR="00DD1DFA">
        <w:rPr>
          <w:noProof/>
        </w:rPr>
        <w:t> </w:t>
      </w:r>
      <w:r w:rsidR="00DD1DFA" w:rsidRPr="00DD1DFA">
        <w:rPr>
          <w:noProof/>
        </w:rPr>
        <w:t>sta</w:t>
      </w:r>
      <w:r w:rsidR="00A0054C" w:rsidRPr="00DD1DFA">
        <w:rPr>
          <w:noProof/>
        </w:rPr>
        <w:t>nie odpowiadającym stanowi,</w:t>
      </w:r>
      <w:r w:rsidR="00DD1DFA" w:rsidRPr="00DD1DFA">
        <w:rPr>
          <w:noProof/>
        </w:rPr>
        <w:t xml:space="preserve"> w</w:t>
      </w:r>
      <w:r w:rsidR="00DD1DFA">
        <w:rPr>
          <w:noProof/>
        </w:rPr>
        <w:t> </w:t>
      </w:r>
      <w:r w:rsidR="00DD1DFA" w:rsidRPr="00DD1DFA">
        <w:rPr>
          <w:noProof/>
        </w:rPr>
        <w:t>jak</w:t>
      </w:r>
      <w:r w:rsidR="00A0054C" w:rsidRPr="00DD1DFA">
        <w:rPr>
          <w:noProof/>
        </w:rPr>
        <w:t xml:space="preserve">im zostały wprowadzone do obrotu. </w:t>
      </w:r>
    </w:p>
    <w:p w14:paraId="482977BB" w14:textId="1B8E7E32" w:rsidR="00181517" w:rsidRPr="00DD1DFA" w:rsidRDefault="005F7EFA" w:rsidP="005F7EFA">
      <w:pPr>
        <w:pStyle w:val="ManualConsidrant"/>
        <w:rPr>
          <w:noProof/>
        </w:rPr>
      </w:pPr>
      <w:r w:rsidRPr="005F7EFA">
        <w:t>(47)</w:t>
      </w:r>
      <w:r w:rsidRPr="005F7EFA">
        <w:tab/>
      </w:r>
      <w:r w:rsidR="007800D1" w:rsidRPr="00DD1DFA">
        <w:rPr>
          <w:noProof/>
        </w:rPr>
        <w:t>Aby użytkownicy wyrobów budowlanych mogli dokonywać świadomych wyborów, należy ich dostatecznie dobrze poinformować</w:t>
      </w:r>
      <w:r w:rsidR="00DD1DFA" w:rsidRPr="00DD1DFA">
        <w:rPr>
          <w:noProof/>
        </w:rPr>
        <w:t xml:space="preserve"> o</w:t>
      </w:r>
      <w:r w:rsidR="00DD1DFA">
        <w:rPr>
          <w:noProof/>
        </w:rPr>
        <w:t> </w:t>
      </w:r>
      <w:r w:rsidR="00DD1DFA" w:rsidRPr="00DD1DFA">
        <w:rPr>
          <w:noProof/>
        </w:rPr>
        <w:t>efe</w:t>
      </w:r>
      <w:r w:rsidR="007800D1" w:rsidRPr="00DD1DFA">
        <w:rPr>
          <w:noProof/>
        </w:rPr>
        <w:t>ktywności środowiskowej wyrobów,</w:t>
      </w:r>
      <w:r w:rsidR="00DD1DFA" w:rsidRPr="00DD1DFA">
        <w:rPr>
          <w:noProof/>
        </w:rPr>
        <w:t xml:space="preserve"> o</w:t>
      </w:r>
      <w:r w:rsidR="00DD1DFA">
        <w:rPr>
          <w:noProof/>
        </w:rPr>
        <w:t> </w:t>
      </w:r>
      <w:r w:rsidR="00DD1DFA" w:rsidRPr="00DD1DFA">
        <w:rPr>
          <w:noProof/>
        </w:rPr>
        <w:t>ich</w:t>
      </w:r>
      <w:r w:rsidR="007800D1" w:rsidRPr="00DD1DFA">
        <w:rPr>
          <w:noProof/>
        </w:rPr>
        <w:t xml:space="preserve"> zgodności</w:t>
      </w:r>
      <w:r w:rsidR="00DD1DFA" w:rsidRPr="00DD1DFA">
        <w:rPr>
          <w:noProof/>
        </w:rPr>
        <w:t xml:space="preserve"> z</w:t>
      </w:r>
      <w:r w:rsidR="00DD1DFA">
        <w:rPr>
          <w:noProof/>
        </w:rPr>
        <w:t> </w:t>
      </w:r>
      <w:r w:rsidR="00DD1DFA" w:rsidRPr="00DD1DFA">
        <w:rPr>
          <w:noProof/>
        </w:rPr>
        <w:t>wym</w:t>
      </w:r>
      <w:r w:rsidR="007800D1" w:rsidRPr="00DD1DFA">
        <w:rPr>
          <w:noProof/>
        </w:rPr>
        <w:t>ogami środowiskowymi oraz</w:t>
      </w:r>
      <w:r w:rsidR="00DD1DFA" w:rsidRPr="00DD1DFA">
        <w:rPr>
          <w:noProof/>
        </w:rPr>
        <w:t xml:space="preserve"> o</w:t>
      </w:r>
      <w:r w:rsidR="00DD1DFA">
        <w:rPr>
          <w:noProof/>
        </w:rPr>
        <w:t> </w:t>
      </w:r>
      <w:r w:rsidR="00DD1DFA" w:rsidRPr="00DD1DFA">
        <w:rPr>
          <w:noProof/>
        </w:rPr>
        <w:t>sto</w:t>
      </w:r>
      <w:r w:rsidR="007800D1" w:rsidRPr="00DD1DFA">
        <w:rPr>
          <w:noProof/>
        </w:rPr>
        <w:t>pniu realizacji przez producenta obowiązków</w:t>
      </w:r>
      <w:r w:rsidR="00DD1DFA" w:rsidRPr="00DD1DFA">
        <w:rPr>
          <w:noProof/>
        </w:rPr>
        <w:t xml:space="preserve"> w</w:t>
      </w:r>
      <w:r w:rsidR="00DD1DFA">
        <w:rPr>
          <w:noProof/>
        </w:rPr>
        <w:t> </w:t>
      </w:r>
      <w:r w:rsidR="00DD1DFA" w:rsidRPr="00DD1DFA">
        <w:rPr>
          <w:noProof/>
        </w:rPr>
        <w:t>zak</w:t>
      </w:r>
      <w:r w:rsidR="007800D1" w:rsidRPr="00DD1DFA">
        <w:rPr>
          <w:noProof/>
        </w:rPr>
        <w:t>resie ochrony środowiska naturalnego</w:t>
      </w:r>
      <w:r w:rsidR="00DD1DFA" w:rsidRPr="00DD1DFA">
        <w:rPr>
          <w:noProof/>
        </w:rPr>
        <w:t xml:space="preserve"> w</w:t>
      </w:r>
      <w:r w:rsidR="00DD1DFA">
        <w:rPr>
          <w:noProof/>
        </w:rPr>
        <w:t> </w:t>
      </w:r>
      <w:r w:rsidR="00DD1DFA" w:rsidRPr="00DD1DFA">
        <w:rPr>
          <w:noProof/>
        </w:rPr>
        <w:t>tym</w:t>
      </w:r>
      <w:r w:rsidR="007800D1" w:rsidRPr="00DD1DFA">
        <w:rPr>
          <w:noProof/>
        </w:rPr>
        <w:t xml:space="preserve"> zakresie. Komisja posiada zatem uprawnienia do przyjęcia aktów delegowanych</w:t>
      </w:r>
      <w:r w:rsidR="00DD1DFA" w:rsidRPr="00DD1DFA">
        <w:rPr>
          <w:noProof/>
        </w:rPr>
        <w:t xml:space="preserve"> w</w:t>
      </w:r>
      <w:r w:rsidR="00DD1DFA">
        <w:rPr>
          <w:noProof/>
        </w:rPr>
        <w:t> </w:t>
      </w:r>
      <w:r w:rsidR="00DD1DFA" w:rsidRPr="00DD1DFA">
        <w:rPr>
          <w:noProof/>
        </w:rPr>
        <w:t>cel</w:t>
      </w:r>
      <w:r w:rsidR="007800D1" w:rsidRPr="00DD1DFA">
        <w:rPr>
          <w:noProof/>
        </w:rPr>
        <w:t>u ustanowienia szczegółowych wymogów dotyczących etykiet, które mogą obejmować łatwe do zrozumienia etykietowanie</w:t>
      </w:r>
      <w:r w:rsidR="00DD1DFA" w:rsidRPr="00DD1DFA">
        <w:rPr>
          <w:noProof/>
        </w:rPr>
        <w:t xml:space="preserve"> w</w:t>
      </w:r>
      <w:r w:rsidR="00DD1DFA">
        <w:rPr>
          <w:noProof/>
        </w:rPr>
        <w:t> </w:t>
      </w:r>
      <w:r w:rsidR="00DD1DFA" w:rsidRPr="00DD1DFA">
        <w:rPr>
          <w:noProof/>
        </w:rPr>
        <w:t>for</w:t>
      </w:r>
      <w:r w:rsidR="007800D1" w:rsidRPr="00DD1DFA">
        <w:rPr>
          <w:noProof/>
        </w:rPr>
        <w:t>mie „sygnalizacji świetlnej”.</w:t>
      </w:r>
    </w:p>
    <w:p w14:paraId="79E312E7" w14:textId="3FEA5367" w:rsidR="00181517" w:rsidRPr="00DD1DFA" w:rsidRDefault="005F7EFA" w:rsidP="005F7EFA">
      <w:pPr>
        <w:pStyle w:val="ManualConsidrant"/>
        <w:rPr>
          <w:noProof/>
        </w:rPr>
      </w:pPr>
      <w:r w:rsidRPr="005F7EFA">
        <w:t>(48)</w:t>
      </w:r>
      <w:r w:rsidRPr="005F7EFA">
        <w:tab/>
      </w:r>
      <w:r w:rsidR="00181517" w:rsidRPr="00DD1DFA">
        <w:rPr>
          <w:noProof/>
        </w:rPr>
        <w:t>Niektóre obowiązki producenta, takie jak ocena zrównoważenia środowiskowego lub przyznawanie pierwszeństwa materiałom nadającym się do recyklingu, są trudne do spełnienia</w:t>
      </w:r>
      <w:r w:rsidR="00DD1DFA" w:rsidRPr="00DD1DFA">
        <w:rPr>
          <w:noProof/>
        </w:rPr>
        <w:t xml:space="preserve"> w</w:t>
      </w:r>
      <w:r w:rsidR="00DD1DFA">
        <w:rPr>
          <w:noProof/>
        </w:rPr>
        <w:t> </w:t>
      </w:r>
      <w:r w:rsidR="00DD1DFA" w:rsidRPr="00DD1DFA">
        <w:rPr>
          <w:noProof/>
        </w:rPr>
        <w:t>prz</w:t>
      </w:r>
      <w:r w:rsidR="00181517" w:rsidRPr="00DD1DFA">
        <w:rPr>
          <w:noProof/>
        </w:rPr>
        <w:t>ypadku wyrobów używanych, poddanych regeneracji lub</w:t>
      </w:r>
      <w:r w:rsidR="00DD1DFA" w:rsidRPr="00DD1DFA">
        <w:rPr>
          <w:noProof/>
        </w:rPr>
        <w:t xml:space="preserve"> w</w:t>
      </w:r>
      <w:r w:rsidR="00DD1DFA">
        <w:rPr>
          <w:noProof/>
        </w:rPr>
        <w:t> </w:t>
      </w:r>
      <w:r w:rsidR="00DD1DFA" w:rsidRPr="00DD1DFA">
        <w:rPr>
          <w:noProof/>
        </w:rPr>
        <w:t>prz</w:t>
      </w:r>
      <w:r w:rsidR="00181517" w:rsidRPr="00DD1DFA">
        <w:rPr>
          <w:noProof/>
        </w:rPr>
        <w:t>ypadku nadwyżek wyrobów. Podmioty gospodarcze umożliwiające ponowne użycie lub zajmujące się regeneracją wyrobów należy zatem zwolnić</w:t>
      </w:r>
      <w:r w:rsidR="00DD1DFA" w:rsidRPr="00DD1DFA">
        <w:rPr>
          <w:noProof/>
        </w:rPr>
        <w:t xml:space="preserve"> z</w:t>
      </w:r>
      <w:r w:rsidR="00DD1DFA">
        <w:rPr>
          <w:noProof/>
        </w:rPr>
        <w:t> </w:t>
      </w:r>
      <w:r w:rsidR="00DD1DFA" w:rsidRPr="00DD1DFA">
        <w:rPr>
          <w:noProof/>
        </w:rPr>
        <w:t>tyc</w:t>
      </w:r>
      <w:r w:rsidR="00181517" w:rsidRPr="00DD1DFA">
        <w:rPr>
          <w:noProof/>
        </w:rPr>
        <w:t>h obowiązków, tym bardziej, że ponowne użycie</w:t>
      </w:r>
      <w:r w:rsidR="00DD1DFA" w:rsidRPr="00DD1DFA">
        <w:rPr>
          <w:noProof/>
        </w:rPr>
        <w:t xml:space="preserve"> i</w:t>
      </w:r>
      <w:r w:rsidR="00DD1DFA">
        <w:rPr>
          <w:noProof/>
        </w:rPr>
        <w:t> </w:t>
      </w:r>
      <w:r w:rsidR="00DD1DFA" w:rsidRPr="00DD1DFA">
        <w:rPr>
          <w:noProof/>
        </w:rPr>
        <w:t>reg</w:t>
      </w:r>
      <w:r w:rsidR="00181517" w:rsidRPr="00DD1DFA">
        <w:rPr>
          <w:noProof/>
        </w:rPr>
        <w:t>eneracja wyrobów są korzystne dla środowiska.</w:t>
      </w:r>
    </w:p>
    <w:p w14:paraId="17591D2F" w14:textId="06CB4A34" w:rsidR="00181517" w:rsidRPr="00DD1DFA" w:rsidRDefault="005F7EFA" w:rsidP="005F7EFA">
      <w:pPr>
        <w:pStyle w:val="ManualConsidrant"/>
        <w:rPr>
          <w:noProof/>
        </w:rPr>
      </w:pPr>
      <w:r w:rsidRPr="005F7EFA">
        <w:t>(49)</w:t>
      </w:r>
      <w:r w:rsidRPr="005F7EFA">
        <w:tab/>
      </w:r>
      <w:r w:rsidR="00181517" w:rsidRPr="00DD1DFA">
        <w:rPr>
          <w:noProof/>
        </w:rPr>
        <w:t>Upoważnieni przedstawiciele są często jedynymi osobami,</w:t>
      </w:r>
      <w:r w:rsidR="00DD1DFA" w:rsidRPr="00DD1DFA">
        <w:rPr>
          <w:noProof/>
        </w:rPr>
        <w:t xml:space="preserve"> z</w:t>
      </w:r>
      <w:r w:rsidR="00DD1DFA">
        <w:rPr>
          <w:noProof/>
        </w:rPr>
        <w:t> </w:t>
      </w:r>
      <w:r w:rsidR="00DD1DFA" w:rsidRPr="00DD1DFA">
        <w:rPr>
          <w:noProof/>
        </w:rPr>
        <w:t>któ</w:t>
      </w:r>
      <w:r w:rsidR="00181517" w:rsidRPr="00DD1DFA">
        <w:rPr>
          <w:noProof/>
        </w:rPr>
        <w:t>rymi można się skontaktować</w:t>
      </w:r>
      <w:r w:rsidR="00DD1DFA" w:rsidRPr="00DD1DFA">
        <w:rPr>
          <w:noProof/>
        </w:rPr>
        <w:t xml:space="preserve"> w</w:t>
      </w:r>
      <w:r w:rsidR="00DD1DFA">
        <w:rPr>
          <w:noProof/>
        </w:rPr>
        <w:t> </w:t>
      </w:r>
      <w:r w:rsidR="00DD1DFA" w:rsidRPr="00DD1DFA">
        <w:rPr>
          <w:noProof/>
        </w:rPr>
        <w:t>prz</w:t>
      </w:r>
      <w:r w:rsidR="00181517" w:rsidRPr="00DD1DFA">
        <w:rPr>
          <w:noProof/>
        </w:rPr>
        <w:t>ypadku wyrobów przywożonych, natomiast producenci często powierzają im bardzo ograniczone zadania</w:t>
      </w:r>
      <w:r w:rsidR="00DD1DFA" w:rsidRPr="00DD1DFA">
        <w:rPr>
          <w:noProof/>
        </w:rPr>
        <w:t xml:space="preserve"> i</w:t>
      </w:r>
      <w:r w:rsidR="00DD1DFA">
        <w:rPr>
          <w:noProof/>
        </w:rPr>
        <w:t> </w:t>
      </w:r>
      <w:r w:rsidR="00DD1DFA" w:rsidRPr="00DD1DFA">
        <w:rPr>
          <w:noProof/>
        </w:rPr>
        <w:t>nie</w:t>
      </w:r>
      <w:r w:rsidR="00181517" w:rsidRPr="00DD1DFA">
        <w:rPr>
          <w:noProof/>
        </w:rPr>
        <w:t xml:space="preserve"> przekazują im wszystkich informacji niezbędnych do skutecznego reprezentowania producentów</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należy wyjaśnić oraz podkreślić rolę</w:t>
      </w:r>
      <w:r w:rsidR="00DD1DFA" w:rsidRPr="00DD1DFA">
        <w:rPr>
          <w:noProof/>
        </w:rPr>
        <w:t xml:space="preserve"> i</w:t>
      </w:r>
      <w:r w:rsidR="00DD1DFA">
        <w:rPr>
          <w:noProof/>
        </w:rPr>
        <w:t> </w:t>
      </w:r>
      <w:r w:rsidR="00DD1DFA" w:rsidRPr="00DD1DFA">
        <w:rPr>
          <w:noProof/>
        </w:rPr>
        <w:t>obo</w:t>
      </w:r>
      <w:r w:rsidR="00181517" w:rsidRPr="00DD1DFA">
        <w:rPr>
          <w:noProof/>
        </w:rPr>
        <w:t>wiązki upoważnionych przedstawicieli.</w:t>
      </w:r>
    </w:p>
    <w:p w14:paraId="50C151E4" w14:textId="4EA0B84D" w:rsidR="00181517" w:rsidRPr="00DD1DFA" w:rsidRDefault="005F7EFA" w:rsidP="005F7EFA">
      <w:pPr>
        <w:pStyle w:val="ManualConsidrant"/>
        <w:rPr>
          <w:noProof/>
        </w:rPr>
      </w:pPr>
      <w:r w:rsidRPr="005F7EFA">
        <w:t>(50)</w:t>
      </w:r>
      <w:r w:rsidRPr="005F7EFA">
        <w:tab/>
      </w:r>
      <w:r w:rsidR="00181517" w:rsidRPr="00DD1DFA">
        <w:rPr>
          <w:noProof/>
        </w:rPr>
        <w:t>Podmiot gospodarczy, który modyfikuje dany wyrób</w:t>
      </w:r>
      <w:r w:rsidR="00DD1DFA" w:rsidRPr="00DD1DFA">
        <w:rPr>
          <w:noProof/>
        </w:rPr>
        <w:t xml:space="preserve"> w</w:t>
      </w:r>
      <w:r w:rsidR="00DD1DFA">
        <w:rPr>
          <w:noProof/>
        </w:rPr>
        <w:t> </w:t>
      </w:r>
      <w:r w:rsidR="00DD1DFA" w:rsidRPr="00DD1DFA">
        <w:rPr>
          <w:noProof/>
        </w:rPr>
        <w:t>spo</w:t>
      </w:r>
      <w:r w:rsidR="00181517" w:rsidRPr="00DD1DFA">
        <w:rPr>
          <w:noProof/>
        </w:rPr>
        <w:t>sób, który może mieć wpływ na jego właściwości użytkowe lub bezpieczeństwo, powinien podlegać obowiązkom producentów</w:t>
      </w:r>
      <w:r w:rsidR="00DD1DFA" w:rsidRPr="00DD1DFA">
        <w:rPr>
          <w:noProof/>
        </w:rPr>
        <w:t xml:space="preserve"> w</w:t>
      </w:r>
      <w:r w:rsidR="00DD1DFA">
        <w:rPr>
          <w:noProof/>
        </w:rPr>
        <w:t> </w:t>
      </w:r>
      <w:r w:rsidR="00DD1DFA" w:rsidRPr="00DD1DFA">
        <w:rPr>
          <w:noProof/>
        </w:rPr>
        <w:t>cel</w:t>
      </w:r>
      <w:r w:rsidR="00181517" w:rsidRPr="00DD1DFA">
        <w:rPr>
          <w:noProof/>
        </w:rPr>
        <w:t>u sprawdzenia, czy właściwości użytkowe lub bezpieczeństwo wyrobu są nadal takie same. Obowiązku tego nie należy jednak nakładać na podmiot gospodarczy, który przepakowuje wyroby</w:t>
      </w:r>
      <w:r w:rsidR="00DD1DFA" w:rsidRPr="00DD1DFA">
        <w:rPr>
          <w:noProof/>
        </w:rPr>
        <w:t xml:space="preserve"> w</w:t>
      </w:r>
      <w:r w:rsidR="00DD1DFA">
        <w:rPr>
          <w:noProof/>
        </w:rPr>
        <w:t> </w:t>
      </w:r>
      <w:r w:rsidR="00DD1DFA" w:rsidRPr="00DD1DFA">
        <w:rPr>
          <w:noProof/>
        </w:rPr>
        <w:t>cel</w:t>
      </w:r>
      <w:r w:rsidR="00181517" w:rsidRPr="00DD1DFA">
        <w:rPr>
          <w:noProof/>
        </w:rPr>
        <w:t>u udostępnienia ich</w:t>
      </w:r>
      <w:r w:rsidR="00DD1DFA" w:rsidRPr="00DD1DFA">
        <w:rPr>
          <w:noProof/>
        </w:rPr>
        <w:t xml:space="preserve"> w</w:t>
      </w:r>
      <w:r w:rsidR="00DD1DFA">
        <w:rPr>
          <w:noProof/>
        </w:rPr>
        <w:t> </w:t>
      </w:r>
      <w:r w:rsidR="00DD1DFA" w:rsidRPr="00DD1DFA">
        <w:rPr>
          <w:noProof/>
        </w:rPr>
        <w:t>inn</w:t>
      </w:r>
      <w:r w:rsidR="00181517" w:rsidRPr="00DD1DFA">
        <w:rPr>
          <w:noProof/>
        </w:rPr>
        <w:t>ym państwie członkowskim, ponieważ</w:t>
      </w:r>
      <w:r w:rsidR="00DD1DFA" w:rsidRPr="00DD1DFA">
        <w:rPr>
          <w:noProof/>
        </w:rPr>
        <w:t xml:space="preserve"> w</w:t>
      </w:r>
      <w:r w:rsidR="00DD1DFA">
        <w:rPr>
          <w:noProof/>
        </w:rPr>
        <w:t> </w:t>
      </w:r>
      <w:r w:rsidR="00DD1DFA" w:rsidRPr="00DD1DFA">
        <w:rPr>
          <w:noProof/>
        </w:rPr>
        <w:t>prz</w:t>
      </w:r>
      <w:r w:rsidR="00181517" w:rsidRPr="00DD1DFA">
        <w:rPr>
          <w:noProof/>
        </w:rPr>
        <w:t>eciwnym razie handel na rynku wtórnym,</w:t>
      </w:r>
      <w:r w:rsidR="00DD1DFA" w:rsidRPr="00DD1DFA">
        <w:rPr>
          <w:noProof/>
        </w:rPr>
        <w:t xml:space="preserve"> a</w:t>
      </w:r>
      <w:r w:rsidR="00DD1DFA">
        <w:rPr>
          <w:noProof/>
        </w:rPr>
        <w:t> </w:t>
      </w:r>
      <w:r w:rsidR="00DD1DFA" w:rsidRPr="00DD1DFA">
        <w:rPr>
          <w:noProof/>
        </w:rPr>
        <w:t>tym</w:t>
      </w:r>
      <w:r w:rsidR="00181517" w:rsidRPr="00DD1DFA">
        <w:rPr>
          <w:noProof/>
        </w:rPr>
        <w:t xml:space="preserve"> samym swobodny obrót wyrobami, byłby utrudniony,</w:t>
      </w:r>
      <w:r w:rsidR="00DD1DFA" w:rsidRPr="00DD1DFA">
        <w:rPr>
          <w:noProof/>
        </w:rPr>
        <w:t xml:space="preserve"> a</w:t>
      </w:r>
      <w:r w:rsidR="00DD1DFA">
        <w:rPr>
          <w:noProof/>
        </w:rPr>
        <w:t> </w:t>
      </w:r>
      <w:r w:rsidR="00DD1DFA" w:rsidRPr="00DD1DFA">
        <w:rPr>
          <w:noProof/>
        </w:rPr>
        <w:t>prz</w:t>
      </w:r>
      <w:r w:rsidR="00181517" w:rsidRPr="00DD1DFA">
        <w:rPr>
          <w:noProof/>
        </w:rPr>
        <w:t>epakowywanie co do zasady nie powinno mieć wpływu na właściwości użytkowe ani na bezpieczeństwo wyrobu budowlanego. Aby jednak zachować właściwości użytkowe</w:t>
      </w:r>
      <w:r w:rsidR="00DD1DFA" w:rsidRPr="00DD1DFA">
        <w:rPr>
          <w:noProof/>
        </w:rPr>
        <w:t xml:space="preserve"> i</w:t>
      </w:r>
      <w:r w:rsidR="00DD1DFA">
        <w:rPr>
          <w:noProof/>
        </w:rPr>
        <w:t> </w:t>
      </w:r>
      <w:r w:rsidR="00DD1DFA" w:rsidRPr="00DD1DFA">
        <w:rPr>
          <w:noProof/>
        </w:rPr>
        <w:t>zap</w:t>
      </w:r>
      <w:r w:rsidR="00181517" w:rsidRPr="00DD1DFA">
        <w:rPr>
          <w:noProof/>
        </w:rPr>
        <w:t>ewnić bezpieczeństwo wyrobów, podmiot gospodarczy zajmujący się przepakowywaniem powinien ponosić odpowiedzialność za prawidłowe wykonanie tych czynności, aby zagwarantować, że dany wyrób nie zostanie uszkodzony,</w:t>
      </w:r>
      <w:r w:rsidR="00DD1DFA" w:rsidRPr="00DD1DFA">
        <w:rPr>
          <w:noProof/>
        </w:rPr>
        <w:t xml:space="preserve"> a</w:t>
      </w:r>
      <w:r w:rsidR="00DD1DFA">
        <w:rPr>
          <w:noProof/>
        </w:rPr>
        <w:t> </w:t>
      </w:r>
      <w:r w:rsidR="00DD1DFA" w:rsidRPr="00DD1DFA">
        <w:rPr>
          <w:noProof/>
        </w:rPr>
        <w:t>uży</w:t>
      </w:r>
      <w:r w:rsidR="00181517" w:rsidRPr="00DD1DFA">
        <w:rPr>
          <w:noProof/>
        </w:rPr>
        <w:t>tkownicy nadal będą należycie informowani</w:t>
      </w:r>
      <w:r w:rsidR="00DD1DFA" w:rsidRPr="00DD1DFA">
        <w:rPr>
          <w:noProof/>
        </w:rPr>
        <w:t xml:space="preserve"> w</w:t>
      </w:r>
      <w:r w:rsidR="00DD1DFA">
        <w:rPr>
          <w:noProof/>
        </w:rPr>
        <w:t> </w:t>
      </w:r>
      <w:r w:rsidR="00DD1DFA" w:rsidRPr="00DD1DFA">
        <w:rPr>
          <w:noProof/>
        </w:rPr>
        <w:t>jęz</w:t>
      </w:r>
      <w:r w:rsidR="00181517" w:rsidRPr="00DD1DFA">
        <w:rPr>
          <w:noProof/>
        </w:rPr>
        <w:t>yku określonym przez państwo członkowskie,</w:t>
      </w:r>
      <w:r w:rsidR="00DD1DFA" w:rsidRPr="00DD1DFA">
        <w:rPr>
          <w:noProof/>
        </w:rPr>
        <w:t xml:space="preserve"> w</w:t>
      </w:r>
      <w:r w:rsidR="00DD1DFA">
        <w:rPr>
          <w:noProof/>
        </w:rPr>
        <w:t> </w:t>
      </w:r>
      <w:r w:rsidR="00DD1DFA" w:rsidRPr="00DD1DFA">
        <w:rPr>
          <w:noProof/>
        </w:rPr>
        <w:t>któ</w:t>
      </w:r>
      <w:r w:rsidR="00181517" w:rsidRPr="00DD1DFA">
        <w:rPr>
          <w:noProof/>
        </w:rPr>
        <w:t>rym udostępnia się te wyroby.</w:t>
      </w:r>
    </w:p>
    <w:p w14:paraId="236F6C0D" w14:textId="23960DEB" w:rsidR="00181517" w:rsidRPr="00DD1DFA" w:rsidRDefault="005F7EFA" w:rsidP="005F7EFA">
      <w:pPr>
        <w:pStyle w:val="ManualConsidrant"/>
        <w:rPr>
          <w:noProof/>
        </w:rPr>
      </w:pPr>
      <w:r w:rsidRPr="005F7EFA">
        <w:t>(51)</w:t>
      </w:r>
      <w:r w:rsidRPr="005F7EFA">
        <w:tab/>
      </w:r>
      <w:r w:rsidR="00181517" w:rsidRPr="00DD1DFA">
        <w:rPr>
          <w:noProof/>
        </w:rPr>
        <w:t>Aby zwiększyć stopień przestrzegania przez producentów obowiązków wynikających</w:t>
      </w:r>
      <w:r w:rsidR="00DD1DFA" w:rsidRPr="00DD1DFA">
        <w:rPr>
          <w:noProof/>
        </w:rPr>
        <w:t xml:space="preserve"> z</w:t>
      </w:r>
      <w:r w:rsidR="00DD1DFA">
        <w:rPr>
          <w:noProof/>
        </w:rPr>
        <w:t> </w:t>
      </w:r>
      <w:r w:rsidR="00DD1DFA" w:rsidRPr="00DD1DFA">
        <w:rPr>
          <w:noProof/>
        </w:rPr>
        <w:t>nin</w:t>
      </w:r>
      <w:r w:rsidR="00181517" w:rsidRPr="00DD1DFA">
        <w:rPr>
          <w:noProof/>
        </w:rPr>
        <w:t>iejszego rozporządzenia oraz przyczynić się do usunięcia stwierdzonych uchybień</w:t>
      </w:r>
      <w:r w:rsidR="00DD1DFA" w:rsidRPr="00DD1DFA">
        <w:rPr>
          <w:noProof/>
        </w:rPr>
        <w:t xml:space="preserve"> i</w:t>
      </w:r>
      <w:r w:rsidR="00DD1DFA">
        <w:rPr>
          <w:noProof/>
        </w:rPr>
        <w:t> </w:t>
      </w:r>
      <w:r w:rsidR="00DD1DFA" w:rsidRPr="00DD1DFA">
        <w:rPr>
          <w:noProof/>
        </w:rPr>
        <w:t>pop</w:t>
      </w:r>
      <w:r w:rsidR="00181517" w:rsidRPr="00DD1DFA">
        <w:rPr>
          <w:noProof/>
        </w:rPr>
        <w:t>rawy nadzoru rynku, należy upoważnić</w:t>
      </w:r>
      <w:r w:rsidR="00DD1DFA" w:rsidRPr="00DD1DFA">
        <w:rPr>
          <w:noProof/>
        </w:rPr>
        <w:t xml:space="preserve"> i</w:t>
      </w:r>
      <w:r w:rsidR="00DD1DFA">
        <w:rPr>
          <w:noProof/>
        </w:rPr>
        <w:t> </w:t>
      </w:r>
      <w:r w:rsidR="00DD1DFA" w:rsidRPr="00DD1DFA">
        <w:rPr>
          <w:noProof/>
        </w:rPr>
        <w:t>zob</w:t>
      </w:r>
      <w:r w:rsidR="00181517" w:rsidRPr="00DD1DFA">
        <w:rPr>
          <w:noProof/>
        </w:rPr>
        <w:t>owiązać usługodawców, internetowe platformy handlowe</w:t>
      </w:r>
      <w:r w:rsidR="00DD1DFA" w:rsidRPr="00DD1DFA">
        <w:rPr>
          <w:noProof/>
        </w:rPr>
        <w:t xml:space="preserve"> i</w:t>
      </w:r>
      <w:r w:rsidR="00DD1DFA">
        <w:rPr>
          <w:noProof/>
        </w:rPr>
        <w:t> </w:t>
      </w:r>
      <w:r w:rsidR="00DD1DFA" w:rsidRPr="00DD1DFA">
        <w:rPr>
          <w:noProof/>
        </w:rPr>
        <w:t>bro</w:t>
      </w:r>
      <w:r w:rsidR="00181517" w:rsidRPr="00DD1DFA">
        <w:rPr>
          <w:noProof/>
        </w:rPr>
        <w:t>kerów do zweryfikowania niektórych łatwych do sprawdzenia cech wyrobów</w:t>
      </w:r>
      <w:r w:rsidR="00DD1DFA" w:rsidRPr="00DD1DFA">
        <w:rPr>
          <w:noProof/>
        </w:rPr>
        <w:t xml:space="preserve"> i</w:t>
      </w:r>
      <w:r w:rsidR="00DD1DFA">
        <w:rPr>
          <w:noProof/>
        </w:rPr>
        <w:t> </w:t>
      </w:r>
      <w:r w:rsidR="00DD1DFA" w:rsidRPr="00DD1DFA">
        <w:rPr>
          <w:noProof/>
        </w:rPr>
        <w:t>ich</w:t>
      </w:r>
      <w:r w:rsidR="00181517" w:rsidRPr="00DD1DFA">
        <w:rPr>
          <w:noProof/>
        </w:rPr>
        <w:t xml:space="preserve"> producentów, takich jak określenie typu wyrobu</w:t>
      </w:r>
      <w:r w:rsidR="00DD1DFA" w:rsidRPr="00DD1DFA">
        <w:rPr>
          <w:noProof/>
        </w:rPr>
        <w:t xml:space="preserve"> i</w:t>
      </w:r>
      <w:r w:rsidR="00DD1DFA">
        <w:rPr>
          <w:noProof/>
        </w:rPr>
        <w:t> </w:t>
      </w:r>
      <w:r w:rsidR="00DD1DFA" w:rsidRPr="00DD1DFA">
        <w:rPr>
          <w:noProof/>
        </w:rPr>
        <w:t>spo</w:t>
      </w:r>
      <w:r w:rsidR="00181517" w:rsidRPr="00DD1DFA">
        <w:rPr>
          <w:noProof/>
        </w:rPr>
        <w:t>rządzenie kompleksowej dokumentacji technicznej, powinni oni również brać czynny udział</w:t>
      </w:r>
      <w:r w:rsidR="00DD1DFA" w:rsidRPr="00DD1DFA">
        <w:rPr>
          <w:noProof/>
        </w:rPr>
        <w:t xml:space="preserve"> w</w:t>
      </w:r>
      <w:r w:rsidR="00DD1DFA">
        <w:rPr>
          <w:noProof/>
        </w:rPr>
        <w:t> </w:t>
      </w:r>
      <w:r w:rsidR="00DD1DFA" w:rsidRPr="00DD1DFA">
        <w:rPr>
          <w:noProof/>
        </w:rPr>
        <w:t>zap</w:t>
      </w:r>
      <w:r w:rsidR="00181517" w:rsidRPr="00DD1DFA">
        <w:rPr>
          <w:noProof/>
        </w:rPr>
        <w:t>ewnianiu, by do użytkowników trafiały wyłącznie wyroby zgodne</w:t>
      </w:r>
      <w:r w:rsidR="00DD1DFA" w:rsidRPr="00DD1DFA">
        <w:rPr>
          <w:noProof/>
        </w:rPr>
        <w:t xml:space="preserve"> z</w:t>
      </w:r>
      <w:r w:rsidR="00DD1DFA">
        <w:rPr>
          <w:noProof/>
        </w:rPr>
        <w:t> </w:t>
      </w:r>
      <w:r w:rsidR="00DD1DFA" w:rsidRPr="00DD1DFA">
        <w:rPr>
          <w:noProof/>
        </w:rPr>
        <w:t>wym</w:t>
      </w:r>
      <w:r w:rsidR="00181517" w:rsidRPr="00DD1DFA">
        <w:rPr>
          <w:noProof/>
        </w:rPr>
        <w:t>ogami.</w:t>
      </w:r>
    </w:p>
    <w:p w14:paraId="0490E87F" w14:textId="24170E8D" w:rsidR="00181517" w:rsidRPr="00DD1DFA" w:rsidRDefault="005F7EFA" w:rsidP="005F7EFA">
      <w:pPr>
        <w:pStyle w:val="ManualConsidrant"/>
        <w:rPr>
          <w:noProof/>
        </w:rPr>
      </w:pPr>
      <w:r w:rsidRPr="005F7EFA">
        <w:t>(52)</w:t>
      </w:r>
      <w:r w:rsidRPr="005F7EFA">
        <w:tab/>
      </w:r>
      <w:r w:rsidR="00181517" w:rsidRPr="00DD1DFA">
        <w:rPr>
          <w:noProof/>
        </w:rPr>
        <w:t>Aby uniknąć sytuacji,</w:t>
      </w:r>
      <w:r w:rsidR="00DD1DFA" w:rsidRPr="00DD1DFA">
        <w:rPr>
          <w:noProof/>
        </w:rPr>
        <w:t xml:space="preserve"> w</w:t>
      </w:r>
      <w:r w:rsidR="00DD1DFA">
        <w:rPr>
          <w:noProof/>
        </w:rPr>
        <w:t> </w:t>
      </w:r>
      <w:r w:rsidR="00DD1DFA" w:rsidRPr="00DD1DFA">
        <w:rPr>
          <w:noProof/>
        </w:rPr>
        <w:t>któ</w:t>
      </w:r>
      <w:r w:rsidR="00181517" w:rsidRPr="00DD1DFA">
        <w:rPr>
          <w:noProof/>
        </w:rPr>
        <w:t>rej drukowanie przestrzenne wykorzystuje się do obchodzenia obowiązków wynikających</w:t>
      </w:r>
      <w:r w:rsidR="00DD1DFA" w:rsidRPr="00DD1DFA">
        <w:rPr>
          <w:noProof/>
        </w:rPr>
        <w:t xml:space="preserve"> z</w:t>
      </w:r>
      <w:r w:rsidR="00DD1DFA">
        <w:rPr>
          <w:noProof/>
        </w:rPr>
        <w:t> </w:t>
      </w:r>
      <w:r w:rsidR="00DD1DFA" w:rsidRPr="00DD1DFA">
        <w:rPr>
          <w:noProof/>
        </w:rPr>
        <w:t>nin</w:t>
      </w:r>
      <w:r w:rsidR="00181517" w:rsidRPr="00DD1DFA">
        <w:rPr>
          <w:noProof/>
        </w:rPr>
        <w:t>iejszego rozporządzenia, na dostawcach usług drukowania przestrzennego powinny spoczywać określone obowiązki</w:t>
      </w:r>
      <w:r w:rsidR="00DD1DFA" w:rsidRPr="00DD1DFA">
        <w:rPr>
          <w:noProof/>
        </w:rPr>
        <w:t xml:space="preserve"> w</w:t>
      </w:r>
      <w:r w:rsidR="00DD1DFA">
        <w:rPr>
          <w:noProof/>
        </w:rPr>
        <w:t> </w:t>
      </w:r>
      <w:r w:rsidR="00DD1DFA" w:rsidRPr="00DD1DFA">
        <w:rPr>
          <w:noProof/>
        </w:rPr>
        <w:t>zak</w:t>
      </w:r>
      <w:r w:rsidR="00181517" w:rsidRPr="00DD1DFA">
        <w:rPr>
          <w:noProof/>
        </w:rPr>
        <w:t>resie informowania.</w:t>
      </w:r>
    </w:p>
    <w:p w14:paraId="46340556" w14:textId="00359EBB" w:rsidR="00181517" w:rsidRPr="00DD1DFA" w:rsidRDefault="005F7EFA" w:rsidP="005F7EFA">
      <w:pPr>
        <w:pStyle w:val="ManualConsidrant"/>
        <w:rPr>
          <w:noProof/>
        </w:rPr>
      </w:pPr>
      <w:r w:rsidRPr="005F7EFA">
        <w:t>(53)</w:t>
      </w:r>
      <w:r w:rsidRPr="005F7EFA">
        <w:tab/>
      </w:r>
      <w:r w:rsidR="00181517" w:rsidRPr="00DD1DFA">
        <w:rPr>
          <w:noProof/>
        </w:rPr>
        <w:t>Bezpieczne stosowanie wyrobów używanych</w:t>
      </w:r>
      <w:r w:rsidR="00DD1DFA" w:rsidRPr="00DD1DFA">
        <w:rPr>
          <w:noProof/>
        </w:rPr>
        <w:t xml:space="preserve"> i</w:t>
      </w:r>
      <w:r w:rsidR="00DD1DFA">
        <w:rPr>
          <w:noProof/>
        </w:rPr>
        <w:t> </w:t>
      </w:r>
      <w:r w:rsidR="00DD1DFA" w:rsidRPr="00DD1DFA">
        <w:rPr>
          <w:noProof/>
        </w:rPr>
        <w:t>pod</w:t>
      </w:r>
      <w:r w:rsidR="00181517" w:rsidRPr="00DD1DFA">
        <w:rPr>
          <w:noProof/>
        </w:rPr>
        <w:t>danych regeneracji często zależy od posiadania dokładnych informacji na temat ich pierwszego zastosowania. Podmiot gospodarczy zajmujący się demontażem wyrobów używanych</w:t>
      </w:r>
      <w:r w:rsidR="00DD1DFA" w:rsidRPr="00DD1DFA">
        <w:rPr>
          <w:noProof/>
        </w:rPr>
        <w:t xml:space="preserve"> w</w:t>
      </w:r>
      <w:r w:rsidR="00DD1DFA">
        <w:rPr>
          <w:noProof/>
        </w:rPr>
        <w:t> </w:t>
      </w:r>
      <w:r w:rsidR="00DD1DFA" w:rsidRPr="00DD1DFA">
        <w:rPr>
          <w:noProof/>
        </w:rPr>
        <w:t>cel</w:t>
      </w:r>
      <w:r w:rsidR="00181517" w:rsidRPr="00DD1DFA">
        <w:rPr>
          <w:noProof/>
        </w:rPr>
        <w:t>u ich ponownego użycia lub regeneracji powinien zatem sporządzić protokoły dotyczące miejsca, warunków</w:t>
      </w:r>
      <w:r w:rsidR="00DD1DFA" w:rsidRPr="00DD1DFA">
        <w:rPr>
          <w:noProof/>
        </w:rPr>
        <w:t xml:space="preserve"> i</w:t>
      </w:r>
      <w:r w:rsidR="00DD1DFA">
        <w:rPr>
          <w:noProof/>
        </w:rPr>
        <w:t> </w:t>
      </w:r>
      <w:r w:rsidR="00DD1DFA" w:rsidRPr="00DD1DFA">
        <w:rPr>
          <w:noProof/>
        </w:rPr>
        <w:t>prz</w:t>
      </w:r>
      <w:r w:rsidR="00181517" w:rsidRPr="00DD1DFA">
        <w:rPr>
          <w:noProof/>
        </w:rPr>
        <w:t>ypuszczalnego czasu użytkowania zdemontowanego wyrobu.</w:t>
      </w:r>
    </w:p>
    <w:p w14:paraId="54BD8CBB" w14:textId="377E37F6" w:rsidR="00181517" w:rsidRPr="00DD1DFA" w:rsidRDefault="005F7EFA" w:rsidP="005F7EFA">
      <w:pPr>
        <w:pStyle w:val="ManualConsidrant"/>
        <w:rPr>
          <w:noProof/>
        </w:rPr>
      </w:pPr>
      <w:r w:rsidRPr="005F7EFA">
        <w:t>(54)</w:t>
      </w:r>
      <w:r w:rsidRPr="005F7EFA">
        <w:tab/>
      </w:r>
      <w:r w:rsidR="00181517" w:rsidRPr="00DD1DFA">
        <w:rPr>
          <w:noProof/>
        </w:rPr>
        <w:t>Właściwości użytkowe</w:t>
      </w:r>
      <w:r w:rsidR="00DD1DFA" w:rsidRPr="00DD1DFA">
        <w:rPr>
          <w:noProof/>
        </w:rPr>
        <w:t xml:space="preserve"> i</w:t>
      </w:r>
      <w:r w:rsidR="00DD1DFA">
        <w:rPr>
          <w:noProof/>
        </w:rPr>
        <w:t> </w:t>
      </w:r>
      <w:r w:rsidR="00DD1DFA" w:rsidRPr="00DD1DFA">
        <w:rPr>
          <w:noProof/>
        </w:rPr>
        <w:t>bez</w:t>
      </w:r>
      <w:r w:rsidR="00181517" w:rsidRPr="00DD1DFA">
        <w:rPr>
          <w:noProof/>
        </w:rPr>
        <w:t>pieczeństwo wyrobów są również uzależnione od zastosowanych części składowych oraz usług świadczonych przez kalibratorów lub innych usługodawców</w:t>
      </w:r>
      <w:r w:rsidR="00DD1DFA" w:rsidRPr="00DD1DFA">
        <w:rPr>
          <w:noProof/>
        </w:rPr>
        <w:t xml:space="preserve"> w</w:t>
      </w:r>
      <w:r w:rsidR="00DD1DFA">
        <w:rPr>
          <w:noProof/>
        </w:rPr>
        <w:t> </w:t>
      </w:r>
      <w:r w:rsidR="00DD1DFA" w:rsidRPr="00DD1DFA">
        <w:rPr>
          <w:noProof/>
        </w:rPr>
        <w:t>zak</w:t>
      </w:r>
      <w:r w:rsidR="00181517" w:rsidRPr="00DD1DFA">
        <w:rPr>
          <w:noProof/>
        </w:rPr>
        <w:t>resie ich projektowania</w:t>
      </w:r>
      <w:r w:rsidR="00DD1DFA" w:rsidRPr="00DD1DFA">
        <w:rPr>
          <w:noProof/>
        </w:rPr>
        <w:t xml:space="preserve"> i</w:t>
      </w:r>
      <w:r w:rsidR="00DD1DFA">
        <w:rPr>
          <w:noProof/>
        </w:rPr>
        <w:t> </w:t>
      </w:r>
      <w:r w:rsidR="00DD1DFA" w:rsidRPr="00DD1DFA">
        <w:rPr>
          <w:noProof/>
        </w:rPr>
        <w:t>wyt</w:t>
      </w:r>
      <w:r w:rsidR="00181517" w:rsidRPr="00DD1DFA">
        <w:rPr>
          <w:noProof/>
        </w:rPr>
        <w:t>warzania</w:t>
      </w:r>
      <w:r w:rsidR="00DD1DFA" w:rsidRPr="00DD1DFA">
        <w:rPr>
          <w:noProof/>
        </w:rPr>
        <w:t>. Z</w:t>
      </w:r>
      <w:r w:rsidR="00DD1DFA">
        <w:rPr>
          <w:noProof/>
        </w:rPr>
        <w:t> </w:t>
      </w:r>
      <w:r w:rsidR="00DD1DFA" w:rsidRPr="00DD1DFA">
        <w:rPr>
          <w:noProof/>
        </w:rPr>
        <w:t>teg</w:t>
      </w:r>
      <w:r w:rsidR="00181517" w:rsidRPr="00DD1DFA">
        <w:rPr>
          <w:noProof/>
        </w:rPr>
        <w:t>o względu należy określić pewne obowiązki dla dostawców części składowych</w:t>
      </w:r>
      <w:r w:rsidR="00DD1DFA" w:rsidRPr="00DD1DFA">
        <w:rPr>
          <w:noProof/>
        </w:rPr>
        <w:t xml:space="preserve"> i</w:t>
      </w:r>
      <w:r w:rsidR="00DD1DFA">
        <w:rPr>
          <w:noProof/>
        </w:rPr>
        <w:t> </w:t>
      </w:r>
      <w:r w:rsidR="00DD1DFA" w:rsidRPr="00DD1DFA">
        <w:rPr>
          <w:noProof/>
        </w:rPr>
        <w:t>usł</w:t>
      </w:r>
      <w:r w:rsidR="00181517" w:rsidRPr="00DD1DFA">
        <w:rPr>
          <w:noProof/>
        </w:rPr>
        <w:t>ugodawców zaangażowanych</w:t>
      </w:r>
      <w:r w:rsidR="00DD1DFA" w:rsidRPr="00DD1DFA">
        <w:rPr>
          <w:noProof/>
        </w:rPr>
        <w:t xml:space="preserve"> w</w:t>
      </w:r>
      <w:r w:rsidR="00DD1DFA">
        <w:rPr>
          <w:noProof/>
        </w:rPr>
        <w:t> </w:t>
      </w:r>
      <w:r w:rsidR="00DD1DFA" w:rsidRPr="00DD1DFA">
        <w:rPr>
          <w:noProof/>
        </w:rPr>
        <w:t>wyt</w:t>
      </w:r>
      <w:r w:rsidR="00181517" w:rsidRPr="00DD1DFA">
        <w:rPr>
          <w:noProof/>
        </w:rPr>
        <w:t>warzanie wyrobów</w:t>
      </w:r>
      <w:r w:rsidR="00DD1DFA" w:rsidRPr="00DD1DFA">
        <w:rPr>
          <w:noProof/>
        </w:rPr>
        <w:t>. W</w:t>
      </w:r>
      <w:r w:rsidR="00DD1DFA">
        <w:rPr>
          <w:noProof/>
        </w:rPr>
        <w:t> </w:t>
      </w:r>
      <w:r w:rsidR="00DD1DFA" w:rsidRPr="00DD1DFA">
        <w:rPr>
          <w:noProof/>
        </w:rPr>
        <w:t>prz</w:t>
      </w:r>
      <w:r w:rsidR="00181517" w:rsidRPr="00DD1DFA">
        <w:rPr>
          <w:noProof/>
        </w:rPr>
        <w:t>ypadku gdy niezgodność lub ryzyko mogły powstać</w:t>
      </w:r>
      <w:r w:rsidR="00DD1DFA" w:rsidRPr="00DD1DFA">
        <w:rPr>
          <w:noProof/>
        </w:rPr>
        <w:t xml:space="preserve"> z</w:t>
      </w:r>
      <w:r w:rsidR="00DD1DFA">
        <w:rPr>
          <w:noProof/>
        </w:rPr>
        <w:t> </w:t>
      </w:r>
      <w:r w:rsidR="00DD1DFA" w:rsidRPr="00DD1DFA">
        <w:rPr>
          <w:noProof/>
        </w:rPr>
        <w:t>pow</w:t>
      </w:r>
      <w:r w:rsidR="00181517" w:rsidRPr="00DD1DFA">
        <w:rPr>
          <w:noProof/>
        </w:rPr>
        <w:t>odu dostarczonej przez dany podmiot gospodarczy części składowej lub świadczonej przez niego usługi, dostawca lub usługodawca powinien poinformować</w:t>
      </w:r>
      <w:r w:rsidR="00DD1DFA" w:rsidRPr="00DD1DFA">
        <w:rPr>
          <w:noProof/>
        </w:rPr>
        <w:t xml:space="preserve"> o</w:t>
      </w:r>
      <w:r w:rsidR="00DD1DFA">
        <w:rPr>
          <w:noProof/>
        </w:rPr>
        <w:t> </w:t>
      </w:r>
      <w:r w:rsidR="00DD1DFA" w:rsidRPr="00DD1DFA">
        <w:rPr>
          <w:noProof/>
        </w:rPr>
        <w:t>tym</w:t>
      </w:r>
      <w:r w:rsidR="00181517" w:rsidRPr="00DD1DFA">
        <w:rPr>
          <w:noProof/>
        </w:rPr>
        <w:t xml:space="preserve"> fakcie pozostałych klientów, którzy otrzymali tę samą część składową, lub na rzecz których świadczono tę samą usługę, tak aby można było skutecznie przeciwdziałać niezgodnościom</w:t>
      </w:r>
      <w:r w:rsidR="00DD1DFA" w:rsidRPr="00DD1DFA">
        <w:rPr>
          <w:noProof/>
        </w:rPr>
        <w:t xml:space="preserve"> i</w:t>
      </w:r>
      <w:r w:rsidR="00DD1DFA">
        <w:rPr>
          <w:noProof/>
        </w:rPr>
        <w:t> </w:t>
      </w:r>
      <w:r w:rsidR="00DD1DFA" w:rsidRPr="00DD1DFA">
        <w:rPr>
          <w:noProof/>
        </w:rPr>
        <w:t>ryz</w:t>
      </w:r>
      <w:r w:rsidR="00181517" w:rsidRPr="00DD1DFA">
        <w:rPr>
          <w:noProof/>
        </w:rPr>
        <w:t>yku również</w:t>
      </w:r>
      <w:r w:rsidR="00DD1DFA" w:rsidRPr="00DD1DFA">
        <w:rPr>
          <w:noProof/>
        </w:rPr>
        <w:t xml:space="preserve"> w</w:t>
      </w:r>
      <w:r w:rsidR="00DD1DFA">
        <w:rPr>
          <w:noProof/>
        </w:rPr>
        <w:t> </w:t>
      </w:r>
      <w:r w:rsidR="00DD1DFA" w:rsidRPr="00DD1DFA">
        <w:rPr>
          <w:noProof/>
        </w:rPr>
        <w:t>odn</w:t>
      </w:r>
      <w:r w:rsidR="00181517" w:rsidRPr="00DD1DFA">
        <w:rPr>
          <w:noProof/>
        </w:rPr>
        <w:t>iesieniu do innych wyrobów.</w:t>
      </w:r>
    </w:p>
    <w:p w14:paraId="06CCCFA2" w14:textId="1F41B9B6" w:rsidR="00181517" w:rsidRPr="00DD1DFA" w:rsidRDefault="005F7EFA" w:rsidP="005F7EFA">
      <w:pPr>
        <w:pStyle w:val="ManualConsidrant"/>
        <w:rPr>
          <w:noProof/>
        </w:rPr>
      </w:pPr>
      <w:r w:rsidRPr="005F7EFA">
        <w:t>(55)</w:t>
      </w:r>
      <w:r w:rsidRPr="005F7EFA">
        <w:tab/>
      </w:r>
      <w:r w:rsidR="00181517" w:rsidRPr="00DD1DFA">
        <w:rPr>
          <w:noProof/>
        </w:rPr>
        <w:t>Niektóre elementy używane do celów budowlanych mają wiele potencjalnych zastosowań. Ich producenci powinni mieć swobodę decydowania, czy elementy te mają być używane do celów budowlanych, czy też nie, również po to, aby uniknąć konieczności poddawania ich ocenie właściwości użytkowych</w:t>
      </w:r>
      <w:r w:rsidR="00DD1DFA" w:rsidRPr="00DD1DFA">
        <w:rPr>
          <w:noProof/>
        </w:rPr>
        <w:t xml:space="preserve"> i</w:t>
      </w:r>
      <w:r w:rsidR="00DD1DFA">
        <w:rPr>
          <w:noProof/>
        </w:rPr>
        <w:t> </w:t>
      </w:r>
      <w:r w:rsidR="00DD1DFA" w:rsidRPr="00DD1DFA">
        <w:rPr>
          <w:noProof/>
        </w:rPr>
        <w:t>zgo</w:t>
      </w:r>
      <w:r w:rsidR="00181517" w:rsidRPr="00DD1DFA">
        <w:rPr>
          <w:noProof/>
        </w:rPr>
        <w:t>dności, gdy nie jest to konieczne. Jeśli jednak zdecydują, że dany element nie jest przeznaczony do stosowania</w:t>
      </w:r>
      <w:r w:rsidR="00DD1DFA" w:rsidRPr="00DD1DFA">
        <w:rPr>
          <w:noProof/>
        </w:rPr>
        <w:t xml:space="preserve"> w</w:t>
      </w:r>
      <w:r w:rsidR="00DD1DFA">
        <w:rPr>
          <w:noProof/>
        </w:rPr>
        <w:t> </w:t>
      </w:r>
      <w:r w:rsidR="00DD1DFA" w:rsidRPr="00DD1DFA">
        <w:rPr>
          <w:noProof/>
        </w:rPr>
        <w:t>cel</w:t>
      </w:r>
      <w:r w:rsidR="00181517" w:rsidRPr="00DD1DFA">
        <w:rPr>
          <w:noProof/>
        </w:rPr>
        <w:t>ach budowlanych, choć mógłby być użyty do tego celu („pseudo wyrób”), producenci</w:t>
      </w:r>
      <w:r w:rsidR="00DD1DFA" w:rsidRPr="00DD1DFA">
        <w:rPr>
          <w:noProof/>
        </w:rPr>
        <w:t xml:space="preserve"> i</w:t>
      </w:r>
      <w:r w:rsidR="00DD1DFA">
        <w:rPr>
          <w:noProof/>
        </w:rPr>
        <w:t> </w:t>
      </w:r>
      <w:r w:rsidR="00DD1DFA" w:rsidRPr="00DD1DFA">
        <w:rPr>
          <w:noProof/>
        </w:rPr>
        <w:t>inn</w:t>
      </w:r>
      <w:r w:rsidR="00181517" w:rsidRPr="00DD1DFA">
        <w:rPr>
          <w:noProof/>
        </w:rPr>
        <w:t>e podmioty gospodarcze powinni zadbać o to, aby nie był on używany</w:t>
      </w:r>
      <w:r w:rsidR="00DD1DFA" w:rsidRPr="00DD1DFA">
        <w:rPr>
          <w:noProof/>
        </w:rPr>
        <w:t xml:space="preserve"> w</w:t>
      </w:r>
      <w:r w:rsidR="00DD1DFA">
        <w:rPr>
          <w:noProof/>
        </w:rPr>
        <w:t> </w:t>
      </w:r>
      <w:r w:rsidR="00DD1DFA" w:rsidRPr="00DD1DFA">
        <w:rPr>
          <w:noProof/>
        </w:rPr>
        <w:t>obi</w:t>
      </w:r>
      <w:r w:rsidR="00181517" w:rsidRPr="00DD1DFA">
        <w:rPr>
          <w:noProof/>
        </w:rPr>
        <w:t>ektach budowlanych</w:t>
      </w:r>
      <w:r w:rsidR="00DD1DFA" w:rsidRPr="00DD1DFA">
        <w:rPr>
          <w:noProof/>
        </w:rPr>
        <w:t>. W</w:t>
      </w:r>
      <w:r w:rsidR="00DD1DFA">
        <w:rPr>
          <w:noProof/>
        </w:rPr>
        <w:t> </w:t>
      </w:r>
      <w:r w:rsidR="00DD1DFA" w:rsidRPr="00DD1DFA">
        <w:rPr>
          <w:noProof/>
        </w:rPr>
        <w:t>prz</w:t>
      </w:r>
      <w:r w:rsidR="00181517" w:rsidRPr="00DD1DFA">
        <w:rPr>
          <w:noProof/>
        </w:rPr>
        <w:t>eciwnym razie niektóre elementy mogłyby zostać użyte do celów budowlanych, nie spełniając wymogów określonych</w:t>
      </w:r>
      <w:r w:rsidR="00DD1DFA" w:rsidRPr="00DD1DFA">
        <w:rPr>
          <w:noProof/>
        </w:rPr>
        <w:t xml:space="preserve"> w</w:t>
      </w:r>
      <w:r w:rsidR="00DD1DFA">
        <w:rPr>
          <w:noProof/>
        </w:rPr>
        <w:t> </w:t>
      </w:r>
      <w:r w:rsidR="00DD1DFA" w:rsidRPr="00DD1DFA">
        <w:rPr>
          <w:noProof/>
        </w:rPr>
        <w:t>nin</w:t>
      </w:r>
      <w:r w:rsidR="00181517" w:rsidRPr="00DD1DFA">
        <w:rPr>
          <w:noProof/>
        </w:rPr>
        <w:t xml:space="preserve">iejszym rozporządzeniu. </w:t>
      </w:r>
    </w:p>
    <w:p w14:paraId="7A462A54" w14:textId="66F6DC6E" w:rsidR="00181517" w:rsidRPr="00DD1DFA" w:rsidRDefault="005F7EFA" w:rsidP="005F7EFA">
      <w:pPr>
        <w:pStyle w:val="ManualConsidrant"/>
        <w:rPr>
          <w:noProof/>
        </w:rPr>
      </w:pPr>
      <w:r w:rsidRPr="005F7EFA">
        <w:t>(56)</w:t>
      </w:r>
      <w:r w:rsidRPr="005F7EFA">
        <w:tab/>
      </w:r>
      <w:r w:rsidR="00181517" w:rsidRPr="00DD1DFA">
        <w:rPr>
          <w:noProof/>
        </w:rPr>
        <w:t>Z tego samego powodu, jeżeli jednak producenci elementów, które ze względu na ich charakter mogą być używane zarówno do celów budowlanych, jak i do innych celów („wyroby podwójnego zastosowania”), nie wykluczają jednoznacznie ich użycia do celów budowlanych, powinni oni realizować obowiązki wynikające</w:t>
      </w:r>
      <w:r w:rsidR="00DD1DFA" w:rsidRPr="00DD1DFA">
        <w:rPr>
          <w:noProof/>
        </w:rPr>
        <w:t xml:space="preserve"> z</w:t>
      </w:r>
      <w:r w:rsidR="00DD1DFA">
        <w:rPr>
          <w:noProof/>
        </w:rPr>
        <w:t> </w:t>
      </w:r>
      <w:r w:rsidR="00DD1DFA" w:rsidRPr="00DD1DFA">
        <w:rPr>
          <w:noProof/>
        </w:rPr>
        <w:t>nin</w:t>
      </w:r>
      <w:r w:rsidR="00181517" w:rsidRPr="00DD1DFA">
        <w:rPr>
          <w:noProof/>
        </w:rPr>
        <w:t>iejszego rozporządzenia</w:t>
      </w:r>
      <w:r w:rsidR="00DD1DFA" w:rsidRPr="00DD1DFA">
        <w:rPr>
          <w:noProof/>
        </w:rPr>
        <w:t xml:space="preserve"> w</w:t>
      </w:r>
      <w:r w:rsidR="00DD1DFA">
        <w:rPr>
          <w:noProof/>
        </w:rPr>
        <w:t> </w:t>
      </w:r>
      <w:r w:rsidR="00DD1DFA" w:rsidRPr="00DD1DFA">
        <w:rPr>
          <w:noProof/>
        </w:rPr>
        <w:t>odn</w:t>
      </w:r>
      <w:r w:rsidR="00181517" w:rsidRPr="00DD1DFA">
        <w:rPr>
          <w:noProof/>
        </w:rPr>
        <w:t xml:space="preserve">iesieniu do wszystkich elementów danego typu. </w:t>
      </w:r>
    </w:p>
    <w:p w14:paraId="70D2C65C" w14:textId="6DC62E9B" w:rsidR="00181517" w:rsidRPr="00DD1DFA" w:rsidRDefault="005F7EFA" w:rsidP="005F7EFA">
      <w:pPr>
        <w:pStyle w:val="ManualConsidrant"/>
        <w:rPr>
          <w:noProof/>
        </w:rPr>
      </w:pPr>
      <w:r w:rsidRPr="005F7EFA">
        <w:t>(57)</w:t>
      </w:r>
      <w:r w:rsidRPr="005F7EFA">
        <w:tab/>
      </w:r>
      <w:r w:rsidR="00181517" w:rsidRPr="00DD1DFA">
        <w:rPr>
          <w:noProof/>
        </w:rPr>
        <w:t>Aby wyjaśnić stosowanie niniejszego rozporządzenia do sprzedaży przez internet</w:t>
      </w:r>
      <w:r w:rsidR="00DD1DFA" w:rsidRPr="00DD1DFA">
        <w:rPr>
          <w:noProof/>
        </w:rPr>
        <w:t xml:space="preserve"> i</w:t>
      </w:r>
      <w:r w:rsidR="00DD1DFA">
        <w:rPr>
          <w:noProof/>
        </w:rPr>
        <w:t> </w:t>
      </w:r>
      <w:r w:rsidR="00DD1DFA" w:rsidRPr="00DD1DFA">
        <w:rPr>
          <w:noProof/>
        </w:rPr>
        <w:t>inn</w:t>
      </w:r>
      <w:r w:rsidR="00181517" w:rsidRPr="00DD1DFA">
        <w:rPr>
          <w:noProof/>
        </w:rPr>
        <w:t>ych rodzajów sprzedaży na odległość, należy określić, na jakich warunkach dany wyrób uznaje się za wyrób oferowany klientom</w:t>
      </w:r>
      <w:r w:rsidR="00DD1DFA" w:rsidRPr="00DD1DFA">
        <w:rPr>
          <w:noProof/>
        </w:rPr>
        <w:t xml:space="preserve"> w</w:t>
      </w:r>
      <w:r w:rsidR="00DD1DFA">
        <w:rPr>
          <w:noProof/>
        </w:rPr>
        <w:t> </w:t>
      </w:r>
      <w:r w:rsidR="00DD1DFA" w:rsidRPr="00DD1DFA">
        <w:rPr>
          <w:noProof/>
        </w:rPr>
        <w:t>Uni</w:t>
      </w:r>
      <w:r w:rsidR="00181517" w:rsidRPr="00DD1DFA">
        <w:rPr>
          <w:noProof/>
        </w:rPr>
        <w:t>i</w:t>
      </w:r>
      <w:r w:rsidR="00DD1DFA" w:rsidRPr="00DD1DFA">
        <w:rPr>
          <w:noProof/>
        </w:rPr>
        <w:t>. Z</w:t>
      </w:r>
      <w:r w:rsidR="00DD1DFA">
        <w:rPr>
          <w:noProof/>
        </w:rPr>
        <w:t> </w:t>
      </w:r>
      <w:r w:rsidR="00DD1DFA" w:rsidRPr="00DD1DFA">
        <w:rPr>
          <w:noProof/>
        </w:rPr>
        <w:t>uwa</w:t>
      </w:r>
      <w:r w:rsidR="00181517" w:rsidRPr="00DD1DFA">
        <w:rPr>
          <w:noProof/>
        </w:rPr>
        <w:t>gi na to, że</w:t>
      </w:r>
      <w:r w:rsidR="00DD1DFA" w:rsidRPr="00DD1DFA">
        <w:rPr>
          <w:noProof/>
        </w:rPr>
        <w:t xml:space="preserve"> w</w:t>
      </w:r>
      <w:r w:rsidR="00DD1DFA">
        <w:rPr>
          <w:noProof/>
        </w:rPr>
        <w:t> </w:t>
      </w:r>
      <w:r w:rsidR="00DD1DFA" w:rsidRPr="00DD1DFA">
        <w:rPr>
          <w:noProof/>
        </w:rPr>
        <w:t>han</w:t>
      </w:r>
      <w:r w:rsidR="00181517" w:rsidRPr="00DD1DFA">
        <w:rPr>
          <w:noProof/>
        </w:rPr>
        <w:t>dlu internetowym istnieje większe prawdopodobieństwo nieprzestrzegania przepisów, państwa członkowskie powinny dołożyć szczególnych starań</w:t>
      </w:r>
      <w:r w:rsidR="00DD1DFA" w:rsidRPr="00DD1DFA">
        <w:rPr>
          <w:noProof/>
        </w:rPr>
        <w:t xml:space="preserve"> i</w:t>
      </w:r>
      <w:r w:rsidR="00DD1DFA">
        <w:rPr>
          <w:noProof/>
        </w:rPr>
        <w:t> </w:t>
      </w:r>
      <w:r w:rsidR="00DD1DFA" w:rsidRPr="00DD1DFA">
        <w:rPr>
          <w:noProof/>
        </w:rPr>
        <w:t>wyz</w:t>
      </w:r>
      <w:r w:rsidR="00181517" w:rsidRPr="00DD1DFA">
        <w:rPr>
          <w:noProof/>
        </w:rPr>
        <w:t>naczyć jeden scentralizowany organ nadzoru rynku do wykrywania ofert sprzedaży na odległość skierowanych do klientów na swoim terytorium, tak aby właściwe organy nadzoru rynku mogły wprowadzić odpowiednie środki. Ponieważ do wykrywania takich ofert niezbędna jest wiedza specjalistów ds. badań lub specjalne oprogramowanie oparte na sztucznej inteligencji, zadanie to należy scentralizować</w:t>
      </w:r>
      <w:r w:rsidR="00DD1DFA" w:rsidRPr="00DD1DFA">
        <w:rPr>
          <w:noProof/>
        </w:rPr>
        <w:t xml:space="preserve"> i</w:t>
      </w:r>
      <w:r w:rsidR="00DD1DFA">
        <w:rPr>
          <w:noProof/>
        </w:rPr>
        <w:t> </w:t>
      </w:r>
      <w:r w:rsidR="00DD1DFA" w:rsidRPr="00DD1DFA">
        <w:rPr>
          <w:noProof/>
        </w:rPr>
        <w:t>pow</w:t>
      </w:r>
      <w:r w:rsidR="00181517" w:rsidRPr="00DD1DFA">
        <w:rPr>
          <w:noProof/>
        </w:rPr>
        <w:t>ierzyć jednemu organowi nadzoru rynku.</w:t>
      </w:r>
    </w:p>
    <w:p w14:paraId="61109C59" w14:textId="32A48D1C" w:rsidR="00181517" w:rsidRPr="00DD1DFA" w:rsidRDefault="005F7EFA" w:rsidP="005F7EFA">
      <w:pPr>
        <w:pStyle w:val="ManualConsidrant"/>
        <w:rPr>
          <w:noProof/>
        </w:rPr>
      </w:pPr>
      <w:r w:rsidRPr="005F7EFA">
        <w:t>(58)</w:t>
      </w:r>
      <w:r w:rsidRPr="005F7EFA">
        <w:tab/>
      </w:r>
      <w:r w:rsidR="00181517" w:rsidRPr="00DD1DFA">
        <w:rPr>
          <w:noProof/>
        </w:rPr>
        <w:t>W szybkim tempie rozwijają się technologie cyfrowe, które mają znaczny potencjał</w:t>
      </w:r>
      <w:r w:rsidR="00DD1DFA" w:rsidRPr="00DD1DFA">
        <w:rPr>
          <w:noProof/>
        </w:rPr>
        <w:t xml:space="preserve"> w</w:t>
      </w:r>
      <w:r w:rsidR="00DD1DFA">
        <w:rPr>
          <w:noProof/>
        </w:rPr>
        <w:t> </w:t>
      </w:r>
      <w:r w:rsidR="00DD1DFA" w:rsidRPr="00DD1DFA">
        <w:rPr>
          <w:noProof/>
        </w:rPr>
        <w:t>zak</w:t>
      </w:r>
      <w:r w:rsidR="00181517" w:rsidRPr="00DD1DFA">
        <w:rPr>
          <w:noProof/>
        </w:rPr>
        <w:t>resie zmniejszania obciążeń administracyjnych</w:t>
      </w:r>
      <w:r w:rsidR="00DD1DFA" w:rsidRPr="00DD1DFA">
        <w:rPr>
          <w:noProof/>
        </w:rPr>
        <w:t xml:space="preserve"> i</w:t>
      </w:r>
      <w:r w:rsidR="00DD1DFA">
        <w:rPr>
          <w:noProof/>
        </w:rPr>
        <w:t> </w:t>
      </w:r>
      <w:r w:rsidR="00DD1DFA" w:rsidRPr="00DD1DFA">
        <w:rPr>
          <w:noProof/>
        </w:rPr>
        <w:t>kos</w:t>
      </w:r>
      <w:r w:rsidR="00181517" w:rsidRPr="00DD1DFA">
        <w:rPr>
          <w:noProof/>
        </w:rPr>
        <w:t>ztów ponoszonych przez podmioty gospodarcze</w:t>
      </w:r>
      <w:r w:rsidR="00DD1DFA" w:rsidRPr="00DD1DFA">
        <w:rPr>
          <w:noProof/>
        </w:rPr>
        <w:t xml:space="preserve"> i</w:t>
      </w:r>
      <w:r w:rsidR="00DD1DFA">
        <w:rPr>
          <w:noProof/>
        </w:rPr>
        <w:t> </w:t>
      </w:r>
      <w:r w:rsidR="00DD1DFA" w:rsidRPr="00DD1DFA">
        <w:rPr>
          <w:noProof/>
        </w:rPr>
        <w:t>org</w:t>
      </w:r>
      <w:r w:rsidR="00181517" w:rsidRPr="00DD1DFA">
        <w:rPr>
          <w:noProof/>
        </w:rPr>
        <w:t>any publiczne,</w:t>
      </w:r>
      <w:r w:rsidR="00DD1DFA" w:rsidRPr="00DD1DFA">
        <w:rPr>
          <w:noProof/>
        </w:rPr>
        <w:t xml:space="preserve"> a</w:t>
      </w:r>
      <w:r w:rsidR="00DD1DFA">
        <w:rPr>
          <w:noProof/>
        </w:rPr>
        <w:t> </w:t>
      </w:r>
      <w:r w:rsidR="00DD1DFA" w:rsidRPr="00DD1DFA">
        <w:rPr>
          <w:noProof/>
        </w:rPr>
        <w:t>jed</w:t>
      </w:r>
      <w:r w:rsidR="00181517" w:rsidRPr="00DD1DFA">
        <w:rPr>
          <w:noProof/>
        </w:rPr>
        <w:t>nocześnie sprzyjają powstawaniu innowacyjnych</w:t>
      </w:r>
      <w:r w:rsidR="00DD1DFA" w:rsidRPr="00DD1DFA">
        <w:rPr>
          <w:noProof/>
        </w:rPr>
        <w:t xml:space="preserve"> i</w:t>
      </w:r>
      <w:r w:rsidR="00DD1DFA">
        <w:rPr>
          <w:noProof/>
        </w:rPr>
        <w:t> </w:t>
      </w:r>
      <w:r w:rsidR="00DD1DFA" w:rsidRPr="00DD1DFA">
        <w:rPr>
          <w:noProof/>
        </w:rPr>
        <w:t>now</w:t>
      </w:r>
      <w:r w:rsidR="00181517" w:rsidRPr="00DD1DFA">
        <w:rPr>
          <w:noProof/>
        </w:rPr>
        <w:t>ych możliwości rynkowych</w:t>
      </w:r>
      <w:r w:rsidR="00DD1DFA" w:rsidRPr="00DD1DFA">
        <w:rPr>
          <w:noProof/>
        </w:rPr>
        <w:t xml:space="preserve"> i</w:t>
      </w:r>
      <w:r w:rsidR="00DD1DFA">
        <w:rPr>
          <w:noProof/>
        </w:rPr>
        <w:t> </w:t>
      </w:r>
      <w:r w:rsidR="00DD1DFA" w:rsidRPr="00DD1DFA">
        <w:rPr>
          <w:noProof/>
        </w:rPr>
        <w:t>mod</w:t>
      </w:r>
      <w:r w:rsidR="00181517" w:rsidRPr="00DD1DFA">
        <w:rPr>
          <w:noProof/>
        </w:rPr>
        <w:t>eli biznesowych. Wykorzystanie technologii cyfrowych</w:t>
      </w:r>
      <w:r w:rsidR="00DD1DFA" w:rsidRPr="00DD1DFA">
        <w:rPr>
          <w:noProof/>
        </w:rPr>
        <w:t xml:space="preserve"> w</w:t>
      </w:r>
      <w:r w:rsidR="00DD1DFA">
        <w:rPr>
          <w:noProof/>
        </w:rPr>
        <w:t> </w:t>
      </w:r>
      <w:r w:rsidR="00DD1DFA" w:rsidRPr="00DD1DFA">
        <w:rPr>
          <w:noProof/>
        </w:rPr>
        <w:t>zna</w:t>
      </w:r>
      <w:r w:rsidR="00181517" w:rsidRPr="00DD1DFA">
        <w:rPr>
          <w:noProof/>
        </w:rPr>
        <w:t>cznym stopniu przyczyni się również do osiągnięcia celów określonych</w:t>
      </w:r>
      <w:r w:rsidR="00DD1DFA" w:rsidRPr="00DD1DFA">
        <w:rPr>
          <w:noProof/>
        </w:rPr>
        <w:t xml:space="preserve"> w</w:t>
      </w:r>
      <w:r w:rsidR="00DD1DFA">
        <w:rPr>
          <w:noProof/>
        </w:rPr>
        <w:t> </w:t>
      </w:r>
      <w:r w:rsidR="00DD1DFA" w:rsidRPr="00DD1DFA">
        <w:rPr>
          <w:noProof/>
        </w:rPr>
        <w:t>ram</w:t>
      </w:r>
      <w:r w:rsidR="00181517" w:rsidRPr="00DD1DFA">
        <w:rPr>
          <w:noProof/>
        </w:rPr>
        <w:t>ach fali renowacji,</w:t>
      </w:r>
      <w:r w:rsidR="00DD1DFA" w:rsidRPr="00DD1DFA">
        <w:rPr>
          <w:noProof/>
        </w:rPr>
        <w:t xml:space="preserve"> w</w:t>
      </w:r>
      <w:r w:rsidR="00DD1DFA">
        <w:rPr>
          <w:noProof/>
        </w:rPr>
        <w:t> </w:t>
      </w:r>
      <w:r w:rsidR="00DD1DFA" w:rsidRPr="00DD1DFA">
        <w:rPr>
          <w:noProof/>
        </w:rPr>
        <w:t>tym</w:t>
      </w:r>
      <w:r w:rsidR="00181517" w:rsidRPr="00DD1DFA">
        <w:rPr>
          <w:noProof/>
        </w:rPr>
        <w:t xml:space="preserve"> celów dotyczących efektywności energetycznej, oceny cyklu życia</w:t>
      </w:r>
      <w:r w:rsidR="00DD1DFA" w:rsidRPr="00DD1DFA">
        <w:rPr>
          <w:noProof/>
        </w:rPr>
        <w:t xml:space="preserve"> i</w:t>
      </w:r>
      <w:r w:rsidR="00DD1DFA">
        <w:rPr>
          <w:noProof/>
        </w:rPr>
        <w:t> </w:t>
      </w:r>
      <w:r w:rsidR="00DD1DFA" w:rsidRPr="00DD1DFA">
        <w:rPr>
          <w:noProof/>
        </w:rPr>
        <w:t>mon</w:t>
      </w:r>
      <w:r w:rsidR="00181517" w:rsidRPr="00DD1DFA">
        <w:rPr>
          <w:noProof/>
        </w:rPr>
        <w:t>itorowania zasobów budowlanych</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Komisja powinna posiadać uprawnienia do wykorzystania dodatkowych możliwości, jakie stwarza cyfryzacja,</w:t>
      </w:r>
      <w:r w:rsidR="00DD1DFA" w:rsidRPr="00DD1DFA">
        <w:rPr>
          <w:noProof/>
        </w:rPr>
        <w:t xml:space="preserve"> w</w:t>
      </w:r>
      <w:r w:rsidR="00DD1DFA">
        <w:rPr>
          <w:noProof/>
        </w:rPr>
        <w:t> </w:t>
      </w:r>
      <w:r w:rsidR="00DD1DFA" w:rsidRPr="00DD1DFA">
        <w:rPr>
          <w:noProof/>
        </w:rPr>
        <w:t>dro</w:t>
      </w:r>
      <w:r w:rsidR="00181517" w:rsidRPr="00DD1DFA">
        <w:rPr>
          <w:noProof/>
        </w:rPr>
        <w:t>dze aktów wykonawczych.</w:t>
      </w:r>
    </w:p>
    <w:p w14:paraId="554AF5F2" w14:textId="5F7550AB" w:rsidR="00181517" w:rsidRPr="00DD1DFA" w:rsidRDefault="005F7EFA" w:rsidP="005F7EFA">
      <w:pPr>
        <w:pStyle w:val="ManualConsidrant"/>
        <w:rPr>
          <w:noProof/>
        </w:rPr>
      </w:pPr>
      <w:r w:rsidRPr="005F7EFA">
        <w:t>(59)</w:t>
      </w:r>
      <w:r w:rsidRPr="005F7EFA">
        <w:tab/>
      </w:r>
      <w:r w:rsidR="00181517" w:rsidRPr="00DD1DFA">
        <w:rPr>
          <w:noProof/>
        </w:rPr>
        <w:t>Ponieważ normy zharmonizowane opracowane</w:t>
      </w:r>
      <w:r w:rsidR="00DD1DFA" w:rsidRPr="00DD1DFA">
        <w:rPr>
          <w:noProof/>
        </w:rPr>
        <w:t xml:space="preserve"> w</w:t>
      </w:r>
      <w:r w:rsidR="00DD1DFA">
        <w:rPr>
          <w:noProof/>
        </w:rPr>
        <w:t> </w:t>
      </w:r>
      <w:r w:rsidR="00DD1DFA" w:rsidRPr="00DD1DFA">
        <w:rPr>
          <w:noProof/>
        </w:rPr>
        <w:t>odn</w:t>
      </w:r>
      <w:r w:rsidR="00181517" w:rsidRPr="00DD1DFA">
        <w:rPr>
          <w:noProof/>
        </w:rPr>
        <w:t>iesieniu do wyrobów budowlanych (zwane dalej normami dotyczącymi wyrobów budowlanych) są</w:t>
      </w:r>
      <w:r w:rsidR="00DD1DFA" w:rsidRPr="00DD1DFA">
        <w:rPr>
          <w:noProof/>
        </w:rPr>
        <w:t xml:space="preserve"> w</w:t>
      </w:r>
      <w:r w:rsidR="00DD1DFA">
        <w:rPr>
          <w:noProof/>
        </w:rPr>
        <w:t> </w:t>
      </w:r>
      <w:r w:rsidR="00DD1DFA" w:rsidRPr="00DD1DFA">
        <w:rPr>
          <w:noProof/>
        </w:rPr>
        <w:t>wię</w:t>
      </w:r>
      <w:r w:rsidR="00181517" w:rsidRPr="00DD1DFA">
        <w:rPr>
          <w:noProof/>
        </w:rPr>
        <w:t>kszości przypadków obowiązkowe, do celów zapewnienia pewności prawa normy te powinny być zgodne nie tylko</w:t>
      </w:r>
      <w:r w:rsidR="00DD1DFA" w:rsidRPr="00DD1DFA">
        <w:rPr>
          <w:noProof/>
        </w:rPr>
        <w:t xml:space="preserve"> z</w:t>
      </w:r>
      <w:r w:rsidR="00DD1DFA">
        <w:rPr>
          <w:noProof/>
        </w:rPr>
        <w:t> </w:t>
      </w:r>
      <w:r w:rsidR="00DD1DFA" w:rsidRPr="00DD1DFA">
        <w:rPr>
          <w:noProof/>
        </w:rPr>
        <w:t>odp</w:t>
      </w:r>
      <w:r w:rsidR="00181517" w:rsidRPr="00DD1DFA">
        <w:rPr>
          <w:noProof/>
        </w:rPr>
        <w:t>owiednimi zleceniami normalizacji</w:t>
      </w:r>
      <w:r w:rsidR="00DD1DFA" w:rsidRPr="00DD1DFA">
        <w:rPr>
          <w:noProof/>
        </w:rPr>
        <w:t xml:space="preserve"> i</w:t>
      </w:r>
      <w:r w:rsidR="00DD1DFA">
        <w:rPr>
          <w:noProof/>
        </w:rPr>
        <w:t> </w:t>
      </w:r>
      <w:r w:rsidR="00DD1DFA" w:rsidRPr="00DD1DFA">
        <w:rPr>
          <w:noProof/>
        </w:rPr>
        <w:t>z</w:t>
      </w:r>
      <w:r w:rsidR="00DD1DFA">
        <w:rPr>
          <w:noProof/>
        </w:rPr>
        <w:t> </w:t>
      </w:r>
      <w:r w:rsidR="00DD1DFA" w:rsidRPr="00DD1DFA">
        <w:rPr>
          <w:noProof/>
        </w:rPr>
        <w:t>nin</w:t>
      </w:r>
      <w:r w:rsidR="00181517" w:rsidRPr="00DD1DFA">
        <w:rPr>
          <w:noProof/>
        </w:rPr>
        <w:t>iejszym rozporządzeniem, lecz również</w:t>
      </w:r>
      <w:r w:rsidR="00DD1DFA" w:rsidRPr="00DD1DFA">
        <w:rPr>
          <w:noProof/>
        </w:rPr>
        <w:t xml:space="preserve"> z</w:t>
      </w:r>
      <w:r w:rsidR="00DD1DFA">
        <w:rPr>
          <w:noProof/>
        </w:rPr>
        <w:t> </w:t>
      </w:r>
      <w:r w:rsidR="00DD1DFA" w:rsidRPr="00DD1DFA">
        <w:rPr>
          <w:noProof/>
        </w:rPr>
        <w:t>ogó</w:t>
      </w:r>
      <w:r w:rsidR="00181517" w:rsidRPr="00DD1DFA">
        <w:rPr>
          <w:noProof/>
        </w:rPr>
        <w:t>lnymi zasadami prawa Unii.</w:t>
      </w:r>
    </w:p>
    <w:p w14:paraId="37CA292B" w14:textId="6D75E8EA" w:rsidR="00181517" w:rsidRPr="00DD1DFA" w:rsidRDefault="005F7EFA" w:rsidP="005F7EFA">
      <w:pPr>
        <w:pStyle w:val="ManualConsidrant"/>
        <w:rPr>
          <w:noProof/>
        </w:rPr>
      </w:pPr>
      <w:r w:rsidRPr="005F7EFA">
        <w:t>(60)</w:t>
      </w:r>
      <w:r w:rsidRPr="005F7EFA">
        <w:tab/>
      </w:r>
      <w:r w:rsidR="00181517" w:rsidRPr="00DD1DFA">
        <w:rPr>
          <w:noProof/>
        </w:rPr>
        <w:t>Aby zapewnić terminowe przytaczanie odniesień do norm dotyczących wyrobów budowlanych</w:t>
      </w:r>
      <w:r w:rsidR="00DD1DFA" w:rsidRPr="00DD1DFA">
        <w:rPr>
          <w:noProof/>
        </w:rPr>
        <w:t xml:space="preserve"> w</w:t>
      </w:r>
      <w:r w:rsidR="00DD1DFA">
        <w:rPr>
          <w:noProof/>
        </w:rPr>
        <w:t> </w:t>
      </w:r>
      <w:r w:rsidR="00DD1DFA" w:rsidRPr="00DD1DFA">
        <w:rPr>
          <w:i/>
          <w:iCs/>
          <w:noProof/>
        </w:rPr>
        <w:t>Dzi</w:t>
      </w:r>
      <w:r w:rsidR="00181517" w:rsidRPr="00DD1DFA">
        <w:rPr>
          <w:i/>
          <w:iCs/>
          <w:noProof/>
        </w:rPr>
        <w:t>enniku Urzędowym Unii Europejskiej</w:t>
      </w:r>
      <w:r w:rsidR="00181517" w:rsidRPr="00DD1DFA">
        <w:rPr>
          <w:noProof/>
        </w:rPr>
        <w:t>, Komisja Europejska powinna posiadać uprawnienia do ograniczania zakresu lub uchylania wadliwych norm do celów wywołania skutków prawnych na podstawie niniejszego rozporządzenia</w:t>
      </w:r>
      <w:r w:rsidR="00DD1DFA" w:rsidRPr="00DD1DFA">
        <w:rPr>
          <w:noProof/>
        </w:rPr>
        <w:t xml:space="preserve"> w</w:t>
      </w:r>
      <w:r w:rsidR="00DD1DFA">
        <w:rPr>
          <w:noProof/>
        </w:rPr>
        <w:t> </w:t>
      </w:r>
      <w:r w:rsidR="00DD1DFA" w:rsidRPr="00DD1DFA">
        <w:rPr>
          <w:noProof/>
        </w:rPr>
        <w:t>dro</w:t>
      </w:r>
      <w:r w:rsidR="00181517" w:rsidRPr="00DD1DFA">
        <w:rPr>
          <w:noProof/>
        </w:rPr>
        <w:t>dze aktów delegowanych, zamiast odmawiania przywoływania odniesień do tych norm</w:t>
      </w:r>
      <w:r w:rsidR="00DD1DFA" w:rsidRPr="00DD1DFA">
        <w:rPr>
          <w:noProof/>
        </w:rPr>
        <w:t xml:space="preserve"> w</w:t>
      </w:r>
      <w:r w:rsidR="00DD1DFA">
        <w:rPr>
          <w:noProof/>
        </w:rPr>
        <w:t> </w:t>
      </w:r>
      <w:r w:rsidR="00DD1DFA" w:rsidRPr="00DD1DFA">
        <w:rPr>
          <w:noProof/>
        </w:rPr>
        <w:t>Dzi</w:t>
      </w:r>
      <w:r w:rsidR="00181517" w:rsidRPr="00DD1DFA">
        <w:rPr>
          <w:noProof/>
        </w:rPr>
        <w:t>enniku Urzędowym.</w:t>
      </w:r>
    </w:p>
    <w:p w14:paraId="619A31CF" w14:textId="7A280C89" w:rsidR="00181517" w:rsidRPr="00DD1DFA" w:rsidRDefault="005F7EFA" w:rsidP="005F7EFA">
      <w:pPr>
        <w:pStyle w:val="ManualConsidrant"/>
        <w:rPr>
          <w:noProof/>
        </w:rPr>
      </w:pPr>
      <w:r w:rsidRPr="005F7EFA">
        <w:t>(61)</w:t>
      </w:r>
      <w:r w:rsidRPr="005F7EFA">
        <w:tab/>
      </w:r>
      <w:r w:rsidR="00181517" w:rsidRPr="00DD1DFA">
        <w:rPr>
          <w:noProof/>
        </w:rPr>
        <w:t>Aby zapewnić spójność systemu, niniejsze rozporządzenie powinno opierać się na horyzontalnych ramach prawnych dotyczących normalizacji</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rozporządzenie (UE) nr</w:t>
      </w:r>
      <w:r w:rsidR="00DD1DFA" w:rsidRPr="00DD1DFA">
        <w:rPr>
          <w:noProof/>
        </w:rPr>
        <w:t> </w:t>
      </w:r>
      <w:r w:rsidR="00181517" w:rsidRPr="00DD1DFA">
        <w:rPr>
          <w:noProof/>
        </w:rPr>
        <w:t>1025/2012 powinno mieć zastosowanie</w:t>
      </w:r>
      <w:r w:rsidR="00DD1DFA" w:rsidRPr="00DD1DFA">
        <w:rPr>
          <w:noProof/>
        </w:rPr>
        <w:t xml:space="preserve"> w</w:t>
      </w:r>
      <w:r w:rsidR="00DD1DFA">
        <w:rPr>
          <w:noProof/>
        </w:rPr>
        <w:t> </w:t>
      </w:r>
      <w:r w:rsidR="00DD1DFA" w:rsidRPr="00DD1DFA">
        <w:rPr>
          <w:noProof/>
        </w:rPr>
        <w:t>moż</w:t>
      </w:r>
      <w:r w:rsidR="00181517" w:rsidRPr="00DD1DFA">
        <w:rPr>
          <w:noProof/>
        </w:rPr>
        <w:t>liwym zakresie również do norm, które stały się obowiązkowe na podstawie niniejszego rozporządzenia. Rozporządzenie (UE) nr</w:t>
      </w:r>
      <w:r w:rsidR="00DD1DFA" w:rsidRPr="00DD1DFA">
        <w:rPr>
          <w:noProof/>
        </w:rPr>
        <w:t> </w:t>
      </w:r>
      <w:r w:rsidR="00181517" w:rsidRPr="00DD1DFA">
        <w:rPr>
          <w:noProof/>
        </w:rPr>
        <w:t>1025/2012 ma zatem na celu określenie m.in. procedury wniesienia zastrzeżeń wobec norm zharmonizowanych dotyczących wyrobów budowlanych</w:t>
      </w:r>
      <w:r w:rsidR="00DD1DFA" w:rsidRPr="00DD1DFA">
        <w:rPr>
          <w:noProof/>
        </w:rPr>
        <w:t xml:space="preserve"> w</w:t>
      </w:r>
      <w:r w:rsidR="00DD1DFA">
        <w:rPr>
          <w:noProof/>
        </w:rPr>
        <w:t> </w:t>
      </w:r>
      <w:r w:rsidR="00DD1DFA" w:rsidRPr="00DD1DFA">
        <w:rPr>
          <w:noProof/>
        </w:rPr>
        <w:t>prz</w:t>
      </w:r>
      <w:r w:rsidR="00181517" w:rsidRPr="00DD1DFA">
        <w:rPr>
          <w:noProof/>
        </w:rPr>
        <w:t>ypadku, gdy normy takie nie spełniają</w:t>
      </w:r>
      <w:r w:rsidR="00DD1DFA" w:rsidRPr="00DD1DFA">
        <w:rPr>
          <w:noProof/>
        </w:rPr>
        <w:t xml:space="preserve"> w</w:t>
      </w:r>
      <w:r w:rsidR="00DD1DFA">
        <w:rPr>
          <w:noProof/>
        </w:rPr>
        <w:t> </w:t>
      </w:r>
      <w:r w:rsidR="00DD1DFA" w:rsidRPr="00DD1DFA">
        <w:rPr>
          <w:noProof/>
        </w:rPr>
        <w:t>peł</w:t>
      </w:r>
      <w:r w:rsidR="00181517" w:rsidRPr="00DD1DFA">
        <w:rPr>
          <w:noProof/>
        </w:rPr>
        <w:t>ni wymogów określonych</w:t>
      </w:r>
      <w:r w:rsidR="00DD1DFA" w:rsidRPr="00DD1DFA">
        <w:rPr>
          <w:noProof/>
        </w:rPr>
        <w:t xml:space="preserve"> w</w:t>
      </w:r>
      <w:r w:rsidR="00DD1DFA">
        <w:rPr>
          <w:noProof/>
        </w:rPr>
        <w:t> </w:t>
      </w:r>
      <w:r w:rsidR="00DD1DFA" w:rsidRPr="00DD1DFA">
        <w:rPr>
          <w:noProof/>
        </w:rPr>
        <w:t>odp</w:t>
      </w:r>
      <w:r w:rsidR="00181517" w:rsidRPr="00DD1DFA">
        <w:rPr>
          <w:noProof/>
        </w:rPr>
        <w:t>owiednim zleceniu normalizacji lub innych wymogów określonych</w:t>
      </w:r>
      <w:r w:rsidR="00DD1DFA" w:rsidRPr="00DD1DFA">
        <w:rPr>
          <w:noProof/>
        </w:rPr>
        <w:t xml:space="preserve"> w</w:t>
      </w:r>
      <w:r w:rsidR="00DD1DFA">
        <w:rPr>
          <w:noProof/>
        </w:rPr>
        <w:t> </w:t>
      </w:r>
      <w:r w:rsidR="00DD1DFA" w:rsidRPr="00DD1DFA">
        <w:rPr>
          <w:noProof/>
        </w:rPr>
        <w:t>nin</w:t>
      </w:r>
      <w:r w:rsidR="00181517" w:rsidRPr="00DD1DFA">
        <w:rPr>
          <w:noProof/>
        </w:rPr>
        <w:t>iejszym rozporządzeniu.</w:t>
      </w:r>
    </w:p>
    <w:p w14:paraId="7375AE35" w14:textId="21CABFAD" w:rsidR="00181517" w:rsidRPr="00DD1DFA" w:rsidRDefault="005F7EFA" w:rsidP="005F7EFA">
      <w:pPr>
        <w:pStyle w:val="ManualConsidrant"/>
        <w:rPr>
          <w:noProof/>
        </w:rPr>
      </w:pPr>
      <w:r w:rsidRPr="005F7EFA">
        <w:t>(62)</w:t>
      </w:r>
      <w:r w:rsidRPr="005F7EFA">
        <w:tab/>
      </w:r>
      <w:r w:rsidR="00181517" w:rsidRPr="00DD1DFA">
        <w:rPr>
          <w:noProof/>
        </w:rPr>
        <w:t>Ponieważ europejskie dokumenty oceny nie są aktami</w:t>
      </w:r>
      <w:r w:rsidR="00DD1DFA" w:rsidRPr="00DD1DFA">
        <w:rPr>
          <w:noProof/>
        </w:rPr>
        <w:t xml:space="preserve"> o</w:t>
      </w:r>
      <w:r w:rsidR="00DD1DFA">
        <w:rPr>
          <w:noProof/>
        </w:rPr>
        <w:t> </w:t>
      </w:r>
      <w:r w:rsidR="00DD1DFA" w:rsidRPr="00DD1DFA">
        <w:rPr>
          <w:noProof/>
        </w:rPr>
        <w:t>pow</w:t>
      </w:r>
      <w:r w:rsidR="00181517" w:rsidRPr="00DD1DFA">
        <w:rPr>
          <w:noProof/>
        </w:rPr>
        <w:t>szechnym zastosowaniu, lecz stanowią pierwszy etap dwuetapowej procedury administracyjnej prowadzącej do uzyskania oznakowania CE, nie należy ich uznawać za zharmonizowane specyfikacje techniczne. Podstawowe zasady opracowywania norm zharmonizowanych, takie jak przejrzystość dla konkurentów, mogą</w:t>
      </w:r>
      <w:r w:rsidR="00DD1DFA" w:rsidRPr="00DD1DFA">
        <w:rPr>
          <w:noProof/>
        </w:rPr>
        <w:t xml:space="preserve"> i</w:t>
      </w:r>
      <w:r w:rsidR="00DD1DFA">
        <w:rPr>
          <w:noProof/>
        </w:rPr>
        <w:t> </w:t>
      </w:r>
      <w:r w:rsidR="00DD1DFA" w:rsidRPr="00DD1DFA">
        <w:rPr>
          <w:noProof/>
        </w:rPr>
        <w:t>pow</w:t>
      </w:r>
      <w:r w:rsidR="00181517" w:rsidRPr="00DD1DFA">
        <w:rPr>
          <w:noProof/>
        </w:rPr>
        <w:t>inny mieć jednak zastosowanie również do europejskich dokumentów oceny. Ponadto europejskie dokumenty oceny należy przywoływać</w:t>
      </w:r>
      <w:r w:rsidR="00DD1DFA" w:rsidRPr="00DD1DFA">
        <w:rPr>
          <w:noProof/>
        </w:rPr>
        <w:t xml:space="preserve"> w</w:t>
      </w:r>
      <w:r w:rsidR="00DD1DFA">
        <w:rPr>
          <w:noProof/>
        </w:rPr>
        <w:t> </w:t>
      </w:r>
      <w:r w:rsidR="00DD1DFA" w:rsidRPr="00DD1DFA">
        <w:rPr>
          <w:noProof/>
        </w:rPr>
        <w:t>pro</w:t>
      </w:r>
      <w:r w:rsidR="00181517" w:rsidRPr="00DD1DFA">
        <w:rPr>
          <w:noProof/>
        </w:rPr>
        <w:t>cedurach oceny właściwości użytkowych</w:t>
      </w:r>
      <w:r w:rsidR="00DD1DFA" w:rsidRPr="00DD1DFA">
        <w:rPr>
          <w:noProof/>
        </w:rPr>
        <w:t xml:space="preserve"> i</w:t>
      </w:r>
      <w:r w:rsidR="00DD1DFA">
        <w:rPr>
          <w:noProof/>
        </w:rPr>
        <w:t> </w:t>
      </w:r>
      <w:r w:rsidR="00DD1DFA" w:rsidRPr="00DD1DFA">
        <w:rPr>
          <w:noProof/>
        </w:rPr>
        <w:t>zgo</w:t>
      </w:r>
      <w:r w:rsidR="00181517" w:rsidRPr="00DD1DFA">
        <w:rPr>
          <w:noProof/>
        </w:rPr>
        <w:t>dności</w:t>
      </w:r>
      <w:r w:rsidR="00DD1DFA" w:rsidRPr="00DD1DFA">
        <w:rPr>
          <w:noProof/>
        </w:rPr>
        <w:t xml:space="preserve"> w</w:t>
      </w:r>
      <w:r w:rsidR="00DD1DFA">
        <w:rPr>
          <w:noProof/>
        </w:rPr>
        <w:t> </w:t>
      </w:r>
      <w:r w:rsidR="00DD1DFA" w:rsidRPr="00DD1DFA">
        <w:rPr>
          <w:noProof/>
        </w:rPr>
        <w:t>tak</w:t>
      </w:r>
      <w:r w:rsidR="00181517" w:rsidRPr="00DD1DFA">
        <w:rPr>
          <w:noProof/>
        </w:rPr>
        <w:t>i sam sposób, jak normy zharmonizowane. Aby zatem uniknąć długotrwałego powtarzania przepisów, główne zasady dotyczące norm zharmonizowanych powinny mieć również zastosowanie do europejskich dokumentów oceny. Aby zapewnić przejrzystość dla konkurentów, europejskie dokumenty oceny należy udostępnić publicznie,</w:t>
      </w:r>
      <w:r w:rsidR="00DD1DFA" w:rsidRPr="00DD1DFA">
        <w:rPr>
          <w:noProof/>
        </w:rPr>
        <w:t xml:space="preserve"> a</w:t>
      </w:r>
      <w:r w:rsidR="00DD1DFA">
        <w:rPr>
          <w:noProof/>
        </w:rPr>
        <w:t> </w:t>
      </w:r>
      <w:r w:rsidR="00DD1DFA" w:rsidRPr="00DD1DFA">
        <w:rPr>
          <w:noProof/>
        </w:rPr>
        <w:t>odn</w:t>
      </w:r>
      <w:r w:rsidR="00181517" w:rsidRPr="00DD1DFA">
        <w:rPr>
          <w:noProof/>
        </w:rPr>
        <w:t>iesienia do wszystkich europejskich dokumentów oceny opublikować</w:t>
      </w:r>
      <w:r w:rsidR="00DD1DFA" w:rsidRPr="00DD1DFA">
        <w:rPr>
          <w:noProof/>
        </w:rPr>
        <w:t xml:space="preserve"> w</w:t>
      </w:r>
      <w:r w:rsidR="00DD1DFA">
        <w:rPr>
          <w:noProof/>
        </w:rPr>
        <w:t> </w:t>
      </w:r>
      <w:r w:rsidR="00DD1DFA" w:rsidRPr="00DD1DFA">
        <w:rPr>
          <w:noProof/>
        </w:rPr>
        <w:t>Dzi</w:t>
      </w:r>
      <w:r w:rsidR="00181517" w:rsidRPr="00DD1DFA">
        <w:rPr>
          <w:noProof/>
        </w:rPr>
        <w:t>enniku Urzędowym.</w:t>
      </w:r>
    </w:p>
    <w:p w14:paraId="04A9298F" w14:textId="505D2E6C" w:rsidR="00181517" w:rsidRPr="00DD1DFA" w:rsidRDefault="005F7EFA" w:rsidP="005F7EFA">
      <w:pPr>
        <w:pStyle w:val="ManualConsidrant"/>
        <w:rPr>
          <w:noProof/>
        </w:rPr>
      </w:pPr>
      <w:r w:rsidRPr="005F7EFA">
        <w:t>(63)</w:t>
      </w:r>
      <w:r w:rsidRPr="005F7EFA">
        <w:tab/>
      </w:r>
      <w:r w:rsidR="00181517" w:rsidRPr="00DD1DFA">
        <w:rPr>
          <w:noProof/>
        </w:rPr>
        <w:t>Obecnie istnieje ryzyko, że coraz większa liczba trudnych do odróżnienia europejskich dokumentów oceny, które często mają niewielką wartość dodaną</w:t>
      </w:r>
      <w:r w:rsidR="00DD1DFA" w:rsidRPr="00DD1DFA">
        <w:rPr>
          <w:noProof/>
        </w:rPr>
        <w:t xml:space="preserve"> w</w:t>
      </w:r>
      <w:r w:rsidR="00DD1DFA">
        <w:rPr>
          <w:noProof/>
        </w:rPr>
        <w:t> </w:t>
      </w:r>
      <w:r w:rsidR="00DD1DFA" w:rsidRPr="00DD1DFA">
        <w:rPr>
          <w:noProof/>
        </w:rPr>
        <w:t>por</w:t>
      </w:r>
      <w:r w:rsidR="00181517" w:rsidRPr="00DD1DFA">
        <w:rPr>
          <w:noProof/>
        </w:rPr>
        <w:t>ównaniu</w:t>
      </w:r>
      <w:r w:rsidR="00DD1DFA" w:rsidRPr="00DD1DFA">
        <w:rPr>
          <w:noProof/>
        </w:rPr>
        <w:t xml:space="preserve"> z</w:t>
      </w:r>
      <w:r w:rsidR="00DD1DFA">
        <w:rPr>
          <w:noProof/>
        </w:rPr>
        <w:t> </w:t>
      </w:r>
      <w:r w:rsidR="00DD1DFA" w:rsidRPr="00DD1DFA">
        <w:rPr>
          <w:noProof/>
        </w:rPr>
        <w:t>inn</w:t>
      </w:r>
      <w:r w:rsidR="00181517" w:rsidRPr="00DD1DFA">
        <w:rPr>
          <w:noProof/>
        </w:rPr>
        <w:t>ymi dokumentami lub obowiązującymi normami zharmonizowanymi, spowolni ich publikację. Aby wyeliminować to ryzyko</w:t>
      </w:r>
      <w:r w:rsidR="00DD1DFA" w:rsidRPr="00DD1DFA">
        <w:rPr>
          <w:noProof/>
        </w:rPr>
        <w:t xml:space="preserve"> w</w:t>
      </w:r>
      <w:r w:rsidR="00DD1DFA">
        <w:rPr>
          <w:noProof/>
        </w:rPr>
        <w:t> </w:t>
      </w:r>
      <w:r w:rsidR="00DD1DFA" w:rsidRPr="00DD1DFA">
        <w:rPr>
          <w:noProof/>
        </w:rPr>
        <w:t>spo</w:t>
      </w:r>
      <w:r w:rsidR="00181517" w:rsidRPr="00DD1DFA">
        <w:rPr>
          <w:noProof/>
        </w:rPr>
        <w:t>sób opłacalny, należy ustanowić lub skonkretyzować pewne zasady opracowywania</w:t>
      </w:r>
      <w:r w:rsidR="00DD1DFA" w:rsidRPr="00DD1DFA">
        <w:rPr>
          <w:noProof/>
        </w:rPr>
        <w:t xml:space="preserve"> i</w:t>
      </w:r>
      <w:r w:rsidR="00DD1DFA">
        <w:rPr>
          <w:noProof/>
        </w:rPr>
        <w:t> </w:t>
      </w:r>
      <w:r w:rsidR="00DD1DFA" w:rsidRPr="00DD1DFA">
        <w:rPr>
          <w:noProof/>
        </w:rPr>
        <w:t>prz</w:t>
      </w:r>
      <w:r w:rsidR="00181517" w:rsidRPr="00DD1DFA">
        <w:rPr>
          <w:noProof/>
        </w:rPr>
        <w:t>yjmowania europejskich dokumentów oceny. Komisja powinna również wzmóc sprawowaną przez siebie kontrolę.</w:t>
      </w:r>
    </w:p>
    <w:p w14:paraId="68AC01A1" w14:textId="1705B0D2" w:rsidR="00181517" w:rsidRPr="00DD1DFA" w:rsidRDefault="005F7EFA" w:rsidP="005F7EFA">
      <w:pPr>
        <w:pStyle w:val="ManualConsidrant"/>
        <w:rPr>
          <w:noProof/>
        </w:rPr>
      </w:pPr>
      <w:r w:rsidRPr="005F7EFA">
        <w:t>(64)</w:t>
      </w:r>
      <w:r w:rsidRPr="005F7EFA">
        <w:tab/>
      </w:r>
      <w:r w:rsidR="00181517" w:rsidRPr="00DD1DFA">
        <w:rPr>
          <w:noProof/>
        </w:rPr>
        <w:t>Wymogi mające zastosowanie do organów wyznaczających jednostki ds. oceny technicznej (JOT) nie powinny</w:t>
      </w:r>
      <w:r w:rsidR="00DD1DFA" w:rsidRPr="00DD1DFA">
        <w:rPr>
          <w:noProof/>
        </w:rPr>
        <w:t xml:space="preserve"> w</w:t>
      </w:r>
      <w:r w:rsidR="00DD1DFA">
        <w:rPr>
          <w:noProof/>
        </w:rPr>
        <w:t> </w:t>
      </w:r>
      <w:r w:rsidR="00DD1DFA" w:rsidRPr="00DD1DFA">
        <w:rPr>
          <w:noProof/>
        </w:rPr>
        <w:t>zna</w:t>
      </w:r>
      <w:r w:rsidR="00181517" w:rsidRPr="00DD1DFA">
        <w:rPr>
          <w:noProof/>
        </w:rPr>
        <w:t>czący sposób różnić się od wymogów mających zastosowanie do organów notyfikujących,</w:t>
      </w:r>
      <w:r w:rsidR="00DD1DFA" w:rsidRPr="00DD1DFA">
        <w:rPr>
          <w:noProof/>
        </w:rPr>
        <w:t xml:space="preserve"> z</w:t>
      </w:r>
      <w:r w:rsidR="00DD1DFA">
        <w:rPr>
          <w:noProof/>
        </w:rPr>
        <w:t> </w:t>
      </w:r>
      <w:r w:rsidR="00DD1DFA" w:rsidRPr="00DD1DFA">
        <w:rPr>
          <w:noProof/>
        </w:rPr>
        <w:t>uwa</w:t>
      </w:r>
      <w:r w:rsidR="00181517" w:rsidRPr="00DD1DFA">
        <w:rPr>
          <w:noProof/>
        </w:rPr>
        <w:t>gi na podobieństwa między ich rolami</w:t>
      </w:r>
      <w:r w:rsidR="00DD1DFA" w:rsidRPr="00DD1DFA">
        <w:rPr>
          <w:noProof/>
        </w:rPr>
        <w:t>. Z</w:t>
      </w:r>
      <w:r w:rsidR="00DD1DFA">
        <w:rPr>
          <w:noProof/>
        </w:rPr>
        <w:t> </w:t>
      </w:r>
      <w:r w:rsidR="00DD1DFA" w:rsidRPr="00DD1DFA">
        <w:rPr>
          <w:noProof/>
        </w:rPr>
        <w:t>teg</w:t>
      </w:r>
      <w:r w:rsidR="00181517" w:rsidRPr="00DD1DFA">
        <w:rPr>
          <w:noProof/>
        </w:rPr>
        <w:t>o samego powodu JOT powinny być tak samo niezależne</w:t>
      </w:r>
      <w:r w:rsidR="00DD1DFA" w:rsidRPr="00DD1DFA">
        <w:rPr>
          <w:noProof/>
        </w:rPr>
        <w:t xml:space="preserve"> i</w:t>
      </w:r>
      <w:r w:rsidR="00DD1DFA">
        <w:rPr>
          <w:noProof/>
        </w:rPr>
        <w:t> </w:t>
      </w:r>
      <w:r w:rsidR="00DD1DFA" w:rsidRPr="00DD1DFA">
        <w:rPr>
          <w:noProof/>
        </w:rPr>
        <w:t>spr</w:t>
      </w:r>
      <w:r w:rsidR="00181517" w:rsidRPr="00DD1DFA">
        <w:rPr>
          <w:noProof/>
        </w:rPr>
        <w:t>awować taką samą kontrolę nad procesem decyzyjnym, jak jednostki notyfikowane.</w:t>
      </w:r>
    </w:p>
    <w:p w14:paraId="29C75D8C" w14:textId="231C7D75" w:rsidR="00181517" w:rsidRPr="00DD1DFA" w:rsidRDefault="005F7EFA" w:rsidP="005F7EFA">
      <w:pPr>
        <w:pStyle w:val="ManualConsidrant"/>
        <w:rPr>
          <w:noProof/>
        </w:rPr>
      </w:pPr>
      <w:r w:rsidRPr="005F7EFA">
        <w:t>(65)</w:t>
      </w:r>
      <w:r w:rsidRPr="005F7EFA">
        <w:tab/>
      </w:r>
      <w:r w:rsidR="00181517" w:rsidRPr="00DD1DFA">
        <w:rPr>
          <w:noProof/>
        </w:rPr>
        <w:t>W odpowiedzi na znaczny odsetek notyfikacji opartych na niekompletnych lub błędnych ocenach,</w:t>
      </w:r>
      <w:r w:rsidR="00DD1DFA" w:rsidRPr="00DD1DFA">
        <w:rPr>
          <w:noProof/>
        </w:rPr>
        <w:t xml:space="preserve"> w</w:t>
      </w:r>
      <w:r w:rsidR="00DD1DFA">
        <w:rPr>
          <w:noProof/>
        </w:rPr>
        <w:t> </w:t>
      </w:r>
      <w:r w:rsidR="00DD1DFA" w:rsidRPr="00DD1DFA">
        <w:rPr>
          <w:noProof/>
        </w:rPr>
        <w:t>szc</w:t>
      </w:r>
      <w:r w:rsidR="00181517" w:rsidRPr="00DD1DFA">
        <w:rPr>
          <w:noProof/>
        </w:rPr>
        <w:t>zególności</w:t>
      </w:r>
      <w:r w:rsidR="00DD1DFA" w:rsidRPr="00DD1DFA">
        <w:rPr>
          <w:noProof/>
        </w:rPr>
        <w:t xml:space="preserve"> w</w:t>
      </w:r>
      <w:r w:rsidR="00DD1DFA">
        <w:rPr>
          <w:noProof/>
        </w:rPr>
        <w:t> </w:t>
      </w:r>
      <w:r w:rsidR="00DD1DFA" w:rsidRPr="00DD1DFA">
        <w:rPr>
          <w:noProof/>
        </w:rPr>
        <w:t>prz</w:t>
      </w:r>
      <w:r w:rsidR="00181517" w:rsidRPr="00DD1DFA">
        <w:rPr>
          <w:noProof/>
        </w:rPr>
        <w:t>ypadku notyfikacji podmiotów prawnych nieposiadających wewnętrznych kompetencji technicznych, należy zwiększyć zdolności organów notyfikujących</w:t>
      </w:r>
      <w:r w:rsidR="00DD1DFA" w:rsidRPr="00DD1DFA">
        <w:rPr>
          <w:noProof/>
        </w:rPr>
        <w:t xml:space="preserve"> w</w:t>
      </w:r>
      <w:r w:rsidR="00DD1DFA">
        <w:rPr>
          <w:noProof/>
        </w:rPr>
        <w:t> </w:t>
      </w:r>
      <w:r w:rsidR="00DD1DFA" w:rsidRPr="00DD1DFA">
        <w:rPr>
          <w:noProof/>
        </w:rPr>
        <w:t>zak</w:t>
      </w:r>
      <w:r w:rsidR="00181517" w:rsidRPr="00DD1DFA">
        <w:rPr>
          <w:noProof/>
        </w:rPr>
        <w:t>resie zasobów, mianowicie poprzez ustanowienie wymogów minimalnych; doprecyzować wymogi dotyczące jednostek notyfikowanych, mianowicie</w:t>
      </w:r>
      <w:r w:rsidR="00DD1DFA" w:rsidRPr="00DD1DFA">
        <w:rPr>
          <w:noProof/>
        </w:rPr>
        <w:t xml:space="preserve"> w</w:t>
      </w:r>
      <w:r w:rsidR="00DD1DFA">
        <w:rPr>
          <w:noProof/>
        </w:rPr>
        <w:t> </w:t>
      </w:r>
      <w:r w:rsidR="00DD1DFA" w:rsidRPr="00DD1DFA">
        <w:rPr>
          <w:noProof/>
        </w:rPr>
        <w:t>odn</w:t>
      </w:r>
      <w:r w:rsidR="00181517" w:rsidRPr="00DD1DFA">
        <w:rPr>
          <w:noProof/>
        </w:rPr>
        <w:t>iesieniu do ich niezależności, delegowania zadań innym podmiotom prawnym oraz własnej zdolności do wykonywania zadań; wprowadzić wymóg zatrudniania</w:t>
      </w:r>
      <w:r w:rsidR="00DD1DFA" w:rsidRPr="00DD1DFA">
        <w:rPr>
          <w:noProof/>
        </w:rPr>
        <w:t xml:space="preserve"> w</w:t>
      </w:r>
      <w:r w:rsidR="00DD1DFA">
        <w:rPr>
          <w:noProof/>
        </w:rPr>
        <w:t> </w:t>
      </w:r>
      <w:r w:rsidR="00DD1DFA" w:rsidRPr="00DD1DFA">
        <w:rPr>
          <w:noProof/>
        </w:rPr>
        <w:t>jed</w:t>
      </w:r>
      <w:r w:rsidR="00181517" w:rsidRPr="00DD1DFA">
        <w:rPr>
          <w:noProof/>
        </w:rPr>
        <w:t>nostkach notyfikowanych odpowiednio wykwalifikowanego personelu oraz sprawdzać kompetencje tego personelu –</w:t>
      </w:r>
      <w:r w:rsidR="00DD1DFA" w:rsidRPr="00DD1DFA">
        <w:rPr>
          <w:noProof/>
        </w:rPr>
        <w:t xml:space="preserve"> w</w:t>
      </w:r>
      <w:r w:rsidR="00DD1DFA">
        <w:rPr>
          <w:noProof/>
        </w:rPr>
        <w:t> </w:t>
      </w:r>
      <w:r w:rsidR="00DD1DFA" w:rsidRPr="00DD1DFA">
        <w:rPr>
          <w:noProof/>
        </w:rPr>
        <w:t>tym</w:t>
      </w:r>
      <w:r w:rsidR="00181517" w:rsidRPr="00DD1DFA">
        <w:rPr>
          <w:noProof/>
        </w:rPr>
        <w:t xml:space="preserve"> celu najskuteczniejsze okazało się narzędzie</w:t>
      </w:r>
      <w:r w:rsidR="00DD1DFA" w:rsidRPr="00DD1DFA">
        <w:rPr>
          <w:noProof/>
        </w:rPr>
        <w:t xml:space="preserve"> w</w:t>
      </w:r>
      <w:r w:rsidR="00DD1DFA">
        <w:rPr>
          <w:noProof/>
        </w:rPr>
        <w:t> </w:t>
      </w:r>
      <w:r w:rsidR="00DD1DFA" w:rsidRPr="00DD1DFA">
        <w:rPr>
          <w:noProof/>
        </w:rPr>
        <w:t>pos</w:t>
      </w:r>
      <w:r w:rsidR="00181517" w:rsidRPr="00DD1DFA">
        <w:rPr>
          <w:noProof/>
        </w:rPr>
        <w:t>taci struktury kwalifikacji; zapewnić, by to jednostka notyfikowana sprawowała faktyczną kontrolę nad personelem, przydzielaniem ekspertów zewnętrznych, procedurami, kryteriami</w:t>
      </w:r>
      <w:r w:rsidR="00DD1DFA" w:rsidRPr="00DD1DFA">
        <w:rPr>
          <w:noProof/>
        </w:rPr>
        <w:t xml:space="preserve"> i</w:t>
      </w:r>
      <w:r w:rsidR="00DD1DFA">
        <w:rPr>
          <w:noProof/>
        </w:rPr>
        <w:t> </w:t>
      </w:r>
      <w:r w:rsidR="00DD1DFA" w:rsidRPr="00DD1DFA">
        <w:rPr>
          <w:noProof/>
        </w:rPr>
        <w:t>pro</w:t>
      </w:r>
      <w:r w:rsidR="00181517" w:rsidRPr="00DD1DFA">
        <w:rPr>
          <w:noProof/>
        </w:rPr>
        <w:t>cesem decyzyjnym,</w:t>
      </w:r>
      <w:r w:rsidR="00DD1DFA" w:rsidRPr="00DD1DFA">
        <w:rPr>
          <w:noProof/>
        </w:rPr>
        <w:t xml:space="preserve"> a</w:t>
      </w:r>
      <w:r w:rsidR="00DD1DFA">
        <w:rPr>
          <w:noProof/>
        </w:rPr>
        <w:t> </w:t>
      </w:r>
      <w:r w:rsidR="00DD1DFA" w:rsidRPr="00DD1DFA">
        <w:rPr>
          <w:noProof/>
        </w:rPr>
        <w:t>nie</w:t>
      </w:r>
      <w:r w:rsidR="00181517" w:rsidRPr="00DD1DFA">
        <w:rPr>
          <w:noProof/>
        </w:rPr>
        <w:t xml:space="preserve"> podwykonawca, spółka zależna lub inna spółka należąca do tej samej grupy spółek, oraz sprawdzić, czy ma to miejsce; oraz zwiększyć zakres dokumentacji, jaką mają dostarczyć jednostki przy składaniu wniosku</w:t>
      </w:r>
      <w:r w:rsidR="00DD1DFA" w:rsidRPr="00DD1DFA">
        <w:rPr>
          <w:noProof/>
        </w:rPr>
        <w:t xml:space="preserve"> o</w:t>
      </w:r>
      <w:r w:rsidR="00DD1DFA">
        <w:rPr>
          <w:noProof/>
        </w:rPr>
        <w:t> </w:t>
      </w:r>
      <w:r w:rsidR="00DD1DFA" w:rsidRPr="00DD1DFA">
        <w:rPr>
          <w:noProof/>
        </w:rPr>
        <w:t>wyz</w:t>
      </w:r>
      <w:r w:rsidR="00181517" w:rsidRPr="00DD1DFA">
        <w:rPr>
          <w:noProof/>
        </w:rPr>
        <w:t>naczenie na jednostkę notyfikowaną, aby zapewnić organom notyfikującym bardziej gruntowną</w:t>
      </w:r>
      <w:r w:rsidR="00DD1DFA" w:rsidRPr="00DD1DFA">
        <w:rPr>
          <w:noProof/>
        </w:rPr>
        <w:t xml:space="preserve"> i</w:t>
      </w:r>
      <w:r w:rsidR="00DD1DFA">
        <w:rPr>
          <w:noProof/>
        </w:rPr>
        <w:t> </w:t>
      </w:r>
      <w:r w:rsidR="00DD1DFA" w:rsidRPr="00DD1DFA">
        <w:rPr>
          <w:noProof/>
        </w:rPr>
        <w:t>sto</w:t>
      </w:r>
      <w:r w:rsidR="00181517" w:rsidRPr="00DD1DFA">
        <w:rPr>
          <w:noProof/>
        </w:rPr>
        <w:t>sunkowo sprawiedliwą podstawę podejmowania decyzji.</w:t>
      </w:r>
    </w:p>
    <w:p w14:paraId="605C9874" w14:textId="74C77691" w:rsidR="00181517" w:rsidRPr="00DD1DFA" w:rsidRDefault="005F7EFA" w:rsidP="005F7EFA">
      <w:pPr>
        <w:pStyle w:val="ManualConsidrant"/>
        <w:rPr>
          <w:noProof/>
        </w:rPr>
      </w:pPr>
      <w:r w:rsidRPr="005F7EFA">
        <w:t>(66)</w:t>
      </w:r>
      <w:r w:rsidRPr="005F7EFA">
        <w:tab/>
      </w:r>
      <w:r w:rsidR="00181517" w:rsidRPr="00DD1DFA">
        <w:rPr>
          <w:noProof/>
        </w:rPr>
        <w:t>Aby przeciwdziałać powszechnej, wadliwej praktyce stosowanej przez jednostki akredytujące, należy zadbać o to, aby jednostki akredytujące za podstawę akredytacji przyjmowały niniejsze rozporządzenie,</w:t>
      </w:r>
      <w:r w:rsidR="00DD1DFA" w:rsidRPr="00DD1DFA">
        <w:rPr>
          <w:noProof/>
        </w:rPr>
        <w:t xml:space="preserve"> a</w:t>
      </w:r>
      <w:r w:rsidR="00DD1DFA">
        <w:rPr>
          <w:noProof/>
        </w:rPr>
        <w:t> </w:t>
      </w:r>
      <w:r w:rsidR="00DD1DFA" w:rsidRPr="00DD1DFA">
        <w:rPr>
          <w:noProof/>
        </w:rPr>
        <w:t>nie</w:t>
      </w:r>
      <w:r w:rsidR="00181517" w:rsidRPr="00DD1DFA">
        <w:rPr>
          <w:noProof/>
        </w:rPr>
        <w:t xml:space="preserve"> często odbiegające od niego normy. Należy również dopilnować, by jednostki akredytujące oceniały zdolności jednostki będącej wnioskodawcą,</w:t>
      </w:r>
      <w:r w:rsidR="00DD1DFA" w:rsidRPr="00DD1DFA">
        <w:rPr>
          <w:noProof/>
        </w:rPr>
        <w:t xml:space="preserve"> a</w:t>
      </w:r>
      <w:r w:rsidR="00DD1DFA">
        <w:rPr>
          <w:noProof/>
        </w:rPr>
        <w:t> </w:t>
      </w:r>
      <w:r w:rsidR="00DD1DFA" w:rsidRPr="00DD1DFA">
        <w:rPr>
          <w:noProof/>
        </w:rPr>
        <w:t>nie</w:t>
      </w:r>
      <w:r w:rsidR="00181517" w:rsidRPr="00DD1DFA">
        <w:rPr>
          <w:noProof/>
        </w:rPr>
        <w:t xml:space="preserve"> grupy spółek, ponieważ to sama jednostka będąca wnioskodawcą musi kontrolować przyszłą certyfikację.</w:t>
      </w:r>
    </w:p>
    <w:p w14:paraId="5B5176C0" w14:textId="0D258E0E" w:rsidR="00181517" w:rsidRPr="00DD1DFA" w:rsidRDefault="005F7EFA" w:rsidP="005F7EFA">
      <w:pPr>
        <w:pStyle w:val="ManualConsidrant"/>
        <w:rPr>
          <w:noProof/>
        </w:rPr>
      </w:pPr>
      <w:r w:rsidRPr="005F7EFA">
        <w:t>(67)</w:t>
      </w:r>
      <w:r w:rsidRPr="005F7EFA">
        <w:tab/>
      </w:r>
      <w:r w:rsidR="00181517" w:rsidRPr="00DD1DFA">
        <w:rPr>
          <w:noProof/>
        </w:rPr>
        <w:t>Aby zapewnić równe szanse</w:t>
      </w:r>
      <w:r w:rsidR="00DD1DFA" w:rsidRPr="00DD1DFA">
        <w:rPr>
          <w:noProof/>
        </w:rPr>
        <w:t xml:space="preserve"> i</w:t>
      </w:r>
      <w:r w:rsidR="00DD1DFA">
        <w:rPr>
          <w:noProof/>
        </w:rPr>
        <w:t> </w:t>
      </w:r>
      <w:r w:rsidR="00DD1DFA" w:rsidRPr="00DD1DFA">
        <w:rPr>
          <w:noProof/>
        </w:rPr>
        <w:t>uni</w:t>
      </w:r>
      <w:r w:rsidR="00181517" w:rsidRPr="00DD1DFA">
        <w:rPr>
          <w:noProof/>
        </w:rPr>
        <w:t>knąć niepewności prawa, należy jaśniej określić</w:t>
      </w:r>
      <w:r w:rsidR="00DD1DFA" w:rsidRPr="00DD1DFA">
        <w:rPr>
          <w:noProof/>
        </w:rPr>
        <w:t xml:space="preserve"> i</w:t>
      </w:r>
      <w:r w:rsidR="00DD1DFA">
        <w:rPr>
          <w:noProof/>
        </w:rPr>
        <w:t> </w:t>
      </w:r>
      <w:r w:rsidR="00DD1DFA" w:rsidRPr="00DD1DFA">
        <w:rPr>
          <w:noProof/>
        </w:rPr>
        <w:t>dop</w:t>
      </w:r>
      <w:r w:rsidR="00181517" w:rsidRPr="00DD1DFA">
        <w:rPr>
          <w:noProof/>
        </w:rPr>
        <w:t>recyzować obowiązki jednostek notyfikowanych zarówno</w:t>
      </w:r>
      <w:r w:rsidR="00DD1DFA" w:rsidRPr="00DD1DFA">
        <w:rPr>
          <w:noProof/>
        </w:rPr>
        <w:t xml:space="preserve"> w</w:t>
      </w:r>
      <w:r w:rsidR="00DD1DFA">
        <w:rPr>
          <w:noProof/>
        </w:rPr>
        <w:t> </w:t>
      </w:r>
      <w:r w:rsidR="00DD1DFA" w:rsidRPr="00DD1DFA">
        <w:rPr>
          <w:noProof/>
        </w:rPr>
        <w:t>odn</w:t>
      </w:r>
      <w:r w:rsidR="00181517" w:rsidRPr="00DD1DFA">
        <w:rPr>
          <w:noProof/>
        </w:rPr>
        <w:t>iesieniu do ich działalności</w:t>
      </w:r>
      <w:r w:rsidR="00DD1DFA" w:rsidRPr="00DD1DFA">
        <w:rPr>
          <w:noProof/>
        </w:rPr>
        <w:t xml:space="preserve"> w</w:t>
      </w:r>
      <w:r w:rsidR="00DD1DFA">
        <w:rPr>
          <w:noProof/>
        </w:rPr>
        <w:t> </w:t>
      </w:r>
      <w:r w:rsidR="00DD1DFA" w:rsidRPr="00DD1DFA">
        <w:rPr>
          <w:noProof/>
        </w:rPr>
        <w:t>zak</w:t>
      </w:r>
      <w:r w:rsidR="00181517" w:rsidRPr="00DD1DFA">
        <w:rPr>
          <w:noProof/>
        </w:rPr>
        <w:t>resie oceny</w:t>
      </w:r>
      <w:r w:rsidR="00DD1DFA" w:rsidRPr="00DD1DFA">
        <w:rPr>
          <w:noProof/>
        </w:rPr>
        <w:t xml:space="preserve"> i</w:t>
      </w:r>
      <w:r w:rsidR="00DD1DFA">
        <w:rPr>
          <w:noProof/>
        </w:rPr>
        <w:t> </w:t>
      </w:r>
      <w:r w:rsidR="00DD1DFA" w:rsidRPr="00DD1DFA">
        <w:rPr>
          <w:noProof/>
        </w:rPr>
        <w:t>wer</w:t>
      </w:r>
      <w:r w:rsidR="00181517" w:rsidRPr="00DD1DFA">
        <w:rPr>
          <w:noProof/>
        </w:rPr>
        <w:t>yfikacji, jak</w:t>
      </w:r>
      <w:r w:rsidR="00DD1DFA" w:rsidRPr="00DD1DFA">
        <w:rPr>
          <w:noProof/>
        </w:rPr>
        <w:t xml:space="preserve"> i</w:t>
      </w:r>
      <w:r w:rsidR="00DD1DFA">
        <w:rPr>
          <w:noProof/>
        </w:rPr>
        <w:t> </w:t>
      </w:r>
      <w:r w:rsidR="00DD1DFA" w:rsidRPr="00DD1DFA">
        <w:rPr>
          <w:noProof/>
        </w:rPr>
        <w:t>pow</w:t>
      </w:r>
      <w:r w:rsidR="00181517" w:rsidRPr="00DD1DFA">
        <w:rPr>
          <w:noProof/>
        </w:rPr>
        <w:t>iązanych</w:t>
      </w:r>
      <w:r w:rsidR="00DD1DFA" w:rsidRPr="00DD1DFA">
        <w:rPr>
          <w:noProof/>
        </w:rPr>
        <w:t xml:space="preserve"> z</w:t>
      </w:r>
      <w:r w:rsidR="00DD1DFA">
        <w:rPr>
          <w:noProof/>
        </w:rPr>
        <w:t> </w:t>
      </w:r>
      <w:r w:rsidR="00DD1DFA" w:rsidRPr="00DD1DFA">
        <w:rPr>
          <w:noProof/>
        </w:rPr>
        <w:t>nią</w:t>
      </w:r>
      <w:r w:rsidR="00181517" w:rsidRPr="00DD1DFA">
        <w:rPr>
          <w:noProof/>
        </w:rPr>
        <w:t xml:space="preserve"> aspektów.</w:t>
      </w:r>
    </w:p>
    <w:p w14:paraId="5F459112" w14:textId="3969847B" w:rsidR="00181517" w:rsidRPr="00DD1DFA" w:rsidRDefault="005F7EFA" w:rsidP="005F7EFA">
      <w:pPr>
        <w:pStyle w:val="ManualConsidrant"/>
        <w:rPr>
          <w:noProof/>
        </w:rPr>
      </w:pPr>
      <w:r w:rsidRPr="005F7EFA">
        <w:t>(68)</w:t>
      </w:r>
      <w:r w:rsidRPr="005F7EFA">
        <w:tab/>
      </w:r>
      <w:r w:rsidR="00181517" w:rsidRPr="00DD1DFA">
        <w:rPr>
          <w:noProof/>
        </w:rPr>
        <w:t>Aby uniknąć powiązań między pracownikami jednostek notyfikowanych</w:t>
      </w:r>
      <w:r w:rsidR="00DD1DFA" w:rsidRPr="00DD1DFA">
        <w:rPr>
          <w:noProof/>
        </w:rPr>
        <w:t xml:space="preserve"> a</w:t>
      </w:r>
      <w:r w:rsidR="00DD1DFA">
        <w:rPr>
          <w:noProof/>
        </w:rPr>
        <w:t> </w:t>
      </w:r>
      <w:r w:rsidR="00DD1DFA" w:rsidRPr="00DD1DFA">
        <w:rPr>
          <w:noProof/>
        </w:rPr>
        <w:t>pro</w:t>
      </w:r>
      <w:r w:rsidR="00181517" w:rsidRPr="00DD1DFA">
        <w:rPr>
          <w:noProof/>
        </w:rPr>
        <w:t>ducentami, jednostki notyfikowane powinny zapewnić rotację pracowników wykonujących różne zadania związane</w:t>
      </w:r>
      <w:r w:rsidR="00DD1DFA" w:rsidRPr="00DD1DFA">
        <w:rPr>
          <w:noProof/>
        </w:rPr>
        <w:t xml:space="preserve"> z</w:t>
      </w:r>
      <w:r w:rsidR="00DD1DFA">
        <w:rPr>
          <w:noProof/>
        </w:rPr>
        <w:t> </w:t>
      </w:r>
      <w:r w:rsidR="00DD1DFA" w:rsidRPr="00DD1DFA">
        <w:rPr>
          <w:noProof/>
        </w:rPr>
        <w:t>oce</w:t>
      </w:r>
      <w:r w:rsidR="00181517" w:rsidRPr="00DD1DFA">
        <w:rPr>
          <w:noProof/>
        </w:rPr>
        <w:t>ną zgodności.</w:t>
      </w:r>
    </w:p>
    <w:p w14:paraId="0ADB39E8" w14:textId="340B87E7" w:rsidR="00181517" w:rsidRPr="00DD1DFA" w:rsidRDefault="005F7EFA" w:rsidP="005F7EFA">
      <w:pPr>
        <w:pStyle w:val="ManualConsidrant"/>
        <w:rPr>
          <w:noProof/>
        </w:rPr>
      </w:pPr>
      <w:r w:rsidRPr="005F7EFA">
        <w:t>(69)</w:t>
      </w:r>
      <w:r w:rsidRPr="005F7EFA">
        <w:tab/>
      </w:r>
      <w:r w:rsidR="00181517" w:rsidRPr="00DD1DFA">
        <w:rPr>
          <w:noProof/>
        </w:rPr>
        <w:t>Organy państw członkowskich mogą mieć pytania, na które odpowiedzi może udzielić wyłącznie określona jednostka notyfikowana</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jednostki notyfikowane powinny również odpowiadać na ewentualne pytania organów innych państw członkowskich.</w:t>
      </w:r>
    </w:p>
    <w:p w14:paraId="17492F02" w14:textId="15B0A08A" w:rsidR="00181517" w:rsidRPr="00DD1DFA" w:rsidRDefault="005F7EFA" w:rsidP="005F7EFA">
      <w:pPr>
        <w:pStyle w:val="ManualConsidrant"/>
        <w:rPr>
          <w:noProof/>
        </w:rPr>
      </w:pPr>
      <w:r w:rsidRPr="005F7EFA">
        <w:t>(70)</w:t>
      </w:r>
      <w:r w:rsidRPr="005F7EFA">
        <w:tab/>
      </w:r>
      <w:r w:rsidR="00181517" w:rsidRPr="00DD1DFA">
        <w:rPr>
          <w:noProof/>
        </w:rPr>
        <w:t>Aby umożliwić wszystkim organom łatwiejsze wykrywanie niezgodności jednostek notyfikowanych, producentów</w:t>
      </w:r>
      <w:r w:rsidR="00DD1DFA" w:rsidRPr="00DD1DFA">
        <w:rPr>
          <w:noProof/>
        </w:rPr>
        <w:t xml:space="preserve"> i</w:t>
      </w:r>
      <w:r w:rsidR="00DD1DFA">
        <w:rPr>
          <w:noProof/>
        </w:rPr>
        <w:t> </w:t>
      </w:r>
      <w:r w:rsidR="00DD1DFA" w:rsidRPr="00DD1DFA">
        <w:rPr>
          <w:noProof/>
        </w:rPr>
        <w:t>wyr</w:t>
      </w:r>
      <w:r w:rsidR="00181517" w:rsidRPr="00DD1DFA">
        <w:rPr>
          <w:noProof/>
        </w:rPr>
        <w:t>obów oraz zapewnić równe szanse, jednostki notyfikowane powinny być uprawnione,</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prz</w:t>
      </w:r>
      <w:r w:rsidR="00181517" w:rsidRPr="00DD1DFA">
        <w:rPr>
          <w:noProof/>
        </w:rPr>
        <w:t>ypadku gdy taką niezgodność można wyraźnie wykazać, nawet zobowiązane do aktywnego przekazywania informacji</w:t>
      </w:r>
      <w:r w:rsidR="00DD1DFA" w:rsidRPr="00DD1DFA">
        <w:rPr>
          <w:noProof/>
        </w:rPr>
        <w:t xml:space="preserve"> o</w:t>
      </w:r>
      <w:r w:rsidR="00DD1DFA">
        <w:rPr>
          <w:noProof/>
        </w:rPr>
        <w:t> </w:t>
      </w:r>
      <w:r w:rsidR="00DD1DFA" w:rsidRPr="00DD1DFA">
        <w:rPr>
          <w:noProof/>
        </w:rPr>
        <w:t>nie</w:t>
      </w:r>
      <w:r w:rsidR="00181517" w:rsidRPr="00DD1DFA">
        <w:rPr>
          <w:noProof/>
        </w:rPr>
        <w:t>zgodnościach odpowiednim organom nadzoru rynku lub organom notyfikującym. Jednostki notyfikowane nie powinny jednak naruszać obowiązku</w:t>
      </w:r>
      <w:r w:rsidR="00DD1DFA" w:rsidRPr="00DD1DFA">
        <w:rPr>
          <w:noProof/>
        </w:rPr>
        <w:t xml:space="preserve"> w</w:t>
      </w:r>
      <w:r w:rsidR="00DD1DFA">
        <w:rPr>
          <w:noProof/>
        </w:rPr>
        <w:t> </w:t>
      </w:r>
      <w:r w:rsidR="00DD1DFA" w:rsidRPr="00DD1DFA">
        <w:rPr>
          <w:noProof/>
        </w:rPr>
        <w:t>zak</w:t>
      </w:r>
      <w:r w:rsidR="00181517" w:rsidRPr="00DD1DFA">
        <w:rPr>
          <w:noProof/>
        </w:rPr>
        <w:t>resie informowania poprzez prowadzenie dochodzeń wobec podmiotów innych niż ich klienci lub partnerzy.</w:t>
      </w:r>
    </w:p>
    <w:p w14:paraId="6D9D1C44" w14:textId="792B8595" w:rsidR="00181517" w:rsidRPr="00DD1DFA" w:rsidRDefault="005F7EFA" w:rsidP="005F7EFA">
      <w:pPr>
        <w:pStyle w:val="ManualConsidrant"/>
        <w:rPr>
          <w:noProof/>
        </w:rPr>
      </w:pPr>
      <w:r w:rsidRPr="005F7EFA">
        <w:t>(71)</w:t>
      </w:r>
      <w:r w:rsidRPr="005F7EFA">
        <w:tab/>
      </w:r>
      <w:r w:rsidR="00181517" w:rsidRPr="00DD1DFA">
        <w:rPr>
          <w:noProof/>
        </w:rPr>
        <w:t>Aby stworzyć równe szanse dla jednostek notyfikowanych</w:t>
      </w:r>
      <w:r w:rsidR="00DD1DFA" w:rsidRPr="00DD1DFA">
        <w:rPr>
          <w:noProof/>
        </w:rPr>
        <w:t xml:space="preserve"> i</w:t>
      </w:r>
      <w:r w:rsidR="00DD1DFA">
        <w:rPr>
          <w:noProof/>
        </w:rPr>
        <w:t> </w:t>
      </w:r>
      <w:r w:rsidR="00DD1DFA" w:rsidRPr="00DD1DFA">
        <w:rPr>
          <w:noProof/>
        </w:rPr>
        <w:t>pro</w:t>
      </w:r>
      <w:r w:rsidR="00181517" w:rsidRPr="00DD1DFA">
        <w:rPr>
          <w:noProof/>
        </w:rPr>
        <w:t>ducentów, należy poprawić koordynację między jednostkami notyfikowanymi. Ponieważ tylko połowa obecnych jednostek notyfikowanych uczestniczy</w:t>
      </w:r>
      <w:r w:rsidR="00DD1DFA" w:rsidRPr="00DD1DFA">
        <w:rPr>
          <w:noProof/>
        </w:rPr>
        <w:t xml:space="preserve"> z</w:t>
      </w:r>
      <w:r w:rsidR="00DD1DFA">
        <w:rPr>
          <w:noProof/>
        </w:rPr>
        <w:t> </w:t>
      </w:r>
      <w:r w:rsidR="00DD1DFA" w:rsidRPr="00DD1DFA">
        <w:rPr>
          <w:noProof/>
        </w:rPr>
        <w:t>wła</w:t>
      </w:r>
      <w:r w:rsidR="00181517" w:rsidRPr="00DD1DFA">
        <w:rPr>
          <w:noProof/>
        </w:rPr>
        <w:t>snej inicjatywy</w:t>
      </w:r>
      <w:r w:rsidR="00DD1DFA" w:rsidRPr="00DD1DFA">
        <w:rPr>
          <w:noProof/>
        </w:rPr>
        <w:t xml:space="preserve"> w</w:t>
      </w:r>
      <w:r w:rsidR="00DD1DFA">
        <w:rPr>
          <w:noProof/>
        </w:rPr>
        <w:t> </w:t>
      </w:r>
      <w:r w:rsidR="00DD1DFA" w:rsidRPr="00DD1DFA">
        <w:rPr>
          <w:noProof/>
        </w:rPr>
        <w:t>dzi</w:t>
      </w:r>
      <w:r w:rsidR="00181517" w:rsidRPr="00DD1DFA">
        <w:rPr>
          <w:noProof/>
        </w:rPr>
        <w:t>ałaniach istniejącej już grupy koordynacyjnej ds. jednostek notyfikowanych, udział</w:t>
      </w:r>
      <w:r w:rsidR="00DD1DFA" w:rsidRPr="00DD1DFA">
        <w:rPr>
          <w:noProof/>
        </w:rPr>
        <w:t xml:space="preserve"> w</w:t>
      </w:r>
      <w:r w:rsidR="00DD1DFA">
        <w:rPr>
          <w:noProof/>
        </w:rPr>
        <w:t> </w:t>
      </w:r>
      <w:r w:rsidR="00DD1DFA" w:rsidRPr="00DD1DFA">
        <w:rPr>
          <w:noProof/>
        </w:rPr>
        <w:t>nie</w:t>
      </w:r>
      <w:r w:rsidR="00181517" w:rsidRPr="00DD1DFA">
        <w:rPr>
          <w:noProof/>
        </w:rPr>
        <w:t>j powinien stać się obowiązkowy.</w:t>
      </w:r>
    </w:p>
    <w:p w14:paraId="3F5253EA" w14:textId="1BDC9ACE" w:rsidR="00181517" w:rsidRPr="00DD1DFA" w:rsidRDefault="005F7EFA" w:rsidP="005F7EFA">
      <w:pPr>
        <w:pStyle w:val="ManualConsidrant"/>
        <w:rPr>
          <w:noProof/>
        </w:rPr>
      </w:pPr>
      <w:r w:rsidRPr="005F7EFA">
        <w:t>(72)</w:t>
      </w:r>
      <w:r w:rsidRPr="005F7EFA">
        <w:tab/>
      </w:r>
      <w:r w:rsidR="00181517" w:rsidRPr="00DD1DFA">
        <w:rPr>
          <w:noProof/>
        </w:rPr>
        <w:t>Próby ustanowienia</w:t>
      </w:r>
      <w:r w:rsidR="00DD1DFA" w:rsidRPr="00DD1DFA">
        <w:rPr>
          <w:noProof/>
        </w:rPr>
        <w:t xml:space="preserve"> w</w:t>
      </w:r>
      <w:r w:rsidR="00DD1DFA">
        <w:rPr>
          <w:noProof/>
        </w:rPr>
        <w:t> </w:t>
      </w:r>
      <w:r w:rsidR="00DD1DFA" w:rsidRPr="00DD1DFA">
        <w:rPr>
          <w:noProof/>
        </w:rPr>
        <w:t>roz</w:t>
      </w:r>
      <w:r w:rsidR="00181517" w:rsidRPr="00DD1DFA">
        <w:rPr>
          <w:noProof/>
        </w:rPr>
        <w:t>porządzeniu (UE) nr</w:t>
      </w:r>
      <w:r w:rsidR="00DD1DFA" w:rsidRPr="00DD1DFA">
        <w:rPr>
          <w:noProof/>
        </w:rPr>
        <w:t> </w:t>
      </w:r>
      <w:r w:rsidR="00181517" w:rsidRPr="00DD1DFA">
        <w:rPr>
          <w:noProof/>
        </w:rPr>
        <w:t>305/2011 procedur uproszczonych dla małych</w:t>
      </w:r>
      <w:r w:rsidR="00DD1DFA" w:rsidRPr="00DD1DFA">
        <w:rPr>
          <w:noProof/>
        </w:rPr>
        <w:t xml:space="preserve"> i</w:t>
      </w:r>
      <w:r w:rsidR="00DD1DFA">
        <w:rPr>
          <w:noProof/>
        </w:rPr>
        <w:t> </w:t>
      </w:r>
      <w:r w:rsidR="00DD1DFA" w:rsidRPr="00DD1DFA">
        <w:rPr>
          <w:noProof/>
        </w:rPr>
        <w:t>śre</w:t>
      </w:r>
      <w:r w:rsidR="00181517" w:rsidRPr="00DD1DFA">
        <w:rPr>
          <w:noProof/>
        </w:rPr>
        <w:t>dnich przedsiębiorstw,</w:t>
      </w:r>
      <w:r w:rsidR="00DD1DFA" w:rsidRPr="00DD1DFA">
        <w:rPr>
          <w:noProof/>
        </w:rPr>
        <w:t xml:space="preserve"> a</w:t>
      </w:r>
      <w:r w:rsidR="00DD1DFA">
        <w:rPr>
          <w:noProof/>
        </w:rPr>
        <w:t> </w:t>
      </w:r>
      <w:r w:rsidR="00DD1DFA" w:rsidRPr="00DD1DFA">
        <w:rPr>
          <w:noProof/>
        </w:rPr>
        <w:t>tym</w:t>
      </w:r>
      <w:r w:rsidR="00181517" w:rsidRPr="00DD1DFA">
        <w:rPr>
          <w:noProof/>
        </w:rPr>
        <w:t xml:space="preserve"> samym zmniejszenia obciążeń</w:t>
      </w:r>
      <w:r w:rsidR="00DD1DFA" w:rsidRPr="00DD1DFA">
        <w:rPr>
          <w:noProof/>
        </w:rPr>
        <w:t xml:space="preserve"> i</w:t>
      </w:r>
      <w:r w:rsidR="00DD1DFA">
        <w:rPr>
          <w:noProof/>
        </w:rPr>
        <w:t> </w:t>
      </w:r>
      <w:r w:rsidR="00DD1DFA" w:rsidRPr="00DD1DFA">
        <w:rPr>
          <w:noProof/>
        </w:rPr>
        <w:t>kos</w:t>
      </w:r>
      <w:r w:rsidR="00181517" w:rsidRPr="00DD1DFA">
        <w:rPr>
          <w:noProof/>
        </w:rPr>
        <w:t>ztów ponoszonych przez MŚP</w:t>
      </w:r>
      <w:r w:rsidR="00DD1DFA" w:rsidRPr="00DD1DFA">
        <w:rPr>
          <w:noProof/>
        </w:rPr>
        <w:t xml:space="preserve"> i</w:t>
      </w:r>
      <w:r w:rsidR="00DD1DFA">
        <w:rPr>
          <w:noProof/>
        </w:rPr>
        <w:t> </w:t>
      </w:r>
      <w:r w:rsidR="00DD1DFA" w:rsidRPr="00DD1DFA">
        <w:rPr>
          <w:noProof/>
        </w:rPr>
        <w:t>mik</w:t>
      </w:r>
      <w:r w:rsidR="00181517" w:rsidRPr="00DD1DFA">
        <w:rPr>
          <w:noProof/>
        </w:rPr>
        <w:t>roprzedsiębiorstwa, nie były</w:t>
      </w:r>
      <w:r w:rsidR="00DD1DFA" w:rsidRPr="00DD1DFA">
        <w:rPr>
          <w:noProof/>
        </w:rPr>
        <w:t xml:space="preserve"> w</w:t>
      </w:r>
      <w:r w:rsidR="00DD1DFA">
        <w:rPr>
          <w:noProof/>
        </w:rPr>
        <w:t> </w:t>
      </w:r>
      <w:r w:rsidR="00DD1DFA" w:rsidRPr="00DD1DFA">
        <w:rPr>
          <w:noProof/>
        </w:rPr>
        <w:t>peł</w:t>
      </w:r>
      <w:r w:rsidR="00181517" w:rsidRPr="00DD1DFA">
        <w:rPr>
          <w:noProof/>
        </w:rPr>
        <w:t>ni skuteczne</w:t>
      </w:r>
      <w:r w:rsidR="00DD1DFA" w:rsidRPr="00DD1DFA">
        <w:rPr>
          <w:noProof/>
        </w:rPr>
        <w:t xml:space="preserve"> i</w:t>
      </w:r>
      <w:r w:rsidR="00DD1DFA">
        <w:rPr>
          <w:noProof/>
        </w:rPr>
        <w:t> </w:t>
      </w:r>
      <w:r w:rsidR="00DD1DFA" w:rsidRPr="00DD1DFA">
        <w:rPr>
          <w:noProof/>
        </w:rPr>
        <w:t>czę</w:t>
      </w:r>
      <w:r w:rsidR="00181517" w:rsidRPr="00DD1DFA">
        <w:rPr>
          <w:noProof/>
        </w:rPr>
        <w:t>sto pozostawały niezrozumiałe lub nie były stosowane</w:t>
      </w:r>
      <w:r w:rsidR="00DD1DFA" w:rsidRPr="00DD1DFA">
        <w:rPr>
          <w:noProof/>
        </w:rPr>
        <w:t xml:space="preserve"> z</w:t>
      </w:r>
      <w:r w:rsidR="00DD1DFA">
        <w:rPr>
          <w:noProof/>
        </w:rPr>
        <w:t> </w:t>
      </w:r>
      <w:r w:rsidR="00DD1DFA" w:rsidRPr="00DD1DFA">
        <w:rPr>
          <w:noProof/>
        </w:rPr>
        <w:t>pow</w:t>
      </w:r>
      <w:r w:rsidR="00181517" w:rsidRPr="00DD1DFA">
        <w:rPr>
          <w:noProof/>
        </w:rPr>
        <w:t>odu braku świadomości lub niejasności co do ich zastosowania. Usuwając stwierdzone uchybienia</w:t>
      </w:r>
      <w:r w:rsidR="00DD1DFA" w:rsidRPr="00DD1DFA">
        <w:rPr>
          <w:noProof/>
        </w:rPr>
        <w:t xml:space="preserve"> i</w:t>
      </w:r>
      <w:r w:rsidR="00DD1DFA">
        <w:rPr>
          <w:noProof/>
        </w:rPr>
        <w:t> </w:t>
      </w:r>
      <w:r w:rsidR="00DD1DFA" w:rsidRPr="00DD1DFA">
        <w:rPr>
          <w:noProof/>
        </w:rPr>
        <w:t>opi</w:t>
      </w:r>
      <w:r w:rsidR="00181517" w:rsidRPr="00DD1DFA">
        <w:rPr>
          <w:noProof/>
        </w:rPr>
        <w:t>erając się na wcześniej ustanowionych przepisach, należy wyjaśnić</w:t>
      </w:r>
      <w:r w:rsidR="00DD1DFA" w:rsidRPr="00DD1DFA">
        <w:rPr>
          <w:noProof/>
        </w:rPr>
        <w:t xml:space="preserve"> i</w:t>
      </w:r>
      <w:r w:rsidR="00DD1DFA">
        <w:rPr>
          <w:noProof/>
        </w:rPr>
        <w:t> </w:t>
      </w:r>
      <w:r w:rsidR="00DD1DFA" w:rsidRPr="00DD1DFA">
        <w:rPr>
          <w:noProof/>
        </w:rPr>
        <w:t>uła</w:t>
      </w:r>
      <w:r w:rsidR="00181517" w:rsidRPr="00DD1DFA">
        <w:rPr>
          <w:noProof/>
        </w:rPr>
        <w:t>twić ich stosowanie,</w:t>
      </w:r>
      <w:r w:rsidR="00DD1DFA" w:rsidRPr="00DD1DFA">
        <w:rPr>
          <w:noProof/>
        </w:rPr>
        <w:t xml:space="preserve"> a</w:t>
      </w:r>
      <w:r w:rsidR="00DD1DFA">
        <w:rPr>
          <w:noProof/>
        </w:rPr>
        <w:t> </w:t>
      </w:r>
      <w:r w:rsidR="00DD1DFA" w:rsidRPr="00DD1DFA">
        <w:rPr>
          <w:noProof/>
        </w:rPr>
        <w:t>tym</w:t>
      </w:r>
      <w:r w:rsidR="00181517" w:rsidRPr="00DD1DFA">
        <w:rPr>
          <w:noProof/>
        </w:rPr>
        <w:t xml:space="preserve"> samym osiągnąć cel, jakim jest wspieranie MŚP przy jednoczesnym zapewnieniu właściwości użytkowych, bezpieczeństwa</w:t>
      </w:r>
      <w:r w:rsidR="00DD1DFA" w:rsidRPr="00DD1DFA">
        <w:rPr>
          <w:noProof/>
        </w:rPr>
        <w:t xml:space="preserve"> i</w:t>
      </w:r>
      <w:r w:rsidR="00DD1DFA">
        <w:rPr>
          <w:noProof/>
        </w:rPr>
        <w:t> </w:t>
      </w:r>
      <w:r w:rsidR="00DD1DFA" w:rsidRPr="00DD1DFA">
        <w:rPr>
          <w:noProof/>
        </w:rPr>
        <w:t>zró</w:t>
      </w:r>
      <w:r w:rsidR="00181517" w:rsidRPr="00DD1DFA">
        <w:rPr>
          <w:noProof/>
        </w:rPr>
        <w:t>wnoważenia środowiskowego wyrobów budowlanych.</w:t>
      </w:r>
    </w:p>
    <w:p w14:paraId="546A118C" w14:textId="49429F0D" w:rsidR="00181517" w:rsidRPr="00DD1DFA" w:rsidRDefault="005F7EFA" w:rsidP="005F7EFA">
      <w:pPr>
        <w:pStyle w:val="ManualConsidrant"/>
        <w:rPr>
          <w:noProof/>
        </w:rPr>
      </w:pPr>
      <w:r w:rsidRPr="005F7EFA">
        <w:t>(73)</w:t>
      </w:r>
      <w:r w:rsidRPr="005F7EFA">
        <w:tab/>
      </w:r>
      <w:r w:rsidR="00181517" w:rsidRPr="00DD1DFA">
        <w:rPr>
          <w:noProof/>
        </w:rPr>
        <w:t>Należy upowszechnić uznawanie wyników badań uzyskanych przez innego producenta, przewidzianych</w:t>
      </w:r>
      <w:r w:rsidR="00DD1DFA" w:rsidRPr="00DD1DFA">
        <w:rPr>
          <w:noProof/>
        </w:rPr>
        <w:t xml:space="preserve"> w</w:t>
      </w:r>
      <w:r w:rsidR="00DD1DFA">
        <w:rPr>
          <w:noProof/>
        </w:rPr>
        <w:t> </w:t>
      </w:r>
      <w:r w:rsidR="00DD1DFA" w:rsidRPr="00DD1DFA">
        <w:rPr>
          <w:noProof/>
        </w:rPr>
        <w:t>art</w:t>
      </w:r>
      <w:r w:rsidR="00181517" w:rsidRPr="00DD1DFA">
        <w:rPr>
          <w:noProof/>
        </w:rPr>
        <w:t>.</w:t>
      </w:r>
      <w:r w:rsidR="00DD1DFA" w:rsidRPr="00DD1DFA">
        <w:rPr>
          <w:noProof/>
        </w:rPr>
        <w:t> </w:t>
      </w:r>
      <w:r w:rsidR="00181517" w:rsidRPr="00DD1DFA">
        <w:rPr>
          <w:noProof/>
        </w:rPr>
        <w:t>36 ust.</w:t>
      </w:r>
      <w:r w:rsidR="00DD1DFA" w:rsidRPr="00DD1DFA">
        <w:rPr>
          <w:noProof/>
        </w:rPr>
        <w:t> </w:t>
      </w:r>
      <w:r w:rsidR="00181517" w:rsidRPr="00DD1DFA">
        <w:rPr>
          <w:noProof/>
        </w:rPr>
        <w:t>1 lit.</w:t>
      </w:r>
      <w:r w:rsidR="00DD1DFA" w:rsidRPr="00DD1DFA">
        <w:rPr>
          <w:noProof/>
        </w:rPr>
        <w:t> </w:t>
      </w:r>
      <w:r w:rsidR="00181517" w:rsidRPr="00DD1DFA">
        <w:rPr>
          <w:noProof/>
        </w:rPr>
        <w:t>b) rozporządzenia (UE) nr</w:t>
      </w:r>
      <w:r w:rsidR="00DD1DFA" w:rsidRPr="00DD1DFA">
        <w:rPr>
          <w:noProof/>
        </w:rPr>
        <w:t> </w:t>
      </w:r>
      <w:r w:rsidR="00181517" w:rsidRPr="00DD1DFA">
        <w:rPr>
          <w:noProof/>
        </w:rPr>
        <w:t>305/2011, aby zmniejszyć ogólne obciążenie podmiotów gospodarczych,</w:t>
      </w:r>
      <w:r w:rsidR="00DD1DFA" w:rsidRPr="00DD1DFA">
        <w:rPr>
          <w:noProof/>
        </w:rPr>
        <w:t xml:space="preserve"> a</w:t>
      </w:r>
      <w:r w:rsidR="00DD1DFA">
        <w:rPr>
          <w:noProof/>
        </w:rPr>
        <w:t> </w:t>
      </w:r>
      <w:r w:rsidR="00DD1DFA" w:rsidRPr="00DD1DFA">
        <w:rPr>
          <w:noProof/>
        </w:rPr>
        <w:t>mia</w:t>
      </w:r>
      <w:r w:rsidR="00181517" w:rsidRPr="00DD1DFA">
        <w:rPr>
          <w:noProof/>
        </w:rPr>
        <w:t>nowicie producentów. Taki mechanizm uznawania jest szczególnie potrzebny, aby uniknąć wielokrotnego oceniania zrównoważenia środowiskowego surowców, produktów pośrednich</w:t>
      </w:r>
      <w:r w:rsidR="00DD1DFA" w:rsidRPr="00DD1DFA">
        <w:rPr>
          <w:noProof/>
        </w:rPr>
        <w:t xml:space="preserve"> i</w:t>
      </w:r>
      <w:r w:rsidR="00DD1DFA">
        <w:rPr>
          <w:noProof/>
        </w:rPr>
        <w:t> </w:t>
      </w:r>
      <w:r w:rsidR="00DD1DFA" w:rsidRPr="00DD1DFA">
        <w:rPr>
          <w:noProof/>
        </w:rPr>
        <w:t>pro</w:t>
      </w:r>
      <w:r w:rsidR="00181517" w:rsidRPr="00DD1DFA">
        <w:rPr>
          <w:noProof/>
        </w:rPr>
        <w:t>duktów końcowych.</w:t>
      </w:r>
    </w:p>
    <w:p w14:paraId="04300406" w14:textId="0E9A1C76" w:rsidR="00181517" w:rsidRPr="00DD1DFA" w:rsidRDefault="005F7EFA" w:rsidP="005F7EFA">
      <w:pPr>
        <w:pStyle w:val="ManualConsidrant"/>
        <w:rPr>
          <w:noProof/>
        </w:rPr>
      </w:pPr>
      <w:r w:rsidRPr="005F7EFA">
        <w:t>(74)</w:t>
      </w:r>
      <w:r w:rsidRPr="005F7EFA">
        <w:tab/>
      </w:r>
      <w:r w:rsidR="00181517" w:rsidRPr="00DD1DFA">
        <w:rPr>
          <w:noProof/>
        </w:rPr>
        <w:t>Aby zagwarantować pewność prawa</w:t>
      </w:r>
      <w:r w:rsidR="00DD1DFA" w:rsidRPr="00DD1DFA">
        <w:rPr>
          <w:noProof/>
        </w:rPr>
        <w:t xml:space="preserve"> w</w:t>
      </w:r>
      <w:r w:rsidR="00DD1DFA">
        <w:rPr>
          <w:noProof/>
        </w:rPr>
        <w:t> </w:t>
      </w:r>
      <w:r w:rsidR="00DD1DFA" w:rsidRPr="00DD1DFA">
        <w:rPr>
          <w:noProof/>
        </w:rPr>
        <w:t>prz</w:t>
      </w:r>
      <w:r w:rsidR="00181517" w:rsidRPr="00DD1DFA">
        <w:rPr>
          <w:noProof/>
        </w:rPr>
        <w:t>ypadku problemów związanych</w:t>
      </w:r>
      <w:r w:rsidR="00DD1DFA" w:rsidRPr="00DD1DFA">
        <w:rPr>
          <w:noProof/>
        </w:rPr>
        <w:t xml:space="preserve"> z</w:t>
      </w:r>
      <w:r w:rsidR="00DD1DFA">
        <w:rPr>
          <w:noProof/>
        </w:rPr>
        <w:t> </w:t>
      </w:r>
      <w:r w:rsidR="00DD1DFA" w:rsidRPr="00DD1DFA">
        <w:rPr>
          <w:noProof/>
        </w:rPr>
        <w:t>bez</w:t>
      </w:r>
      <w:r w:rsidR="00181517" w:rsidRPr="00DD1DFA">
        <w:rPr>
          <w:noProof/>
        </w:rPr>
        <w:t>pieczeństwem lub właściwościami użytkowymi, na takie uznanie należy zezwolić tylko wtedy, gdy zarówno dwa zaangażowane podmioty gospodarcze, jak</w:t>
      </w:r>
      <w:r w:rsidR="00DD1DFA" w:rsidRPr="00DD1DFA">
        <w:rPr>
          <w:noProof/>
        </w:rPr>
        <w:t xml:space="preserve"> i</w:t>
      </w:r>
      <w:r w:rsidR="00DD1DFA">
        <w:rPr>
          <w:noProof/>
        </w:rPr>
        <w:t> </w:t>
      </w:r>
      <w:r w:rsidR="00DD1DFA" w:rsidRPr="00DD1DFA">
        <w:rPr>
          <w:noProof/>
        </w:rPr>
        <w:t>dwi</w:t>
      </w:r>
      <w:r w:rsidR="00181517" w:rsidRPr="00DD1DFA">
        <w:rPr>
          <w:noProof/>
        </w:rPr>
        <w:t>e zaangażowane jednostki notyfikowane zobowiążą się do współpracy,</w:t>
      </w:r>
      <w:r w:rsidR="00DD1DFA" w:rsidRPr="00DD1DFA">
        <w:rPr>
          <w:noProof/>
        </w:rPr>
        <w:t xml:space="preserve"> a</w:t>
      </w:r>
      <w:r w:rsidR="00DD1DFA">
        <w:rPr>
          <w:noProof/>
        </w:rPr>
        <w:t> </w:t>
      </w:r>
      <w:r w:rsidR="00DD1DFA" w:rsidRPr="00DD1DFA">
        <w:rPr>
          <w:noProof/>
        </w:rPr>
        <w:t>pod</w:t>
      </w:r>
      <w:r w:rsidR="00181517" w:rsidRPr="00DD1DFA">
        <w:rPr>
          <w:noProof/>
        </w:rPr>
        <w:t>miot gospodarczy uzyskujący certyfikację będzie sprawował kontrolę techniczną nad danym wyrobem.</w:t>
      </w:r>
    </w:p>
    <w:p w14:paraId="41171DB1" w14:textId="69F59D22" w:rsidR="00181517" w:rsidRPr="00DD1DFA" w:rsidRDefault="005F7EFA" w:rsidP="005F7EFA">
      <w:pPr>
        <w:pStyle w:val="ManualConsidrant"/>
        <w:rPr>
          <w:noProof/>
        </w:rPr>
      </w:pPr>
      <w:r w:rsidRPr="005F7EFA">
        <w:t>(75)</w:t>
      </w:r>
      <w:r w:rsidRPr="005F7EFA">
        <w:tab/>
      </w:r>
      <w:r w:rsidR="00181517" w:rsidRPr="00DD1DFA">
        <w:rPr>
          <w:noProof/>
        </w:rPr>
        <w:t>Ocena rozporządzenia (UE) nr</w:t>
      </w:r>
      <w:r w:rsidR="00DD1DFA" w:rsidRPr="00DD1DFA">
        <w:rPr>
          <w:noProof/>
        </w:rPr>
        <w:t> </w:t>
      </w:r>
      <w:r w:rsidR="00181517" w:rsidRPr="00DD1DFA">
        <w:rPr>
          <w:noProof/>
        </w:rPr>
        <w:t>305/2011 wykazała, że działania</w:t>
      </w:r>
      <w:r w:rsidR="00DD1DFA" w:rsidRPr="00DD1DFA">
        <w:rPr>
          <w:noProof/>
        </w:rPr>
        <w:t xml:space="preserve"> w</w:t>
      </w:r>
      <w:r w:rsidR="00DD1DFA">
        <w:rPr>
          <w:noProof/>
        </w:rPr>
        <w:t> </w:t>
      </w:r>
      <w:r w:rsidR="00DD1DFA" w:rsidRPr="00DD1DFA">
        <w:rPr>
          <w:noProof/>
        </w:rPr>
        <w:t>zak</w:t>
      </w:r>
      <w:r w:rsidR="00181517" w:rsidRPr="00DD1DFA">
        <w:rPr>
          <w:noProof/>
        </w:rPr>
        <w:t>resie nadzoru rynku prowadzone na szczeblu krajowym są bardzo zróżnicowane pod względem jakości</w:t>
      </w:r>
      <w:r w:rsidR="00DD1DFA" w:rsidRPr="00DD1DFA">
        <w:rPr>
          <w:noProof/>
        </w:rPr>
        <w:t xml:space="preserve"> i</w:t>
      </w:r>
      <w:r w:rsidR="00DD1DFA">
        <w:rPr>
          <w:noProof/>
        </w:rPr>
        <w:t> </w:t>
      </w:r>
      <w:r w:rsidR="00DD1DFA" w:rsidRPr="00DD1DFA">
        <w:rPr>
          <w:noProof/>
        </w:rPr>
        <w:t>sku</w:t>
      </w:r>
      <w:r w:rsidR="00181517" w:rsidRPr="00DD1DFA">
        <w:rPr>
          <w:noProof/>
        </w:rPr>
        <w:t>teczności. Oprócz zapewnienia środków na rzecz lepszego nadzoru rynku określonych</w:t>
      </w:r>
      <w:r w:rsidR="00DD1DFA" w:rsidRPr="00DD1DFA">
        <w:rPr>
          <w:noProof/>
        </w:rPr>
        <w:t xml:space="preserve"> w</w:t>
      </w:r>
      <w:r w:rsidR="00DD1DFA">
        <w:rPr>
          <w:noProof/>
        </w:rPr>
        <w:t> </w:t>
      </w:r>
      <w:r w:rsidR="00DD1DFA" w:rsidRPr="00DD1DFA">
        <w:rPr>
          <w:noProof/>
        </w:rPr>
        <w:t>nin</w:t>
      </w:r>
      <w:r w:rsidR="00181517" w:rsidRPr="00DD1DFA">
        <w:rPr>
          <w:noProof/>
        </w:rPr>
        <w:t>iejszym rozporządzeniu, należy ułatwić zapewnienie zgodności podmiotów gospodarczych, jednostek</w:t>
      </w:r>
      <w:r w:rsidR="00DD1DFA" w:rsidRPr="00DD1DFA">
        <w:rPr>
          <w:noProof/>
        </w:rPr>
        <w:t xml:space="preserve"> i</w:t>
      </w:r>
      <w:r w:rsidR="00DD1DFA">
        <w:rPr>
          <w:noProof/>
        </w:rPr>
        <w:t> </w:t>
      </w:r>
      <w:r w:rsidR="00DD1DFA" w:rsidRPr="00DD1DFA">
        <w:rPr>
          <w:noProof/>
        </w:rPr>
        <w:t>wyr</w:t>
      </w:r>
      <w:r w:rsidR="00181517" w:rsidRPr="00DD1DFA">
        <w:rPr>
          <w:noProof/>
        </w:rPr>
        <w:t>obów</w:t>
      </w:r>
      <w:r w:rsidR="00DD1DFA" w:rsidRPr="00DD1DFA">
        <w:rPr>
          <w:noProof/>
        </w:rPr>
        <w:t xml:space="preserve"> z</w:t>
      </w:r>
      <w:r w:rsidR="00DD1DFA">
        <w:rPr>
          <w:noProof/>
        </w:rPr>
        <w:t> </w:t>
      </w:r>
      <w:r w:rsidR="00DD1DFA" w:rsidRPr="00DD1DFA">
        <w:rPr>
          <w:noProof/>
        </w:rPr>
        <w:t>nin</w:t>
      </w:r>
      <w:r w:rsidR="00181517" w:rsidRPr="00DD1DFA">
        <w:rPr>
          <w:noProof/>
        </w:rPr>
        <w:t>iejszym rozporządzeniem, również poprzez zaangażowanie osób trzecich, np. umożliwiając każdej osobie fizycznej lub prawnej przekazywanie informacji</w:t>
      </w:r>
      <w:r w:rsidR="00DD1DFA" w:rsidRPr="00DD1DFA">
        <w:rPr>
          <w:noProof/>
        </w:rPr>
        <w:t xml:space="preserve"> o</w:t>
      </w:r>
      <w:r w:rsidR="00DD1DFA">
        <w:rPr>
          <w:noProof/>
        </w:rPr>
        <w:t> </w:t>
      </w:r>
      <w:r w:rsidR="00DD1DFA" w:rsidRPr="00DD1DFA">
        <w:rPr>
          <w:noProof/>
        </w:rPr>
        <w:t>ewe</w:t>
      </w:r>
      <w:r w:rsidR="00181517" w:rsidRPr="00DD1DFA">
        <w:rPr>
          <w:noProof/>
        </w:rPr>
        <w:t>ntualnych niezgodnościach za pośrednictwem portalu wnoszenia skarg.</w:t>
      </w:r>
    </w:p>
    <w:p w14:paraId="2EDADC07" w14:textId="60DF1A02" w:rsidR="00181517" w:rsidRPr="00DD1DFA" w:rsidRDefault="005F7EFA" w:rsidP="005F7EFA">
      <w:pPr>
        <w:pStyle w:val="ManualConsidrant"/>
        <w:rPr>
          <w:noProof/>
        </w:rPr>
      </w:pPr>
      <w:r w:rsidRPr="005F7EFA">
        <w:t>(76)</w:t>
      </w:r>
      <w:r w:rsidRPr="005F7EFA">
        <w:tab/>
      </w:r>
      <w:r w:rsidR="00181517" w:rsidRPr="00DD1DFA">
        <w:rPr>
          <w:noProof/>
        </w:rPr>
        <w:t>Aby usunąć stwierdzone uchybienia</w:t>
      </w:r>
      <w:r w:rsidR="00DD1DFA" w:rsidRPr="00DD1DFA">
        <w:rPr>
          <w:noProof/>
        </w:rPr>
        <w:t xml:space="preserve"> w</w:t>
      </w:r>
      <w:r w:rsidR="00DD1DFA">
        <w:rPr>
          <w:noProof/>
        </w:rPr>
        <w:t> </w:t>
      </w:r>
      <w:r w:rsidR="00DD1DFA" w:rsidRPr="00DD1DFA">
        <w:rPr>
          <w:noProof/>
        </w:rPr>
        <w:t>zak</w:t>
      </w:r>
      <w:r w:rsidR="00181517" w:rsidRPr="00DD1DFA">
        <w:rPr>
          <w:noProof/>
        </w:rPr>
        <w:t>resie nadzoru rynku,</w:t>
      </w:r>
      <w:r w:rsidR="00DD1DFA" w:rsidRPr="00DD1DFA">
        <w:rPr>
          <w:noProof/>
        </w:rPr>
        <w:t xml:space="preserve"> o</w:t>
      </w:r>
      <w:r w:rsidR="00DD1DFA">
        <w:rPr>
          <w:noProof/>
        </w:rPr>
        <w:t> </w:t>
      </w:r>
      <w:r w:rsidR="00DD1DFA" w:rsidRPr="00DD1DFA">
        <w:rPr>
          <w:noProof/>
        </w:rPr>
        <w:t>któ</w:t>
      </w:r>
      <w:r w:rsidR="00181517" w:rsidRPr="00DD1DFA">
        <w:rPr>
          <w:noProof/>
        </w:rPr>
        <w:t>rych mowa</w:t>
      </w:r>
      <w:r w:rsidR="00DD1DFA" w:rsidRPr="00DD1DFA">
        <w:rPr>
          <w:noProof/>
        </w:rPr>
        <w:t xml:space="preserve"> w</w:t>
      </w:r>
      <w:r w:rsidR="00DD1DFA">
        <w:rPr>
          <w:noProof/>
        </w:rPr>
        <w:t> </w:t>
      </w:r>
      <w:r w:rsidR="00DD1DFA" w:rsidRPr="00DD1DFA">
        <w:rPr>
          <w:noProof/>
        </w:rPr>
        <w:t>roz</w:t>
      </w:r>
      <w:r w:rsidR="00181517" w:rsidRPr="00DD1DFA">
        <w:rPr>
          <w:noProof/>
        </w:rPr>
        <w:t>porządzeniu (UE) nr</w:t>
      </w:r>
      <w:r w:rsidR="00DD1DFA" w:rsidRPr="00DD1DFA">
        <w:rPr>
          <w:noProof/>
        </w:rPr>
        <w:t> </w:t>
      </w:r>
      <w:r w:rsidR="00181517" w:rsidRPr="00DD1DFA">
        <w:rPr>
          <w:noProof/>
        </w:rPr>
        <w:t>305/2011, niniejsze rozporządzenie powinno zawierać więcej uprawnień dla organów państw członkowskich</w:t>
      </w:r>
      <w:r w:rsidR="00DD1DFA" w:rsidRPr="00DD1DFA">
        <w:rPr>
          <w:noProof/>
        </w:rPr>
        <w:t xml:space="preserve"> i</w:t>
      </w:r>
      <w:r w:rsidR="00DD1DFA">
        <w:rPr>
          <w:noProof/>
        </w:rPr>
        <w:t> </w:t>
      </w:r>
      <w:r w:rsidR="00DD1DFA" w:rsidRPr="00DD1DFA">
        <w:rPr>
          <w:noProof/>
        </w:rPr>
        <w:t>Kom</w:t>
      </w:r>
      <w:r w:rsidR="00181517" w:rsidRPr="00DD1DFA">
        <w:rPr>
          <w:noProof/>
        </w:rPr>
        <w:t>isji, które powinny umożliwić organom działanie we wszystkich potencjalnie problematycznych okolicznościach.</w:t>
      </w:r>
    </w:p>
    <w:p w14:paraId="1D37D262" w14:textId="044186DA" w:rsidR="00181517" w:rsidRPr="00DD1DFA" w:rsidRDefault="005F7EFA" w:rsidP="005F7EFA">
      <w:pPr>
        <w:pStyle w:val="ManualConsidrant"/>
        <w:rPr>
          <w:noProof/>
        </w:rPr>
      </w:pPr>
      <w:r w:rsidRPr="005F7EFA">
        <w:t>(77)</w:t>
      </w:r>
      <w:r w:rsidRPr="005F7EFA">
        <w:tab/>
      </w:r>
      <w:r w:rsidR="00181517" w:rsidRPr="00DD1DFA">
        <w:rPr>
          <w:noProof/>
        </w:rPr>
        <w:t>Praktyka nadzoru rynku dowiodła, że podczas oceny wyrobów</w:t>
      </w:r>
      <w:r w:rsidR="00DD1DFA" w:rsidRPr="00DD1DFA">
        <w:rPr>
          <w:noProof/>
        </w:rPr>
        <w:t xml:space="preserve"> w</w:t>
      </w:r>
      <w:r w:rsidR="00DD1DFA">
        <w:rPr>
          <w:noProof/>
        </w:rPr>
        <w:t> </w:t>
      </w:r>
      <w:r w:rsidR="00DD1DFA" w:rsidRPr="00DD1DFA">
        <w:rPr>
          <w:noProof/>
        </w:rPr>
        <w:t>pew</w:t>
      </w:r>
      <w:r w:rsidR="00181517" w:rsidRPr="00DD1DFA">
        <w:rPr>
          <w:noProof/>
        </w:rPr>
        <w:t>nym momencie istnieje ryzyko niezgodności, ale niezgodność ta nie występuje, natomiast</w:t>
      </w:r>
      <w:r w:rsidR="00DD1DFA" w:rsidRPr="00DD1DFA">
        <w:rPr>
          <w:noProof/>
        </w:rPr>
        <w:t xml:space="preserve"> w</w:t>
      </w:r>
      <w:r w:rsidR="00DD1DFA">
        <w:rPr>
          <w:noProof/>
        </w:rPr>
        <w:t> </w:t>
      </w:r>
      <w:r w:rsidR="00DD1DFA" w:rsidRPr="00DD1DFA">
        <w:rPr>
          <w:noProof/>
        </w:rPr>
        <w:t>póź</w:t>
      </w:r>
      <w:r w:rsidR="00181517" w:rsidRPr="00DD1DFA">
        <w:rPr>
          <w:noProof/>
        </w:rPr>
        <w:t>niejszym okresie należy stwierdzić coś przeciwnego. Ponadto zdarzają się sytuacje,</w:t>
      </w:r>
      <w:r w:rsidR="00DD1DFA" w:rsidRPr="00DD1DFA">
        <w:rPr>
          <w:noProof/>
        </w:rPr>
        <w:t xml:space="preserve"> w</w:t>
      </w:r>
      <w:r w:rsidR="00DD1DFA">
        <w:rPr>
          <w:noProof/>
        </w:rPr>
        <w:t> </w:t>
      </w:r>
      <w:r w:rsidR="00DD1DFA" w:rsidRPr="00DD1DFA">
        <w:rPr>
          <w:noProof/>
        </w:rPr>
        <w:t>któ</w:t>
      </w:r>
      <w:r w:rsidR="00181517" w:rsidRPr="00DD1DFA">
        <w:rPr>
          <w:noProof/>
        </w:rPr>
        <w:t>rych niezgodność inna niż formalna nie powoduje powstania ryzyka</w:t>
      </w:r>
      <w:r w:rsidR="00DD1DFA" w:rsidRPr="00DD1DFA">
        <w:rPr>
          <w:noProof/>
        </w:rPr>
        <w:t>. Z</w:t>
      </w:r>
      <w:r w:rsidR="00DD1DFA">
        <w:rPr>
          <w:noProof/>
        </w:rPr>
        <w:t> </w:t>
      </w:r>
      <w:r w:rsidR="00DD1DFA" w:rsidRPr="00DD1DFA">
        <w:rPr>
          <w:noProof/>
        </w:rPr>
        <w:t>tyc</w:t>
      </w:r>
      <w:r w:rsidR="00181517" w:rsidRPr="00DD1DFA">
        <w:rPr>
          <w:noProof/>
        </w:rPr>
        <w:t>h powodów państwa członkowskie powinny posiadać uprawnienia do podejmowania działań we wszystkich przypadkach podejrzenia niezgodności lub ryzyka,</w:t>
      </w:r>
      <w:r w:rsidR="00DD1DFA" w:rsidRPr="00DD1DFA">
        <w:rPr>
          <w:noProof/>
        </w:rPr>
        <w:t xml:space="preserve"> a</w:t>
      </w:r>
      <w:r w:rsidR="00DD1DFA">
        <w:rPr>
          <w:noProof/>
        </w:rPr>
        <w:t> </w:t>
      </w:r>
      <w:r w:rsidR="00DD1DFA" w:rsidRPr="00DD1DFA">
        <w:rPr>
          <w:noProof/>
        </w:rPr>
        <w:t>def</w:t>
      </w:r>
      <w:r w:rsidR="00181517" w:rsidRPr="00DD1DFA">
        <w:rPr>
          <w:noProof/>
        </w:rPr>
        <w:t>inicję „wyrobu stwarzającego ryzyko” należy rozszerzyć, tak aby obejmowała ryzyko dla środowiska. Państwom członkowskim należy zapewnić wystarczającą swobodę proceduralną, aby mogły one rozróżniać przypadki niezgodności</w:t>
      </w:r>
      <w:r w:rsidR="00DD1DFA" w:rsidRPr="00DD1DFA">
        <w:rPr>
          <w:noProof/>
        </w:rPr>
        <w:t xml:space="preserve"> o</w:t>
      </w:r>
      <w:r w:rsidR="00DD1DFA">
        <w:rPr>
          <w:noProof/>
        </w:rPr>
        <w:t> </w:t>
      </w:r>
      <w:r w:rsidR="00DD1DFA" w:rsidRPr="00DD1DFA">
        <w:rPr>
          <w:noProof/>
        </w:rPr>
        <w:t>wys</w:t>
      </w:r>
      <w:r w:rsidR="00181517" w:rsidRPr="00DD1DFA">
        <w:rPr>
          <w:noProof/>
        </w:rPr>
        <w:t>okim</w:t>
      </w:r>
      <w:r w:rsidR="00DD1DFA" w:rsidRPr="00DD1DFA">
        <w:rPr>
          <w:noProof/>
        </w:rPr>
        <w:t xml:space="preserve"> i</w:t>
      </w:r>
      <w:r w:rsidR="00DD1DFA">
        <w:rPr>
          <w:noProof/>
        </w:rPr>
        <w:t> </w:t>
      </w:r>
      <w:r w:rsidR="00DD1DFA" w:rsidRPr="00DD1DFA">
        <w:rPr>
          <w:noProof/>
        </w:rPr>
        <w:t>nis</w:t>
      </w:r>
      <w:r w:rsidR="00181517" w:rsidRPr="00DD1DFA">
        <w:rPr>
          <w:noProof/>
        </w:rPr>
        <w:t>kim priorytecie, przy czym wszystkie państwa członkowskie należy również informować</w:t>
      </w:r>
      <w:r w:rsidR="00DD1DFA" w:rsidRPr="00DD1DFA">
        <w:rPr>
          <w:noProof/>
        </w:rPr>
        <w:t xml:space="preserve"> o</w:t>
      </w:r>
      <w:r w:rsidR="00DD1DFA">
        <w:rPr>
          <w:noProof/>
        </w:rPr>
        <w:t> </w:t>
      </w:r>
      <w:r w:rsidR="00DD1DFA" w:rsidRPr="00DD1DFA">
        <w:rPr>
          <w:noProof/>
        </w:rPr>
        <w:t>mni</w:t>
      </w:r>
      <w:r w:rsidR="00181517" w:rsidRPr="00DD1DFA">
        <w:rPr>
          <w:noProof/>
        </w:rPr>
        <w:t>ej ważnych przypadkach.</w:t>
      </w:r>
    </w:p>
    <w:p w14:paraId="018ECB47" w14:textId="498B68D5" w:rsidR="00181517" w:rsidRPr="00DD1DFA" w:rsidRDefault="005F7EFA" w:rsidP="005F7EFA">
      <w:pPr>
        <w:pStyle w:val="ManualConsidrant"/>
        <w:rPr>
          <w:noProof/>
        </w:rPr>
      </w:pPr>
      <w:r w:rsidRPr="005F7EFA">
        <w:t>(78)</w:t>
      </w:r>
      <w:r w:rsidRPr="005F7EFA">
        <w:tab/>
      </w:r>
      <w:r w:rsidR="00181517" w:rsidRPr="00DD1DFA">
        <w:rPr>
          <w:noProof/>
        </w:rPr>
        <w:t>Aby zapewnić skuteczne egzekwowanie wymogów</w:t>
      </w:r>
      <w:r w:rsidR="00DD1DFA" w:rsidRPr="00DD1DFA">
        <w:rPr>
          <w:noProof/>
        </w:rPr>
        <w:t xml:space="preserve"> i</w:t>
      </w:r>
      <w:r w:rsidR="00DD1DFA">
        <w:rPr>
          <w:noProof/>
        </w:rPr>
        <w:t> </w:t>
      </w:r>
      <w:r w:rsidR="00DD1DFA" w:rsidRPr="00DD1DFA">
        <w:rPr>
          <w:noProof/>
        </w:rPr>
        <w:t>zao</w:t>
      </w:r>
      <w:r w:rsidR="00181517" w:rsidRPr="00DD1DFA">
        <w:rPr>
          <w:noProof/>
        </w:rPr>
        <w:t>strzyć nadzór rynku</w:t>
      </w:r>
      <w:r w:rsidR="00DD1DFA" w:rsidRPr="00DD1DFA">
        <w:rPr>
          <w:noProof/>
        </w:rPr>
        <w:t xml:space="preserve"> w</w:t>
      </w:r>
      <w:r w:rsidR="00DD1DFA">
        <w:rPr>
          <w:noProof/>
        </w:rPr>
        <w:t> </w:t>
      </w:r>
      <w:r w:rsidR="00DD1DFA" w:rsidRPr="00DD1DFA">
        <w:rPr>
          <w:noProof/>
        </w:rPr>
        <w:t>pań</w:t>
      </w:r>
      <w:r w:rsidR="00181517" w:rsidRPr="00DD1DFA">
        <w:rPr>
          <w:noProof/>
        </w:rPr>
        <w:t>stwach członkowskich,</w:t>
      </w:r>
      <w:r w:rsidR="00DD1DFA" w:rsidRPr="00DD1DFA">
        <w:rPr>
          <w:noProof/>
        </w:rPr>
        <w:t xml:space="preserve"> a</w:t>
      </w:r>
      <w:r w:rsidR="00DD1DFA">
        <w:rPr>
          <w:noProof/>
        </w:rPr>
        <w:t> </w:t>
      </w:r>
      <w:r w:rsidR="00DD1DFA" w:rsidRPr="00DD1DFA">
        <w:rPr>
          <w:noProof/>
        </w:rPr>
        <w:t>tak</w:t>
      </w:r>
      <w:r w:rsidR="00181517" w:rsidRPr="00DD1DFA">
        <w:rPr>
          <w:noProof/>
        </w:rPr>
        <w:t>że zapewnić zgodność</w:t>
      </w:r>
      <w:r w:rsidR="00DD1DFA" w:rsidRPr="00DD1DFA">
        <w:rPr>
          <w:noProof/>
        </w:rPr>
        <w:t xml:space="preserve"> z</w:t>
      </w:r>
      <w:r w:rsidR="00DD1DFA">
        <w:rPr>
          <w:noProof/>
        </w:rPr>
        <w:t> </w:t>
      </w:r>
      <w:r w:rsidR="00DD1DFA" w:rsidRPr="00DD1DFA">
        <w:rPr>
          <w:noProof/>
        </w:rPr>
        <w:t>prz</w:t>
      </w:r>
      <w:r w:rsidR="00181517" w:rsidRPr="00DD1DFA">
        <w:rPr>
          <w:noProof/>
        </w:rPr>
        <w:t>episami rozporządzenia</w:t>
      </w:r>
      <w:r w:rsidR="00DD1DFA" w:rsidRPr="00DD1DFA">
        <w:rPr>
          <w:noProof/>
        </w:rPr>
        <w:t xml:space="preserve"> w</w:t>
      </w:r>
      <w:r w:rsidR="00DD1DFA">
        <w:rPr>
          <w:noProof/>
        </w:rPr>
        <w:t> </w:t>
      </w:r>
      <w:r w:rsidR="00DD1DFA" w:rsidRPr="00DD1DFA">
        <w:rPr>
          <w:noProof/>
        </w:rPr>
        <w:t>spr</w:t>
      </w:r>
      <w:r w:rsidR="00181517" w:rsidRPr="00DD1DFA">
        <w:rPr>
          <w:noProof/>
        </w:rPr>
        <w:t>awie ekoprojektu dla zrównoważonych produktów, należy przekazać Komisji uprawnienia do przyjęcia aktów zgodnie</w:t>
      </w:r>
      <w:r w:rsidR="00DD1DFA" w:rsidRPr="00DD1DFA">
        <w:rPr>
          <w:noProof/>
        </w:rPr>
        <w:t xml:space="preserve"> z</w:t>
      </w:r>
      <w:r w:rsidR="00DD1DFA">
        <w:rPr>
          <w:noProof/>
        </w:rPr>
        <w:t> </w:t>
      </w:r>
      <w:r w:rsidR="00DD1DFA" w:rsidRPr="00DD1DFA">
        <w:rPr>
          <w:noProof/>
        </w:rPr>
        <w:t>art</w:t>
      </w:r>
      <w:r w:rsidR="00181517" w:rsidRPr="00DD1DFA">
        <w:rPr>
          <w:noProof/>
        </w:rPr>
        <w:t>.</w:t>
      </w:r>
      <w:r w:rsidR="00DD1DFA" w:rsidRPr="00DD1DFA">
        <w:rPr>
          <w:noProof/>
        </w:rPr>
        <w:t> </w:t>
      </w:r>
      <w:r w:rsidR="00181517" w:rsidRPr="00DD1DFA">
        <w:rPr>
          <w:noProof/>
        </w:rPr>
        <w:t>290 TFUE</w:t>
      </w:r>
      <w:r w:rsidR="00DD1DFA" w:rsidRPr="00DD1DFA">
        <w:rPr>
          <w:noProof/>
        </w:rPr>
        <w:t xml:space="preserve"> w</w:t>
      </w:r>
      <w:r w:rsidR="00DD1DFA">
        <w:rPr>
          <w:noProof/>
        </w:rPr>
        <w:t> </w:t>
      </w:r>
      <w:r w:rsidR="00DD1DFA" w:rsidRPr="00DD1DFA">
        <w:rPr>
          <w:noProof/>
        </w:rPr>
        <w:t>cel</w:t>
      </w:r>
      <w:r w:rsidR="00181517" w:rsidRPr="00DD1DFA">
        <w:rPr>
          <w:noProof/>
        </w:rPr>
        <w:t>u określenia minimalnej liczby kontroli, które mają być przeprowadzane przez organy nadzoru rynku</w:t>
      </w:r>
      <w:r w:rsidR="00DD1DFA" w:rsidRPr="00DD1DFA">
        <w:rPr>
          <w:noProof/>
        </w:rPr>
        <w:t xml:space="preserve"> w</w:t>
      </w:r>
      <w:r w:rsidR="00DD1DFA">
        <w:rPr>
          <w:noProof/>
        </w:rPr>
        <w:t> </w:t>
      </w:r>
      <w:r w:rsidR="00DD1DFA" w:rsidRPr="00DD1DFA">
        <w:rPr>
          <w:noProof/>
        </w:rPr>
        <w:t>odn</w:t>
      </w:r>
      <w:r w:rsidR="00181517" w:rsidRPr="00DD1DFA">
        <w:rPr>
          <w:noProof/>
        </w:rPr>
        <w:t>iesieniu do poszczególnych grup lub rodzin wyrobów lub</w:t>
      </w:r>
      <w:r w:rsidR="00DD1DFA" w:rsidRPr="00DD1DFA">
        <w:rPr>
          <w:noProof/>
        </w:rPr>
        <w:t xml:space="preserve">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okr</w:t>
      </w:r>
      <w:r w:rsidR="00181517" w:rsidRPr="00DD1DFA">
        <w:rPr>
          <w:noProof/>
        </w:rPr>
        <w:t>eślonymi wymogami oraz</w:t>
      </w:r>
      <w:r w:rsidR="00DD1DFA" w:rsidRPr="00DD1DFA">
        <w:rPr>
          <w:noProof/>
        </w:rPr>
        <w:t xml:space="preserve"> w</w:t>
      </w:r>
      <w:r w:rsidR="00DD1DFA">
        <w:rPr>
          <w:noProof/>
        </w:rPr>
        <w:t> </w:t>
      </w:r>
      <w:r w:rsidR="00DD1DFA" w:rsidRPr="00DD1DFA">
        <w:rPr>
          <w:noProof/>
        </w:rPr>
        <w:t>cel</w:t>
      </w:r>
      <w:r w:rsidR="00181517" w:rsidRPr="00DD1DFA">
        <w:rPr>
          <w:noProof/>
        </w:rPr>
        <w:t xml:space="preserve">u ustanowienia minimalnych wymogów dotyczących zasobów. </w:t>
      </w:r>
    </w:p>
    <w:p w14:paraId="5E1915D1" w14:textId="13BCB57E" w:rsidR="00181517" w:rsidRPr="00DD1DFA" w:rsidRDefault="005F7EFA" w:rsidP="005F7EFA">
      <w:pPr>
        <w:pStyle w:val="ManualConsidrant"/>
        <w:rPr>
          <w:noProof/>
        </w:rPr>
      </w:pPr>
      <w:r w:rsidRPr="005F7EFA">
        <w:t>(79)</w:t>
      </w:r>
      <w:r w:rsidRPr="005F7EFA">
        <w:tab/>
      </w:r>
      <w:r w:rsidR="00181517" w:rsidRPr="00DD1DFA">
        <w:rPr>
          <w:noProof/>
        </w:rPr>
        <w:t>Ponadto, aby poprawić przeciętnie niewielki potencjał organów nadzoru rynku</w:t>
      </w:r>
      <w:r w:rsidR="00DD1DFA" w:rsidRPr="00DD1DFA">
        <w:rPr>
          <w:noProof/>
        </w:rPr>
        <w:t xml:space="preserve"> w</w:t>
      </w:r>
      <w:r w:rsidR="00DD1DFA">
        <w:rPr>
          <w:noProof/>
        </w:rPr>
        <w:t> </w:t>
      </w:r>
      <w:r w:rsidR="00DD1DFA" w:rsidRPr="00DD1DFA">
        <w:rPr>
          <w:noProof/>
        </w:rPr>
        <w:t>zak</w:t>
      </w:r>
      <w:r w:rsidR="00181517" w:rsidRPr="00DD1DFA">
        <w:rPr>
          <w:noProof/>
        </w:rPr>
        <w:t>resie nadzoru rynku</w:t>
      </w:r>
      <w:r w:rsidR="00DD1DFA" w:rsidRPr="00DD1DFA">
        <w:rPr>
          <w:noProof/>
        </w:rPr>
        <w:t xml:space="preserve"> i</w:t>
      </w:r>
      <w:r w:rsidR="00DD1DFA">
        <w:rPr>
          <w:noProof/>
        </w:rPr>
        <w:t> </w:t>
      </w:r>
      <w:r w:rsidR="00DD1DFA" w:rsidRPr="00DD1DFA">
        <w:rPr>
          <w:noProof/>
        </w:rPr>
        <w:t>zap</w:t>
      </w:r>
      <w:r w:rsidR="00181517" w:rsidRPr="00DD1DFA">
        <w:rPr>
          <w:noProof/>
        </w:rPr>
        <w:t>ewnić większą zgodność</w:t>
      </w:r>
      <w:r w:rsidR="00DD1DFA" w:rsidRPr="00DD1DFA">
        <w:rPr>
          <w:noProof/>
        </w:rPr>
        <w:t xml:space="preserve"> z</w:t>
      </w:r>
      <w:r w:rsidR="00DD1DFA">
        <w:rPr>
          <w:noProof/>
        </w:rPr>
        <w:t> </w:t>
      </w:r>
      <w:r w:rsidR="00DD1DFA" w:rsidRPr="00DD1DFA">
        <w:rPr>
          <w:noProof/>
        </w:rPr>
        <w:t>prz</w:t>
      </w:r>
      <w:r w:rsidR="00181517" w:rsidRPr="00DD1DFA">
        <w:rPr>
          <w:noProof/>
        </w:rPr>
        <w:t>episami rozporządzenia</w:t>
      </w:r>
      <w:r w:rsidR="00DD1DFA" w:rsidRPr="00DD1DFA">
        <w:rPr>
          <w:noProof/>
        </w:rPr>
        <w:t xml:space="preserve"> w</w:t>
      </w:r>
      <w:r w:rsidR="00DD1DFA">
        <w:rPr>
          <w:noProof/>
        </w:rPr>
        <w:t> </w:t>
      </w:r>
      <w:r w:rsidR="00DD1DFA" w:rsidRPr="00DD1DFA">
        <w:rPr>
          <w:noProof/>
        </w:rPr>
        <w:t>spr</w:t>
      </w:r>
      <w:r w:rsidR="00181517" w:rsidRPr="00DD1DFA">
        <w:rPr>
          <w:noProof/>
        </w:rPr>
        <w:t>awie ekoprojektu dla zrównoważonych produktów, należy zapewnić bardziej szczegółowe wsparcie</w:t>
      </w:r>
      <w:r w:rsidR="00DD1DFA" w:rsidRPr="00DD1DFA">
        <w:rPr>
          <w:noProof/>
        </w:rPr>
        <w:t xml:space="preserve"> w</w:t>
      </w:r>
      <w:r w:rsidR="00DD1DFA">
        <w:rPr>
          <w:noProof/>
        </w:rPr>
        <w:t> </w:t>
      </w:r>
      <w:r w:rsidR="00DD1DFA" w:rsidRPr="00DD1DFA">
        <w:rPr>
          <w:noProof/>
        </w:rPr>
        <w:t>zak</w:t>
      </w:r>
      <w:r w:rsidR="00181517" w:rsidRPr="00DD1DFA">
        <w:rPr>
          <w:noProof/>
        </w:rPr>
        <w:t>resie koordynacji administracyjnej oraz przyznać im prawa do dochodzenia od podmiotów gospodarczych zwrotu kosztów kontroli</w:t>
      </w:r>
      <w:r w:rsidR="00DD1DFA" w:rsidRPr="00DD1DFA">
        <w:rPr>
          <w:noProof/>
        </w:rPr>
        <w:t xml:space="preserve"> i</w:t>
      </w:r>
      <w:r w:rsidR="00DD1DFA">
        <w:rPr>
          <w:noProof/>
        </w:rPr>
        <w:t> </w:t>
      </w:r>
      <w:r w:rsidR="00DD1DFA" w:rsidRPr="00DD1DFA">
        <w:rPr>
          <w:noProof/>
        </w:rPr>
        <w:t>bad</w:t>
      </w:r>
      <w:r w:rsidR="00181517" w:rsidRPr="00DD1DFA">
        <w:rPr>
          <w:noProof/>
        </w:rPr>
        <w:t>ań.</w:t>
      </w:r>
    </w:p>
    <w:p w14:paraId="0366E785" w14:textId="72FA9F43" w:rsidR="00181517" w:rsidRPr="00DD1DFA" w:rsidRDefault="005F7EFA" w:rsidP="005F7EFA">
      <w:pPr>
        <w:pStyle w:val="ManualConsidrant"/>
        <w:rPr>
          <w:noProof/>
        </w:rPr>
      </w:pPr>
      <w:r w:rsidRPr="005F7EFA">
        <w:t>(80)</w:t>
      </w:r>
      <w:r w:rsidRPr="005F7EFA">
        <w:tab/>
      </w:r>
      <w:r w:rsidR="00181517" w:rsidRPr="00DD1DFA">
        <w:rPr>
          <w:noProof/>
        </w:rPr>
        <w:t>Aby stworzyć zachętę do zwiększania potencjału organów nadzoru rynku</w:t>
      </w:r>
      <w:r w:rsidR="00DD1DFA" w:rsidRPr="00DD1DFA">
        <w:rPr>
          <w:noProof/>
        </w:rPr>
        <w:t xml:space="preserve"> w</w:t>
      </w:r>
      <w:r w:rsidR="00DD1DFA">
        <w:rPr>
          <w:noProof/>
        </w:rPr>
        <w:t> </w:t>
      </w:r>
      <w:r w:rsidR="00DD1DFA" w:rsidRPr="00DD1DFA">
        <w:rPr>
          <w:noProof/>
        </w:rPr>
        <w:t>zak</w:t>
      </w:r>
      <w:r w:rsidR="00181517" w:rsidRPr="00DD1DFA">
        <w:rPr>
          <w:noProof/>
        </w:rPr>
        <w:t>resie nadzoru rynku oraz zapewnić zgodność</w:t>
      </w:r>
      <w:r w:rsidR="00DD1DFA" w:rsidRPr="00DD1DFA">
        <w:rPr>
          <w:noProof/>
        </w:rPr>
        <w:t xml:space="preserve"> z</w:t>
      </w:r>
      <w:r w:rsidR="00DD1DFA">
        <w:rPr>
          <w:noProof/>
        </w:rPr>
        <w:t> </w:t>
      </w:r>
      <w:r w:rsidR="00DD1DFA" w:rsidRPr="00DD1DFA">
        <w:rPr>
          <w:noProof/>
        </w:rPr>
        <w:t>prz</w:t>
      </w:r>
      <w:r w:rsidR="00181517" w:rsidRPr="00DD1DFA">
        <w:rPr>
          <w:noProof/>
        </w:rPr>
        <w:t>episami rozporządzenia</w:t>
      </w:r>
      <w:r w:rsidR="00DD1DFA" w:rsidRPr="00DD1DFA">
        <w:rPr>
          <w:noProof/>
        </w:rPr>
        <w:t xml:space="preserve"> w</w:t>
      </w:r>
      <w:r w:rsidR="00DD1DFA">
        <w:rPr>
          <w:noProof/>
        </w:rPr>
        <w:t> </w:t>
      </w:r>
      <w:r w:rsidR="00DD1DFA" w:rsidRPr="00DD1DFA">
        <w:rPr>
          <w:noProof/>
        </w:rPr>
        <w:t>spr</w:t>
      </w:r>
      <w:r w:rsidR="00181517" w:rsidRPr="00DD1DFA">
        <w:rPr>
          <w:noProof/>
        </w:rPr>
        <w:t>awie ekoprojektu dla zrównoważonych produktów, państwa członkowskie powinny składać sprawozdania ze swojej działalności</w:t>
      </w:r>
      <w:r w:rsidR="00DD1DFA" w:rsidRPr="00DD1DFA">
        <w:rPr>
          <w:noProof/>
        </w:rPr>
        <w:t xml:space="preserve"> w</w:t>
      </w:r>
      <w:r w:rsidR="00DD1DFA">
        <w:rPr>
          <w:noProof/>
        </w:rPr>
        <w:t> </w:t>
      </w:r>
      <w:r w:rsidR="00DD1DFA" w:rsidRPr="00DD1DFA">
        <w:rPr>
          <w:noProof/>
        </w:rPr>
        <w:t>zak</w:t>
      </w:r>
      <w:r w:rsidR="00181517" w:rsidRPr="00DD1DFA">
        <w:rPr>
          <w:noProof/>
        </w:rPr>
        <w:t>resie nadzoru rynku dotyczącej wyrobów objętych niniejszym rozporządzeniem,</w:t>
      </w:r>
      <w:r w:rsidR="00DD1DFA" w:rsidRPr="00DD1DFA">
        <w:rPr>
          <w:noProof/>
        </w:rPr>
        <w:t xml:space="preserve"> w</w:t>
      </w:r>
      <w:r w:rsidR="00DD1DFA">
        <w:rPr>
          <w:noProof/>
        </w:rPr>
        <w:t> </w:t>
      </w:r>
      <w:r w:rsidR="00DD1DFA" w:rsidRPr="00DD1DFA">
        <w:rPr>
          <w:noProof/>
        </w:rPr>
        <w:t>tym</w:t>
      </w:r>
      <w:r w:rsidR="00181517" w:rsidRPr="00DD1DFA">
        <w:rPr>
          <w:noProof/>
        </w:rPr>
        <w:t xml:space="preserve"> nałożonych sankcji.</w:t>
      </w:r>
    </w:p>
    <w:p w14:paraId="1DCC8A2C" w14:textId="270E846A" w:rsidR="00181517" w:rsidRPr="00DD1DFA" w:rsidRDefault="005F7EFA" w:rsidP="005F7EFA">
      <w:pPr>
        <w:pStyle w:val="ManualConsidrant"/>
        <w:rPr>
          <w:noProof/>
        </w:rPr>
      </w:pPr>
      <w:r w:rsidRPr="005F7EFA">
        <w:t>(81)</w:t>
      </w:r>
      <w:r w:rsidRPr="005F7EFA">
        <w:tab/>
      </w:r>
      <w:r w:rsidR="00181517" w:rsidRPr="00DD1DFA">
        <w:rPr>
          <w:noProof/>
        </w:rPr>
        <w:t>Aby lepiej służyć podmiotom gospodarczym, punkty kontaktowe ds. wyrobów budowlanych powinny stać się bardziej skuteczne</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otrzymać więcej środków. Aby ułatwić pracę podmiotom gospodarczym, należy dopracować</w:t>
      </w:r>
      <w:r w:rsidR="00DD1DFA" w:rsidRPr="00DD1DFA">
        <w:rPr>
          <w:noProof/>
        </w:rPr>
        <w:t xml:space="preserve"> i</w:t>
      </w:r>
      <w:r w:rsidR="00DD1DFA">
        <w:rPr>
          <w:noProof/>
        </w:rPr>
        <w:t> </w:t>
      </w:r>
      <w:r w:rsidR="00DD1DFA" w:rsidRPr="00DD1DFA">
        <w:rPr>
          <w:noProof/>
        </w:rPr>
        <w:t>roz</w:t>
      </w:r>
      <w:r w:rsidR="00181517" w:rsidRPr="00DD1DFA">
        <w:rPr>
          <w:noProof/>
        </w:rPr>
        <w:t>szerzyć zadania punktów kontaktowych ds. wyrobów budowlanych, tak aby obejmowały one informacje na temat przepisów dotyczących wyrobów ustanowionych</w:t>
      </w:r>
      <w:r w:rsidR="00DD1DFA" w:rsidRPr="00DD1DFA">
        <w:rPr>
          <w:noProof/>
        </w:rPr>
        <w:t xml:space="preserve"> w</w:t>
      </w:r>
      <w:r w:rsidR="00DD1DFA">
        <w:rPr>
          <w:noProof/>
        </w:rPr>
        <w:t> </w:t>
      </w:r>
      <w:r w:rsidR="00DD1DFA" w:rsidRPr="00DD1DFA">
        <w:rPr>
          <w:noProof/>
        </w:rPr>
        <w:t>nin</w:t>
      </w:r>
      <w:r w:rsidR="00181517" w:rsidRPr="00DD1DFA">
        <w:rPr>
          <w:noProof/>
        </w:rPr>
        <w:t>iejszym rozporządzeniu</w:t>
      </w:r>
      <w:r w:rsidR="00DD1DFA" w:rsidRPr="00DD1DFA">
        <w:rPr>
          <w:noProof/>
        </w:rPr>
        <w:t xml:space="preserve"> i</w:t>
      </w:r>
      <w:r w:rsidR="00DD1DFA">
        <w:rPr>
          <w:noProof/>
        </w:rPr>
        <w:t> </w:t>
      </w:r>
      <w:r w:rsidR="00DD1DFA" w:rsidRPr="00DD1DFA">
        <w:rPr>
          <w:noProof/>
        </w:rPr>
        <w:t>akt</w:t>
      </w:r>
      <w:r w:rsidR="00181517" w:rsidRPr="00DD1DFA">
        <w:rPr>
          <w:noProof/>
        </w:rPr>
        <w:t>ach przyjętych na jego podstawie.</w:t>
      </w:r>
    </w:p>
    <w:p w14:paraId="4ADD7DF2" w14:textId="298D2699" w:rsidR="00181517" w:rsidRPr="00DD1DFA" w:rsidRDefault="005F7EFA" w:rsidP="005F7EFA">
      <w:pPr>
        <w:pStyle w:val="ManualConsidrant"/>
        <w:rPr>
          <w:noProof/>
        </w:rPr>
      </w:pPr>
      <w:r w:rsidRPr="005F7EFA">
        <w:t>(82)</w:t>
      </w:r>
      <w:r w:rsidRPr="005F7EFA">
        <w:tab/>
      </w:r>
      <w:r w:rsidR="00A90DB7" w:rsidRPr="00DD1DFA">
        <w:rPr>
          <w:noProof/>
        </w:rPr>
        <w:t>Należy ustanowić odpowiedni, skuteczny</w:t>
      </w:r>
      <w:r w:rsidR="00DD1DFA" w:rsidRPr="00DD1DFA">
        <w:rPr>
          <w:noProof/>
        </w:rPr>
        <w:t xml:space="preserve"> i</w:t>
      </w:r>
      <w:r w:rsidR="00DD1DFA">
        <w:rPr>
          <w:noProof/>
        </w:rPr>
        <w:t> </w:t>
      </w:r>
      <w:r w:rsidR="00DD1DFA" w:rsidRPr="00DD1DFA">
        <w:rPr>
          <w:noProof/>
        </w:rPr>
        <w:t>opł</w:t>
      </w:r>
      <w:r w:rsidR="00A90DB7" w:rsidRPr="00DD1DFA">
        <w:rPr>
          <w:noProof/>
        </w:rPr>
        <w:t>acalny mechanizm koordynacji</w:t>
      </w:r>
      <w:r w:rsidR="00DD1DFA" w:rsidRPr="00DD1DFA">
        <w:rPr>
          <w:noProof/>
        </w:rPr>
        <w:t xml:space="preserve"> w</w:t>
      </w:r>
      <w:r w:rsidR="00DD1DFA">
        <w:rPr>
          <w:noProof/>
        </w:rPr>
        <w:t> </w:t>
      </w:r>
      <w:r w:rsidR="00DD1DFA" w:rsidRPr="00DD1DFA">
        <w:rPr>
          <w:noProof/>
        </w:rPr>
        <w:t>cel</w:t>
      </w:r>
      <w:r w:rsidR="00A90DB7" w:rsidRPr="00DD1DFA">
        <w:rPr>
          <w:noProof/>
        </w:rPr>
        <w:t>u zapewnienia spójnego stosowania ustanowionych obowiązków</w:t>
      </w:r>
      <w:r w:rsidR="00DD1DFA" w:rsidRPr="00DD1DFA">
        <w:rPr>
          <w:noProof/>
        </w:rPr>
        <w:t xml:space="preserve"> i</w:t>
      </w:r>
      <w:r w:rsidR="00DD1DFA">
        <w:rPr>
          <w:noProof/>
        </w:rPr>
        <w:t> </w:t>
      </w:r>
      <w:r w:rsidR="00DD1DFA" w:rsidRPr="00DD1DFA">
        <w:rPr>
          <w:noProof/>
        </w:rPr>
        <w:t>wym</w:t>
      </w:r>
      <w:r w:rsidR="00A90DB7" w:rsidRPr="00DD1DFA">
        <w:rPr>
          <w:noProof/>
        </w:rPr>
        <w:t>ogów oraz wzmocnienia całego systemu, biorąc również pod uwagę fakt, że mogą pojawić się nowe kwestie interpretacyjne dotyczące bezpieczeństwa</w:t>
      </w:r>
      <w:r w:rsidR="00DD1DFA" w:rsidRPr="00DD1DFA">
        <w:rPr>
          <w:noProof/>
        </w:rPr>
        <w:t xml:space="preserve"> i</w:t>
      </w:r>
      <w:r w:rsidR="00DD1DFA">
        <w:rPr>
          <w:noProof/>
        </w:rPr>
        <w:t> </w:t>
      </w:r>
      <w:r w:rsidR="00DD1DFA" w:rsidRPr="00DD1DFA">
        <w:rPr>
          <w:noProof/>
        </w:rPr>
        <w:t>zró</w:t>
      </w:r>
      <w:r w:rsidR="00A90DB7" w:rsidRPr="00DD1DFA">
        <w:rPr>
          <w:noProof/>
        </w:rPr>
        <w:t>wnoważoności wyrobów</w:t>
      </w:r>
      <w:r w:rsidR="00DD1DFA" w:rsidRPr="00DD1DFA">
        <w:rPr>
          <w:noProof/>
        </w:rPr>
        <w:t xml:space="preserve"> i</w:t>
      </w:r>
      <w:r w:rsidR="00DD1DFA">
        <w:rPr>
          <w:noProof/>
        </w:rPr>
        <w:t> </w:t>
      </w:r>
      <w:r w:rsidR="00DD1DFA" w:rsidRPr="00DD1DFA">
        <w:rPr>
          <w:noProof/>
        </w:rPr>
        <w:t>obi</w:t>
      </w:r>
      <w:r w:rsidR="00A90DB7" w:rsidRPr="00DD1DFA">
        <w:rPr>
          <w:noProof/>
        </w:rPr>
        <w:t>ektów budowlanych. Ponieważ rozbieżne decyzje stwarzają nierówne szanse, przyczyniają się do większej złożoności ram prawnych, tworzą bariery dla swobodnego przepływu na rynku wewnętrznym oraz dodatkowe obciążenia administracyjne</w:t>
      </w:r>
      <w:r w:rsidR="00DD1DFA" w:rsidRPr="00DD1DFA">
        <w:rPr>
          <w:noProof/>
        </w:rPr>
        <w:t xml:space="preserve"> i</w:t>
      </w:r>
      <w:r w:rsidR="00DD1DFA">
        <w:rPr>
          <w:noProof/>
        </w:rPr>
        <w:t> </w:t>
      </w:r>
      <w:r w:rsidR="00DD1DFA" w:rsidRPr="00DD1DFA">
        <w:rPr>
          <w:noProof/>
        </w:rPr>
        <w:t>kos</w:t>
      </w:r>
      <w:r w:rsidR="00A90DB7" w:rsidRPr="00DD1DFA">
        <w:rPr>
          <w:noProof/>
        </w:rPr>
        <w:t>zty dla podmiotów gospodarczych, należy zapobiegać przyjmowaniu takich rozbieżnych decyzji za pośrednictwem tego mechanizmu koordynacji.</w:t>
      </w:r>
    </w:p>
    <w:p w14:paraId="2E357D17" w14:textId="4A39E182" w:rsidR="00181517" w:rsidRPr="00DD1DFA" w:rsidRDefault="005F7EFA" w:rsidP="005F7EFA">
      <w:pPr>
        <w:pStyle w:val="ManualConsidrant"/>
        <w:rPr>
          <w:noProof/>
        </w:rPr>
      </w:pPr>
      <w:r w:rsidRPr="005F7EFA">
        <w:t>(83)</w:t>
      </w:r>
      <w:r w:rsidRPr="005F7EFA">
        <w:tab/>
      </w:r>
      <w:r w:rsidR="00181517" w:rsidRPr="00DD1DFA">
        <w:rPr>
          <w:noProof/>
        </w:rPr>
        <w:t>W szczególności należy zatem utworzyć europejski system informacji</w:t>
      </w:r>
      <w:r w:rsidR="00DD1DFA" w:rsidRPr="00DD1DFA">
        <w:rPr>
          <w:noProof/>
        </w:rPr>
        <w:t xml:space="preserve"> w</w:t>
      </w:r>
      <w:r w:rsidR="00DD1DFA">
        <w:rPr>
          <w:noProof/>
        </w:rPr>
        <w:t> </w:t>
      </w:r>
      <w:r w:rsidR="00DD1DFA" w:rsidRPr="00DD1DFA">
        <w:rPr>
          <w:noProof/>
        </w:rPr>
        <w:t>cel</w:t>
      </w:r>
      <w:r w:rsidR="00181517" w:rsidRPr="00DD1DFA">
        <w:rPr>
          <w:noProof/>
        </w:rPr>
        <w:t>u gromadzenia zapytań interpretacyjnych, znalezienia odpowiednich wspólnych rozwiązań</w:t>
      </w:r>
      <w:r w:rsidR="00DD1DFA" w:rsidRPr="00DD1DFA">
        <w:rPr>
          <w:noProof/>
        </w:rPr>
        <w:t xml:space="preserve"> i</w:t>
      </w:r>
      <w:r w:rsidR="00DD1DFA">
        <w:rPr>
          <w:noProof/>
        </w:rPr>
        <w:t> </w:t>
      </w:r>
      <w:r w:rsidR="00DD1DFA" w:rsidRPr="00DD1DFA">
        <w:rPr>
          <w:noProof/>
        </w:rPr>
        <w:t>usp</w:t>
      </w:r>
      <w:r w:rsidR="00181517" w:rsidRPr="00DD1DFA">
        <w:rPr>
          <w:noProof/>
        </w:rPr>
        <w:t>rawnienia wymiany informacji</w:t>
      </w:r>
      <w:r w:rsidR="00DD1DFA" w:rsidRPr="00DD1DFA">
        <w:rPr>
          <w:noProof/>
        </w:rPr>
        <w:t xml:space="preserve"> w</w:t>
      </w:r>
      <w:r w:rsidR="00DD1DFA">
        <w:rPr>
          <w:noProof/>
        </w:rPr>
        <w:t> </w:t>
      </w:r>
      <w:r w:rsidR="00DD1DFA" w:rsidRPr="00DD1DFA">
        <w:rPr>
          <w:noProof/>
        </w:rPr>
        <w:t>tym</w:t>
      </w:r>
      <w:r w:rsidR="00181517" w:rsidRPr="00DD1DFA">
        <w:rPr>
          <w:noProof/>
        </w:rPr>
        <w:t xml:space="preserve"> zakresie. Aby ułatwić wymianę informacji, system taki powinien opierać się na systemach krajowych</w:t>
      </w:r>
      <w:r w:rsidR="00DD1DFA" w:rsidRPr="00DD1DFA">
        <w:rPr>
          <w:noProof/>
        </w:rPr>
        <w:t>. W</w:t>
      </w:r>
      <w:r w:rsidR="00DD1DFA">
        <w:rPr>
          <w:noProof/>
        </w:rPr>
        <w:t> </w:t>
      </w:r>
      <w:r w:rsidR="00DD1DFA" w:rsidRPr="00DD1DFA">
        <w:rPr>
          <w:noProof/>
        </w:rPr>
        <w:t>ram</w:t>
      </w:r>
      <w:r w:rsidR="00181517" w:rsidRPr="00DD1DFA">
        <w:rPr>
          <w:noProof/>
        </w:rPr>
        <w:t>ach tych systemów krajowych należy również identyfikować przypadki niejednolitego stosowania niniejszego rozporządzenia, aby zagwarantować, że te rozbieżne praktyki nie staną się powszechne</w:t>
      </w:r>
      <w:r w:rsidR="00DD1DFA" w:rsidRPr="00DD1DFA">
        <w:rPr>
          <w:noProof/>
        </w:rPr>
        <w:t xml:space="preserve"> i</w:t>
      </w:r>
      <w:r w:rsidR="00DD1DFA">
        <w:rPr>
          <w:noProof/>
        </w:rPr>
        <w:t> </w:t>
      </w:r>
      <w:r w:rsidR="00DD1DFA" w:rsidRPr="00DD1DFA">
        <w:rPr>
          <w:noProof/>
        </w:rPr>
        <w:t>trw</w:t>
      </w:r>
      <w:r w:rsidR="00181517" w:rsidRPr="00DD1DFA">
        <w:rPr>
          <w:noProof/>
        </w:rPr>
        <w:t xml:space="preserve">ałe. </w:t>
      </w:r>
    </w:p>
    <w:p w14:paraId="550C9C78" w14:textId="4FC16B30" w:rsidR="00181517" w:rsidRPr="00DD1DFA" w:rsidRDefault="005F7EFA" w:rsidP="005F7EFA">
      <w:pPr>
        <w:pStyle w:val="ManualConsidrant"/>
        <w:rPr>
          <w:noProof/>
        </w:rPr>
      </w:pPr>
      <w:r w:rsidRPr="005F7EFA">
        <w:t>(84)</w:t>
      </w:r>
      <w:r w:rsidRPr="005F7EFA">
        <w:tab/>
      </w:r>
      <w:r w:rsidR="00181517" w:rsidRPr="00DD1DFA">
        <w:rPr>
          <w:noProof/>
        </w:rPr>
        <w:t>Scentralizowana rejestracja informacji na temat wyrobów zapewnia większą przejrzystość</w:t>
      </w:r>
      <w:r w:rsidR="00DD1DFA" w:rsidRPr="00DD1DFA">
        <w:rPr>
          <w:noProof/>
        </w:rPr>
        <w:t xml:space="preserve"> z</w:t>
      </w:r>
      <w:r w:rsidR="00DD1DFA">
        <w:rPr>
          <w:noProof/>
        </w:rPr>
        <w:t> </w:t>
      </w:r>
      <w:r w:rsidR="00DD1DFA" w:rsidRPr="00DD1DFA">
        <w:rPr>
          <w:noProof/>
        </w:rPr>
        <w:t>kor</w:t>
      </w:r>
      <w:r w:rsidR="00181517" w:rsidRPr="00DD1DFA">
        <w:rPr>
          <w:noProof/>
        </w:rPr>
        <w:t>zyścią dla bezpieczeństwa wyrobów oraz ochrony środowiska</w:t>
      </w:r>
      <w:r w:rsidR="00DD1DFA" w:rsidRPr="00DD1DFA">
        <w:rPr>
          <w:noProof/>
        </w:rPr>
        <w:t xml:space="preserve"> i</w:t>
      </w:r>
      <w:r w:rsidR="00DD1DFA">
        <w:rPr>
          <w:noProof/>
        </w:rPr>
        <w:t> </w:t>
      </w:r>
      <w:r w:rsidR="00DD1DFA" w:rsidRPr="00DD1DFA">
        <w:rPr>
          <w:noProof/>
        </w:rPr>
        <w:t>zdr</w:t>
      </w:r>
      <w:r w:rsidR="00181517" w:rsidRPr="00DD1DFA">
        <w:rPr>
          <w:noProof/>
        </w:rPr>
        <w:t>owia ludzkiego,</w:t>
      </w:r>
      <w:r w:rsidR="00DD1DFA" w:rsidRPr="00DD1DFA">
        <w:rPr>
          <w:noProof/>
        </w:rPr>
        <w:t xml:space="preserve"> a</w:t>
      </w:r>
      <w:r w:rsidR="00DD1DFA">
        <w:rPr>
          <w:noProof/>
        </w:rPr>
        <w:t> </w:t>
      </w:r>
      <w:r w:rsidR="00DD1DFA" w:rsidRPr="00DD1DFA">
        <w:rPr>
          <w:noProof/>
        </w:rPr>
        <w:t>jed</w:t>
      </w:r>
      <w:r w:rsidR="00181517" w:rsidRPr="00DD1DFA">
        <w:rPr>
          <w:noProof/>
        </w:rPr>
        <w:t>nocześnie zmniejsza obciążenia administracyjne</w:t>
      </w:r>
      <w:r w:rsidR="00DD1DFA" w:rsidRPr="00DD1DFA">
        <w:rPr>
          <w:noProof/>
        </w:rPr>
        <w:t xml:space="preserve"> i</w:t>
      </w:r>
      <w:r w:rsidR="00DD1DFA">
        <w:rPr>
          <w:noProof/>
        </w:rPr>
        <w:t> </w:t>
      </w:r>
      <w:r w:rsidR="00DD1DFA" w:rsidRPr="00DD1DFA">
        <w:rPr>
          <w:noProof/>
        </w:rPr>
        <w:t>kos</w:t>
      </w:r>
      <w:r w:rsidR="00181517" w:rsidRPr="00DD1DFA">
        <w:rPr>
          <w:noProof/>
        </w:rPr>
        <w:t>zty ponoszone przez podmioty gospodarcze</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Komisji należy przekazać uprawnienia do przyjęcia aktów zgodnie</w:t>
      </w:r>
      <w:r w:rsidR="00DD1DFA" w:rsidRPr="00DD1DFA">
        <w:rPr>
          <w:noProof/>
        </w:rPr>
        <w:t xml:space="preserve"> z</w:t>
      </w:r>
      <w:r w:rsidR="00DD1DFA">
        <w:rPr>
          <w:noProof/>
        </w:rPr>
        <w:t> </w:t>
      </w:r>
      <w:r w:rsidR="00DD1DFA" w:rsidRPr="00DD1DFA">
        <w:rPr>
          <w:noProof/>
        </w:rPr>
        <w:t>art</w:t>
      </w:r>
      <w:r w:rsidR="00181517" w:rsidRPr="00DD1DFA">
        <w:rPr>
          <w:noProof/>
        </w:rPr>
        <w:t>.</w:t>
      </w:r>
      <w:r w:rsidR="00DD1DFA" w:rsidRPr="00DD1DFA">
        <w:rPr>
          <w:noProof/>
        </w:rPr>
        <w:t> </w:t>
      </w:r>
      <w:r w:rsidR="00181517" w:rsidRPr="00DD1DFA">
        <w:rPr>
          <w:noProof/>
        </w:rPr>
        <w:t>291 TFUE</w:t>
      </w:r>
      <w:r w:rsidR="00DD1DFA" w:rsidRPr="00DD1DFA">
        <w:rPr>
          <w:noProof/>
        </w:rPr>
        <w:t xml:space="preserve"> w</w:t>
      </w:r>
      <w:r w:rsidR="00DD1DFA">
        <w:rPr>
          <w:noProof/>
        </w:rPr>
        <w:t> </w:t>
      </w:r>
      <w:r w:rsidR="00DD1DFA" w:rsidRPr="00DD1DFA">
        <w:rPr>
          <w:noProof/>
        </w:rPr>
        <w:t>cel</w:t>
      </w:r>
      <w:r w:rsidR="00181517" w:rsidRPr="00DD1DFA">
        <w:rPr>
          <w:noProof/>
        </w:rPr>
        <w:t>u ustanowienia scentralizowanej unijnej bazy danych wyrobów budowlanych lub scentralizowanego unijnego systemu informacji dotyczących wyrobów budowlanych. Obecnie nie można dokonać oceny zalet</w:t>
      </w:r>
      <w:r w:rsidR="00DD1DFA" w:rsidRPr="00DD1DFA">
        <w:rPr>
          <w:noProof/>
        </w:rPr>
        <w:t xml:space="preserve"> i</w:t>
      </w:r>
      <w:r w:rsidR="00DD1DFA">
        <w:rPr>
          <w:noProof/>
        </w:rPr>
        <w:t> </w:t>
      </w:r>
      <w:r w:rsidR="00DD1DFA" w:rsidRPr="00DD1DFA">
        <w:rPr>
          <w:noProof/>
        </w:rPr>
        <w:t>wad</w:t>
      </w:r>
      <w:r w:rsidR="00181517" w:rsidRPr="00DD1DFA">
        <w:rPr>
          <w:noProof/>
        </w:rPr>
        <w:t xml:space="preserve"> możliwych rozwiązań, dlatego</w:t>
      </w:r>
      <w:r w:rsidR="00DD1DFA" w:rsidRPr="00DD1DFA">
        <w:rPr>
          <w:noProof/>
        </w:rPr>
        <w:t xml:space="preserve"> w</w:t>
      </w:r>
      <w:r w:rsidR="00DD1DFA">
        <w:rPr>
          <w:noProof/>
        </w:rPr>
        <w:t> </w:t>
      </w:r>
      <w:r w:rsidR="00DD1DFA" w:rsidRPr="00DD1DFA">
        <w:rPr>
          <w:noProof/>
        </w:rPr>
        <w:t>sto</w:t>
      </w:r>
      <w:r w:rsidR="00181517" w:rsidRPr="00DD1DFA">
        <w:rPr>
          <w:noProof/>
        </w:rPr>
        <w:t>sownych przypadkach Komisja powinna posiadać uprawnienia do wyboru jednego</w:t>
      </w:r>
      <w:r w:rsidR="00DD1DFA" w:rsidRPr="00DD1DFA">
        <w:rPr>
          <w:noProof/>
        </w:rPr>
        <w:t xml:space="preserve"> z</w:t>
      </w:r>
      <w:r w:rsidR="00DD1DFA">
        <w:rPr>
          <w:noProof/>
        </w:rPr>
        <w:t> </w:t>
      </w:r>
      <w:r w:rsidR="00DD1DFA" w:rsidRPr="00DD1DFA">
        <w:rPr>
          <w:noProof/>
        </w:rPr>
        <w:t>tyc</w:t>
      </w:r>
      <w:r w:rsidR="00181517" w:rsidRPr="00DD1DFA">
        <w:rPr>
          <w:noProof/>
        </w:rPr>
        <w:t xml:space="preserve">h rozwiązań. </w:t>
      </w:r>
    </w:p>
    <w:p w14:paraId="5FDB7B83" w14:textId="533267B5" w:rsidR="00181517" w:rsidRPr="00DD1DFA" w:rsidRDefault="005F7EFA" w:rsidP="005F7EFA">
      <w:pPr>
        <w:pStyle w:val="ManualConsidrant"/>
        <w:rPr>
          <w:noProof/>
        </w:rPr>
      </w:pPr>
      <w:r w:rsidRPr="005F7EFA">
        <w:t>(85)</w:t>
      </w:r>
      <w:r w:rsidRPr="005F7EFA">
        <w:tab/>
      </w:r>
      <w:r w:rsidR="00181517" w:rsidRPr="00DD1DFA">
        <w:rPr>
          <w:noProof/>
        </w:rPr>
        <w:t>Aby podnieść poziom ich kompetencji, zharmonizować ich proces decyzyjny</w:t>
      </w:r>
      <w:r w:rsidR="00DD1DFA" w:rsidRPr="00DD1DFA">
        <w:rPr>
          <w:noProof/>
        </w:rPr>
        <w:t xml:space="preserve"> i</w:t>
      </w:r>
      <w:r w:rsidR="00DD1DFA">
        <w:rPr>
          <w:noProof/>
        </w:rPr>
        <w:t> </w:t>
      </w:r>
      <w:r w:rsidR="00DD1DFA" w:rsidRPr="00DD1DFA">
        <w:rPr>
          <w:noProof/>
        </w:rPr>
        <w:t>stw</w:t>
      </w:r>
      <w:r w:rsidR="00181517" w:rsidRPr="00DD1DFA">
        <w:rPr>
          <w:noProof/>
        </w:rPr>
        <w:t>orzyć równe szanse dla podmiotów gospodarczych, należy zorganizować szkolenia dla organów nadzoru rynku, punktów kontaktowych ds. wyrobów budowlanych, organów wyznaczających, JOT, organów notyfikujących</w:t>
      </w:r>
      <w:r w:rsidR="00DD1DFA" w:rsidRPr="00DD1DFA">
        <w:rPr>
          <w:noProof/>
        </w:rPr>
        <w:t xml:space="preserve"> i</w:t>
      </w:r>
      <w:r w:rsidR="00DD1DFA">
        <w:rPr>
          <w:noProof/>
        </w:rPr>
        <w:t> </w:t>
      </w:r>
      <w:r w:rsidR="00DD1DFA" w:rsidRPr="00DD1DFA">
        <w:rPr>
          <w:noProof/>
        </w:rPr>
        <w:t>jed</w:t>
      </w:r>
      <w:r w:rsidR="00181517" w:rsidRPr="00DD1DFA">
        <w:rPr>
          <w:noProof/>
        </w:rPr>
        <w:t>nostek notyfikowanych. Do osiągnięcia tych samych celów należy również dążyć poprzez wymiany pracowników między organami nadzoru rynku, organami notyfikującymi</w:t>
      </w:r>
      <w:r w:rsidR="00DD1DFA" w:rsidRPr="00DD1DFA">
        <w:rPr>
          <w:noProof/>
        </w:rPr>
        <w:t xml:space="preserve"> i</w:t>
      </w:r>
      <w:r w:rsidR="00DD1DFA">
        <w:rPr>
          <w:noProof/>
        </w:rPr>
        <w:t> </w:t>
      </w:r>
      <w:r w:rsidR="00DD1DFA" w:rsidRPr="00DD1DFA">
        <w:rPr>
          <w:noProof/>
        </w:rPr>
        <w:t>jed</w:t>
      </w:r>
      <w:r w:rsidR="00181517" w:rsidRPr="00DD1DFA">
        <w:rPr>
          <w:noProof/>
        </w:rPr>
        <w:t>nostkami notyfikowanymi z co najmniej dwóch państw członkowskich.</w:t>
      </w:r>
    </w:p>
    <w:p w14:paraId="021E3B38" w14:textId="60CDD35C" w:rsidR="00181517" w:rsidRPr="00DD1DFA" w:rsidRDefault="005F7EFA" w:rsidP="005F7EFA">
      <w:pPr>
        <w:pStyle w:val="ManualConsidrant"/>
        <w:rPr>
          <w:noProof/>
        </w:rPr>
      </w:pPr>
      <w:r w:rsidRPr="005F7EFA">
        <w:t>(86)</w:t>
      </w:r>
      <w:r w:rsidRPr="005F7EFA">
        <w:tab/>
      </w:r>
      <w:r w:rsidR="00181517" w:rsidRPr="00DD1DFA">
        <w:rPr>
          <w:noProof/>
        </w:rPr>
        <w:t>Państwa członkowskie nie zawsze posiadają kompetencje techniczne pozwalające im na wypełnienie wszystkich obowiązków spoczywających na nich zgodnie</w:t>
      </w:r>
      <w:r w:rsidR="00DD1DFA" w:rsidRPr="00DD1DFA">
        <w:rPr>
          <w:noProof/>
        </w:rPr>
        <w:t xml:space="preserve"> z</w:t>
      </w:r>
      <w:r w:rsidR="00DD1DFA">
        <w:rPr>
          <w:noProof/>
        </w:rPr>
        <w:t> </w:t>
      </w:r>
      <w:r w:rsidR="00DD1DFA" w:rsidRPr="00DD1DFA">
        <w:rPr>
          <w:noProof/>
        </w:rPr>
        <w:t>prz</w:t>
      </w:r>
      <w:r w:rsidR="00181517" w:rsidRPr="00DD1DFA">
        <w:rPr>
          <w:noProof/>
        </w:rPr>
        <w:t>episami Unii łącznie</w:t>
      </w:r>
      <w:r w:rsidR="00DD1DFA" w:rsidRPr="00DD1DFA">
        <w:rPr>
          <w:noProof/>
        </w:rPr>
        <w:t xml:space="preserve"> w</w:t>
      </w:r>
      <w:r w:rsidR="00DD1DFA">
        <w:rPr>
          <w:noProof/>
        </w:rPr>
        <w:t> </w:t>
      </w:r>
      <w:r w:rsidR="00DD1DFA" w:rsidRPr="00DD1DFA">
        <w:rPr>
          <w:noProof/>
        </w:rPr>
        <w:t>odn</w:t>
      </w:r>
      <w:r w:rsidR="00181517" w:rsidRPr="00DD1DFA">
        <w:rPr>
          <w:noProof/>
        </w:rPr>
        <w:t>iesieniu do wszystkich sektorów wyrobów</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uzyskują nieformalne wsparcie od innych większych państw członkowskich. Ponieważ takiego wsparcia</w:t>
      </w:r>
      <w:r w:rsidR="00DD1DFA" w:rsidRPr="00DD1DFA">
        <w:rPr>
          <w:noProof/>
        </w:rPr>
        <w:t xml:space="preserve"> w</w:t>
      </w:r>
      <w:r w:rsidR="00DD1DFA">
        <w:rPr>
          <w:noProof/>
        </w:rPr>
        <w:t> </w:t>
      </w:r>
      <w:r w:rsidR="00DD1DFA" w:rsidRPr="00DD1DFA">
        <w:rPr>
          <w:noProof/>
        </w:rPr>
        <w:t>nie</w:t>
      </w:r>
      <w:r w:rsidR="00181517" w:rsidRPr="00DD1DFA">
        <w:rPr>
          <w:noProof/>
        </w:rPr>
        <w:t>których przypadkach nie da się uniknąć,</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inn</w:t>
      </w:r>
      <w:r w:rsidR="00181517" w:rsidRPr="00DD1DFA">
        <w:rPr>
          <w:noProof/>
        </w:rPr>
        <w:t>ych jest ono wskazane,</w:t>
      </w:r>
      <w:r w:rsidR="00DD1DFA" w:rsidRPr="00DD1DFA">
        <w:rPr>
          <w:noProof/>
        </w:rPr>
        <w:t xml:space="preserve"> w</w:t>
      </w:r>
      <w:r w:rsidR="00DD1DFA">
        <w:rPr>
          <w:noProof/>
        </w:rPr>
        <w:t> </w:t>
      </w:r>
      <w:r w:rsidR="00DD1DFA" w:rsidRPr="00DD1DFA">
        <w:rPr>
          <w:noProof/>
        </w:rPr>
        <w:t>nin</w:t>
      </w:r>
      <w:r w:rsidR="00181517" w:rsidRPr="00DD1DFA">
        <w:rPr>
          <w:noProof/>
        </w:rPr>
        <w:t>iejszym rozporządzeniu należy określić podstawowe zasady udzielania takiego wsparcia,</w:t>
      </w:r>
      <w:r w:rsidR="00DD1DFA" w:rsidRPr="00DD1DFA">
        <w:rPr>
          <w:noProof/>
        </w:rPr>
        <w:t xml:space="preserve"> a</w:t>
      </w:r>
      <w:r w:rsidR="00DD1DFA">
        <w:rPr>
          <w:noProof/>
        </w:rPr>
        <w:t> </w:t>
      </w:r>
      <w:r w:rsidR="00DD1DFA" w:rsidRPr="00DD1DFA">
        <w:rPr>
          <w:noProof/>
        </w:rPr>
        <w:t>mia</w:t>
      </w:r>
      <w:r w:rsidR="00181517" w:rsidRPr="00DD1DFA">
        <w:rPr>
          <w:noProof/>
        </w:rPr>
        <w:t>nowicie sprecyzować zakresy odpowiedzialności. Ponadto wyzwaniem dla państw członkowskich jest rosnąca złożoność techniczna wyrobów</w:t>
      </w:r>
      <w:r w:rsidR="00DD1DFA" w:rsidRPr="00DD1DFA">
        <w:rPr>
          <w:noProof/>
        </w:rPr>
        <w:t xml:space="preserve"> i</w:t>
      </w:r>
      <w:r w:rsidR="00DD1DFA">
        <w:rPr>
          <w:noProof/>
        </w:rPr>
        <w:t> </w:t>
      </w:r>
      <w:r w:rsidR="00DD1DFA" w:rsidRPr="00DD1DFA">
        <w:rPr>
          <w:noProof/>
        </w:rPr>
        <w:t>prz</w:t>
      </w:r>
      <w:r w:rsidR="00181517" w:rsidRPr="00DD1DFA">
        <w:rPr>
          <w:noProof/>
        </w:rPr>
        <w:t>episów mających zastosowanie łącznie do wszystkich aspektów</w:t>
      </w:r>
      <w:r w:rsidR="00DD1DFA" w:rsidRPr="00DD1DFA">
        <w:rPr>
          <w:noProof/>
        </w:rPr>
        <w:t xml:space="preserve"> i</w:t>
      </w:r>
      <w:r w:rsidR="00DD1DFA">
        <w:rPr>
          <w:noProof/>
        </w:rPr>
        <w:t> </w:t>
      </w:r>
      <w:r w:rsidR="00DD1DFA" w:rsidRPr="00DD1DFA">
        <w:rPr>
          <w:noProof/>
        </w:rPr>
        <w:t>sek</w:t>
      </w:r>
      <w:r w:rsidR="00181517" w:rsidRPr="00DD1DFA">
        <w:rPr>
          <w:noProof/>
        </w:rPr>
        <w:t>torów wyrobów, co wskazuje na możliwość osiągnięcia lepszych wyników dzięki specjalizacji</w:t>
      </w:r>
      <w:r w:rsidR="00DD1DFA" w:rsidRPr="00DD1DFA">
        <w:rPr>
          <w:noProof/>
        </w:rPr>
        <w:t xml:space="preserve"> i</w:t>
      </w:r>
      <w:r w:rsidR="00DD1DFA">
        <w:rPr>
          <w:noProof/>
        </w:rPr>
        <w:t> </w:t>
      </w:r>
      <w:r w:rsidR="00DD1DFA" w:rsidRPr="00DD1DFA">
        <w:rPr>
          <w:noProof/>
        </w:rPr>
        <w:t>pod</w:t>
      </w:r>
      <w:r w:rsidR="00181517" w:rsidRPr="00DD1DFA">
        <w:rPr>
          <w:noProof/>
        </w:rPr>
        <w:t>ziałowi pracy między państwami członkowskimi. Niniejsze rozporządzenie powinno zatem zarówno odzwierciedlać szczególną sytuację poszczególnych państw członkowskich, jak</w:t>
      </w:r>
      <w:r w:rsidR="00DD1DFA" w:rsidRPr="00DD1DFA">
        <w:rPr>
          <w:noProof/>
        </w:rPr>
        <w:t xml:space="preserve"> i</w:t>
      </w:r>
      <w:r w:rsidR="00DD1DFA">
        <w:rPr>
          <w:noProof/>
        </w:rPr>
        <w:t> </w:t>
      </w:r>
      <w:r w:rsidR="00DD1DFA" w:rsidRPr="00DD1DFA">
        <w:rPr>
          <w:noProof/>
        </w:rPr>
        <w:t>umo</w:t>
      </w:r>
      <w:r w:rsidR="00181517" w:rsidRPr="00DD1DFA">
        <w:rPr>
          <w:noProof/>
        </w:rPr>
        <w:t>żliwiać zbadanie potencjalnej wartości dodanej specjalizacji</w:t>
      </w:r>
      <w:r w:rsidR="00DD1DFA" w:rsidRPr="00DD1DFA">
        <w:rPr>
          <w:noProof/>
        </w:rPr>
        <w:t xml:space="preserve"> i</w:t>
      </w:r>
      <w:r w:rsidR="00DD1DFA">
        <w:rPr>
          <w:noProof/>
        </w:rPr>
        <w:t> </w:t>
      </w:r>
      <w:r w:rsidR="00DD1DFA" w:rsidRPr="00DD1DFA">
        <w:rPr>
          <w:noProof/>
        </w:rPr>
        <w:t>pod</w:t>
      </w:r>
      <w:r w:rsidR="00181517" w:rsidRPr="00DD1DFA">
        <w:rPr>
          <w:noProof/>
        </w:rPr>
        <w:t>ziału pracy między państwami członkowskimi.</w:t>
      </w:r>
    </w:p>
    <w:p w14:paraId="5CD272AA" w14:textId="3A3A11E8" w:rsidR="00181517" w:rsidRPr="00DD1DFA" w:rsidRDefault="005F7EFA" w:rsidP="005F7EFA">
      <w:pPr>
        <w:pStyle w:val="ManualConsidrant"/>
        <w:rPr>
          <w:noProof/>
        </w:rPr>
      </w:pPr>
      <w:r w:rsidRPr="005F7EFA">
        <w:t>(87)</w:t>
      </w:r>
      <w:r w:rsidRPr="005F7EFA">
        <w:tab/>
      </w:r>
      <w:r w:rsidR="00181517" w:rsidRPr="00DD1DFA">
        <w:rPr>
          <w:noProof/>
        </w:rPr>
        <w:t>Działalność gospodarcza</w:t>
      </w:r>
      <w:r w:rsidR="00DD1DFA" w:rsidRPr="00DD1DFA">
        <w:rPr>
          <w:noProof/>
        </w:rPr>
        <w:t xml:space="preserve"> w</w:t>
      </w:r>
      <w:r w:rsidR="00DD1DFA">
        <w:rPr>
          <w:noProof/>
        </w:rPr>
        <w:t> </w:t>
      </w:r>
      <w:r w:rsidR="00DD1DFA" w:rsidRPr="00DD1DFA">
        <w:rPr>
          <w:noProof/>
        </w:rPr>
        <w:t>zak</w:t>
      </w:r>
      <w:r w:rsidR="00181517" w:rsidRPr="00DD1DFA">
        <w:rPr>
          <w:noProof/>
        </w:rPr>
        <w:t>resie wyrobów budowlanych powoli, ale systematycznie przybiera coraz bardziej międzynarodowy charakter</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pojawiają się sytuacje,</w:t>
      </w:r>
      <w:r w:rsidR="00DD1DFA" w:rsidRPr="00DD1DFA">
        <w:rPr>
          <w:noProof/>
        </w:rPr>
        <w:t xml:space="preserve"> w</w:t>
      </w:r>
      <w:r w:rsidR="00DD1DFA">
        <w:rPr>
          <w:noProof/>
        </w:rPr>
        <w:t> </w:t>
      </w:r>
      <w:r w:rsidR="00DD1DFA" w:rsidRPr="00DD1DFA">
        <w:rPr>
          <w:noProof/>
        </w:rPr>
        <w:t>któ</w:t>
      </w:r>
      <w:r w:rsidR="00181517" w:rsidRPr="00DD1DFA">
        <w:rPr>
          <w:noProof/>
        </w:rPr>
        <w:t>rych należy przeciwdziałać niezgodnościom podmiotów gospodarczych mających siedzibę poza Unią</w:t>
      </w:r>
      <w:r w:rsidR="00DD1DFA" w:rsidRPr="00DD1DFA">
        <w:rPr>
          <w:noProof/>
        </w:rPr>
        <w:t>. Z</w:t>
      </w:r>
      <w:r w:rsidR="00DD1DFA">
        <w:rPr>
          <w:noProof/>
        </w:rPr>
        <w:t> </w:t>
      </w:r>
      <w:r w:rsidR="00DD1DFA" w:rsidRPr="00DD1DFA">
        <w:rPr>
          <w:noProof/>
        </w:rPr>
        <w:t>uwa</w:t>
      </w:r>
      <w:r w:rsidR="00181517" w:rsidRPr="00DD1DFA">
        <w:rPr>
          <w:noProof/>
        </w:rPr>
        <w:t>gi na to, że państwa trzecie</w:t>
      </w:r>
      <w:r w:rsidR="00DD1DFA" w:rsidRPr="00DD1DFA">
        <w:rPr>
          <w:noProof/>
        </w:rPr>
        <w:t xml:space="preserve"> w</w:t>
      </w:r>
      <w:r w:rsidR="00DD1DFA">
        <w:rPr>
          <w:noProof/>
        </w:rPr>
        <w:t> </w:t>
      </w:r>
      <w:r w:rsidR="00DD1DFA" w:rsidRPr="00DD1DFA">
        <w:rPr>
          <w:noProof/>
        </w:rPr>
        <w:t>zas</w:t>
      </w:r>
      <w:r w:rsidR="00181517" w:rsidRPr="00DD1DFA">
        <w:rPr>
          <w:noProof/>
        </w:rPr>
        <w:t>adzie nie są gotowe do wspierania egzekwowania prawa Unii na swoim terytorium, jeśli Unia nie zapewnia im</w:t>
      </w:r>
      <w:r w:rsidR="00DD1DFA" w:rsidRPr="00DD1DFA">
        <w:rPr>
          <w:noProof/>
        </w:rPr>
        <w:t xml:space="preserve"> w</w:t>
      </w:r>
      <w:r w:rsidR="00DD1DFA">
        <w:rPr>
          <w:noProof/>
        </w:rPr>
        <w:t> </w:t>
      </w:r>
      <w:r w:rsidR="00DD1DFA" w:rsidRPr="00DD1DFA">
        <w:rPr>
          <w:noProof/>
        </w:rPr>
        <w:t>zam</w:t>
      </w:r>
      <w:r w:rsidR="00181517" w:rsidRPr="00DD1DFA">
        <w:rPr>
          <w:noProof/>
        </w:rPr>
        <w:t>ian możliwości udzielenia pomocy,</w:t>
      </w:r>
      <w:r w:rsidR="00DD1DFA" w:rsidRPr="00DD1DFA">
        <w:rPr>
          <w:noProof/>
        </w:rPr>
        <w:t xml:space="preserve"> w</w:t>
      </w:r>
      <w:r w:rsidR="00DD1DFA">
        <w:rPr>
          <w:noProof/>
        </w:rPr>
        <w:t> </w:t>
      </w:r>
      <w:r w:rsidR="00DD1DFA" w:rsidRPr="00DD1DFA">
        <w:rPr>
          <w:noProof/>
        </w:rPr>
        <w:t>nin</w:t>
      </w:r>
      <w:r w:rsidR="00181517" w:rsidRPr="00DD1DFA">
        <w:rPr>
          <w:noProof/>
        </w:rPr>
        <w:t>iejszym rozporządzeniu należy przewidzieć pewne uprawnienia</w:t>
      </w:r>
      <w:r w:rsidR="00DD1DFA" w:rsidRPr="00DD1DFA">
        <w:rPr>
          <w:noProof/>
        </w:rPr>
        <w:t xml:space="preserve"> w</w:t>
      </w:r>
      <w:r w:rsidR="00DD1DFA">
        <w:rPr>
          <w:noProof/>
        </w:rPr>
        <w:t> </w:t>
      </w:r>
      <w:r w:rsidR="00DD1DFA" w:rsidRPr="00DD1DFA">
        <w:rPr>
          <w:noProof/>
        </w:rPr>
        <w:t>zak</w:t>
      </w:r>
      <w:r w:rsidR="00181517" w:rsidRPr="00DD1DFA">
        <w:rPr>
          <w:noProof/>
        </w:rPr>
        <w:t>resie współpracy międzynarodowej.</w:t>
      </w:r>
    </w:p>
    <w:p w14:paraId="1085BAC1" w14:textId="3E7F71B5" w:rsidR="00181517" w:rsidRPr="00DD1DFA" w:rsidRDefault="005F7EFA" w:rsidP="005F7EFA">
      <w:pPr>
        <w:pStyle w:val="ManualConsidrant"/>
        <w:rPr>
          <w:noProof/>
        </w:rPr>
      </w:pPr>
      <w:r w:rsidRPr="005F7EFA">
        <w:t>(88)</w:t>
      </w:r>
      <w:r w:rsidRPr="005F7EFA">
        <w:tab/>
      </w:r>
      <w:r w:rsidR="00181517" w:rsidRPr="00DD1DFA">
        <w:rPr>
          <w:noProof/>
        </w:rPr>
        <w:t>Pewna liczba państw trzecich stosuje unijne przepisy dotyczące wyrobów lub przynajmniej uznaje certyfikaty wydane na ich podstawie, czy to na podstawie umów międzynarodowych, czy jednostronnie – przy czym</w:t>
      </w:r>
      <w:r w:rsidR="00DD1DFA" w:rsidRPr="00DD1DFA">
        <w:rPr>
          <w:noProof/>
        </w:rPr>
        <w:t xml:space="preserve"> w</w:t>
      </w:r>
      <w:r w:rsidR="00DD1DFA">
        <w:rPr>
          <w:noProof/>
        </w:rPr>
        <w:t> </w:t>
      </w:r>
      <w:r w:rsidR="00DD1DFA" w:rsidRPr="00DD1DFA">
        <w:rPr>
          <w:noProof/>
        </w:rPr>
        <w:t>obu</w:t>
      </w:r>
      <w:r w:rsidR="00181517" w:rsidRPr="00DD1DFA">
        <w:rPr>
          <w:noProof/>
        </w:rPr>
        <w:t xml:space="preserve"> przypadkach leży to</w:t>
      </w:r>
      <w:r w:rsidR="00DD1DFA" w:rsidRPr="00DD1DFA">
        <w:rPr>
          <w:noProof/>
        </w:rPr>
        <w:t xml:space="preserve"> w</w:t>
      </w:r>
      <w:r w:rsidR="00DD1DFA">
        <w:rPr>
          <w:noProof/>
        </w:rPr>
        <w:t> </w:t>
      </w:r>
      <w:r w:rsidR="00DD1DFA" w:rsidRPr="00DD1DFA">
        <w:rPr>
          <w:noProof/>
        </w:rPr>
        <w:t>int</w:t>
      </w:r>
      <w:r w:rsidR="00181517" w:rsidRPr="00DD1DFA">
        <w:rPr>
          <w:noProof/>
        </w:rPr>
        <w:t>eresie Unii. Aby zachęcić takie państwa trzecie do kontynuowania tej praktyki,</w:t>
      </w:r>
      <w:r w:rsidR="00DD1DFA" w:rsidRPr="00DD1DFA">
        <w:rPr>
          <w:noProof/>
        </w:rPr>
        <w:t xml:space="preserve"> a</w:t>
      </w:r>
      <w:r w:rsidR="00DD1DFA">
        <w:rPr>
          <w:noProof/>
        </w:rPr>
        <w:t> </w:t>
      </w:r>
      <w:r w:rsidR="00DD1DFA" w:rsidRPr="00DD1DFA">
        <w:rPr>
          <w:noProof/>
        </w:rPr>
        <w:t>inn</w:t>
      </w:r>
      <w:r w:rsidR="00181517" w:rsidRPr="00DD1DFA">
        <w:rPr>
          <w:noProof/>
        </w:rPr>
        <w:t>e państwa trzecie do podjęcia podobnych działań, państwom trzecim stosującym unijne przepisy dotyczące wyrobów lub uznającym certyfikaty wydane na podstawie tych przepisów należy zapewnić pewne dodatkowe możliwości</w:t>
      </w:r>
      <w:r w:rsidR="00DD1DFA" w:rsidRPr="00DD1DFA">
        <w:rPr>
          <w:noProof/>
        </w:rPr>
        <w:t>. Z</w:t>
      </w:r>
      <w:r w:rsidR="00DD1DFA">
        <w:rPr>
          <w:noProof/>
        </w:rPr>
        <w:t> </w:t>
      </w:r>
      <w:r w:rsidR="00DD1DFA" w:rsidRPr="00DD1DFA">
        <w:rPr>
          <w:noProof/>
        </w:rPr>
        <w:t>teg</w:t>
      </w:r>
      <w:r w:rsidR="00181517" w:rsidRPr="00DD1DFA">
        <w:rPr>
          <w:noProof/>
        </w:rPr>
        <w:t>o powodu powinna istnieć możliwość wspierania tych szczególnie skłonnych do współpracy państw trzecich poprzez umożliwienie im udziału</w:t>
      </w:r>
      <w:r w:rsidR="00DD1DFA" w:rsidRPr="00DD1DFA">
        <w:rPr>
          <w:noProof/>
        </w:rPr>
        <w:t xml:space="preserve"> w</w:t>
      </w:r>
      <w:r w:rsidR="00DD1DFA">
        <w:rPr>
          <w:noProof/>
        </w:rPr>
        <w:t> </w:t>
      </w:r>
      <w:r w:rsidR="00DD1DFA" w:rsidRPr="00DD1DFA">
        <w:rPr>
          <w:noProof/>
        </w:rPr>
        <w:t>nie</w:t>
      </w:r>
      <w:r w:rsidR="00181517" w:rsidRPr="00DD1DFA">
        <w:rPr>
          <w:noProof/>
        </w:rPr>
        <w:t>których szkoleniach oraz możliwość udziału</w:t>
      </w:r>
      <w:r w:rsidR="00DD1DFA" w:rsidRPr="00DD1DFA">
        <w:rPr>
          <w:noProof/>
        </w:rPr>
        <w:t xml:space="preserve"> w</w:t>
      </w:r>
      <w:r w:rsidR="00DD1DFA">
        <w:rPr>
          <w:noProof/>
        </w:rPr>
        <w:t> </w:t>
      </w:r>
      <w:r w:rsidR="00DD1DFA" w:rsidRPr="00DD1DFA">
        <w:rPr>
          <w:noProof/>
        </w:rPr>
        <w:t>uni</w:t>
      </w:r>
      <w:r w:rsidR="00181517" w:rsidRPr="00DD1DFA">
        <w:rPr>
          <w:noProof/>
        </w:rPr>
        <w:t>jnej bazie danych wyrobów budowlanych lub unijnym systemie informacji dotyczących wyrobów budowlanych,</w:t>
      </w:r>
      <w:r w:rsidR="00DD1DFA" w:rsidRPr="00DD1DFA">
        <w:rPr>
          <w:noProof/>
        </w:rPr>
        <w:t xml:space="preserve"> w</w:t>
      </w:r>
      <w:r w:rsidR="00DD1DFA">
        <w:rPr>
          <w:noProof/>
        </w:rPr>
        <w:t> </w:t>
      </w:r>
      <w:r w:rsidR="00DD1DFA" w:rsidRPr="00DD1DFA">
        <w:rPr>
          <w:noProof/>
        </w:rPr>
        <w:t>sys</w:t>
      </w:r>
      <w:r w:rsidR="00181517" w:rsidRPr="00DD1DFA">
        <w:rPr>
          <w:noProof/>
        </w:rPr>
        <w:t>temie informacyjnym służącym do zharmonizowanego podejmowania decyzji oraz</w:t>
      </w:r>
      <w:r w:rsidR="00DD1DFA" w:rsidRPr="00DD1DFA">
        <w:rPr>
          <w:noProof/>
        </w:rPr>
        <w:t xml:space="preserve"> w</w:t>
      </w:r>
      <w:r w:rsidR="00DD1DFA">
        <w:rPr>
          <w:noProof/>
        </w:rPr>
        <w:t> </w:t>
      </w:r>
      <w:r w:rsidR="00DD1DFA" w:rsidRPr="00DD1DFA">
        <w:rPr>
          <w:noProof/>
        </w:rPr>
        <w:t>wym</w:t>
      </w:r>
      <w:r w:rsidR="00181517" w:rsidRPr="00DD1DFA">
        <w:rPr>
          <w:noProof/>
        </w:rPr>
        <w:t>ianie informacji między organami. Ponadto</w:t>
      </w:r>
      <w:r w:rsidR="00DD1DFA" w:rsidRPr="00DD1DFA">
        <w:rPr>
          <w:noProof/>
        </w:rPr>
        <w:t xml:space="preserve"> z</w:t>
      </w:r>
      <w:r w:rsidR="00DD1DFA">
        <w:rPr>
          <w:noProof/>
        </w:rPr>
        <w:t> </w:t>
      </w:r>
      <w:r w:rsidR="00DD1DFA" w:rsidRPr="00DD1DFA">
        <w:rPr>
          <w:noProof/>
        </w:rPr>
        <w:t>teg</w:t>
      </w:r>
      <w:r w:rsidR="00181517" w:rsidRPr="00DD1DFA">
        <w:rPr>
          <w:noProof/>
        </w:rPr>
        <w:t>o samego powodu powinna istnieć możliwość informowania tych szczególnie skłonnych do współpracy państw trzecich</w:t>
      </w:r>
      <w:r w:rsidR="00DD1DFA" w:rsidRPr="00DD1DFA">
        <w:rPr>
          <w:noProof/>
        </w:rPr>
        <w:t xml:space="preserve"> o</w:t>
      </w:r>
      <w:r w:rsidR="00DD1DFA">
        <w:rPr>
          <w:noProof/>
        </w:rPr>
        <w:t> </w:t>
      </w:r>
      <w:r w:rsidR="00DD1DFA" w:rsidRPr="00DD1DFA">
        <w:rPr>
          <w:noProof/>
        </w:rPr>
        <w:t>nie</w:t>
      </w:r>
      <w:r w:rsidR="00181517" w:rsidRPr="00DD1DFA">
        <w:rPr>
          <w:noProof/>
        </w:rPr>
        <w:t>zgodnych</w:t>
      </w:r>
      <w:r w:rsidR="00DD1DFA" w:rsidRPr="00DD1DFA">
        <w:rPr>
          <w:noProof/>
        </w:rPr>
        <w:t xml:space="preserve"> z</w:t>
      </w:r>
      <w:r w:rsidR="00DD1DFA">
        <w:rPr>
          <w:noProof/>
        </w:rPr>
        <w:t> </w:t>
      </w:r>
      <w:r w:rsidR="00DD1DFA" w:rsidRPr="00DD1DFA">
        <w:rPr>
          <w:noProof/>
        </w:rPr>
        <w:t>wym</w:t>
      </w:r>
      <w:r w:rsidR="00181517" w:rsidRPr="00DD1DFA">
        <w:rPr>
          <w:noProof/>
        </w:rPr>
        <w:t>ogami lub ryzykownych wyrobach.</w:t>
      </w:r>
    </w:p>
    <w:p w14:paraId="755A442B" w14:textId="047CB02D" w:rsidR="00181517" w:rsidRPr="00DD1DFA" w:rsidRDefault="005F7EFA" w:rsidP="005F7EFA">
      <w:pPr>
        <w:pStyle w:val="ManualConsidrant"/>
        <w:rPr>
          <w:noProof/>
        </w:rPr>
      </w:pPr>
      <w:r w:rsidRPr="005F7EFA">
        <w:t>(89)</w:t>
      </w:r>
      <w:r w:rsidRPr="005F7EFA">
        <w:tab/>
      </w:r>
      <w:r w:rsidR="00181517" w:rsidRPr="00DD1DFA">
        <w:rPr>
          <w:noProof/>
        </w:rPr>
        <w:t>Aby zachęcić do stosowania zrównoważonych wyrobów budowlanych, unikając jednocześnie zakłóceń na rynku</w:t>
      </w:r>
      <w:r w:rsidR="00DD1DFA" w:rsidRPr="00DD1DFA">
        <w:rPr>
          <w:noProof/>
        </w:rPr>
        <w:t xml:space="preserve"> i</w:t>
      </w:r>
      <w:r w:rsidR="00DD1DFA">
        <w:rPr>
          <w:noProof/>
        </w:rPr>
        <w:t> </w:t>
      </w:r>
      <w:r w:rsidR="00DD1DFA" w:rsidRPr="00DD1DFA">
        <w:rPr>
          <w:noProof/>
        </w:rPr>
        <w:t>zac</w:t>
      </w:r>
      <w:r w:rsidR="00181517" w:rsidRPr="00DD1DFA">
        <w:rPr>
          <w:noProof/>
        </w:rPr>
        <w:t>howując zgodność</w:t>
      </w:r>
      <w:r w:rsidR="00DD1DFA" w:rsidRPr="00DD1DFA">
        <w:rPr>
          <w:noProof/>
        </w:rPr>
        <w:t xml:space="preserve"> z</w:t>
      </w:r>
      <w:r w:rsidR="00DD1DFA">
        <w:rPr>
          <w:noProof/>
        </w:rPr>
        <w:t> </w:t>
      </w:r>
      <w:r w:rsidR="00DD1DFA" w:rsidRPr="00DD1DFA">
        <w:rPr>
          <w:noProof/>
        </w:rPr>
        <w:t>prz</w:t>
      </w:r>
      <w:r w:rsidR="00181517" w:rsidRPr="00DD1DFA">
        <w:rPr>
          <w:noProof/>
        </w:rPr>
        <w:t>episami rozporządzenia</w:t>
      </w:r>
      <w:r w:rsidR="00DD1DFA" w:rsidRPr="00DD1DFA">
        <w:rPr>
          <w:noProof/>
        </w:rPr>
        <w:t xml:space="preserve"> w</w:t>
      </w:r>
      <w:r w:rsidR="00DD1DFA">
        <w:rPr>
          <w:noProof/>
        </w:rPr>
        <w:t> </w:t>
      </w:r>
      <w:r w:rsidR="00DD1DFA" w:rsidRPr="00DD1DFA">
        <w:rPr>
          <w:noProof/>
        </w:rPr>
        <w:t>spr</w:t>
      </w:r>
      <w:r w:rsidR="00181517" w:rsidRPr="00DD1DFA">
        <w:rPr>
          <w:noProof/>
        </w:rPr>
        <w:t>awie ekoprojektu dla zrównoważonych produktów, zachęty do stosowania zrównoważonych wyrobów budowlanych oferowane przez państwa członkowskie powinny dotyczyć najbardziej zrównoważonych wyrobów</w:t>
      </w:r>
      <w:r w:rsidR="00DD1DFA" w:rsidRPr="00DD1DFA">
        <w:rPr>
          <w:noProof/>
        </w:rPr>
        <w:t xml:space="preserve"> i</w:t>
      </w:r>
      <w:r w:rsidR="00DD1DFA">
        <w:rPr>
          <w:noProof/>
        </w:rPr>
        <w:t> </w:t>
      </w:r>
      <w:r w:rsidR="00DD1DFA" w:rsidRPr="00DD1DFA">
        <w:rPr>
          <w:noProof/>
        </w:rPr>
        <w:t>być</w:t>
      </w:r>
      <w:r w:rsidR="00181517" w:rsidRPr="00DD1DFA">
        <w:rPr>
          <w:noProof/>
        </w:rPr>
        <w:t xml:space="preserve"> nieodłącznym elementem wymiany informacji między państwami członkowskimi.</w:t>
      </w:r>
      <w:r w:rsidR="00DD1DFA" w:rsidRPr="00DD1DFA">
        <w:rPr>
          <w:noProof/>
        </w:rPr>
        <w:t xml:space="preserve"> </w:t>
      </w:r>
    </w:p>
    <w:p w14:paraId="22F61F75" w14:textId="7B5B9C00" w:rsidR="00181517" w:rsidRPr="00DD1DFA" w:rsidRDefault="005F7EFA" w:rsidP="005F7EFA">
      <w:pPr>
        <w:pStyle w:val="ManualConsidrant"/>
        <w:rPr>
          <w:noProof/>
        </w:rPr>
      </w:pPr>
      <w:r w:rsidRPr="005F7EFA">
        <w:t>(90)</w:t>
      </w:r>
      <w:r w:rsidRPr="005F7EFA">
        <w:tab/>
      </w:r>
      <w:r w:rsidR="00181517" w:rsidRPr="00DD1DFA">
        <w:rPr>
          <w:noProof/>
        </w:rPr>
        <w:t>Aby zwiększyć stosowanie zrównoważonych wyrobów budowlanych, unikając jednocześnie zakłóceń na rynku</w:t>
      </w:r>
      <w:r w:rsidR="00DD1DFA" w:rsidRPr="00DD1DFA">
        <w:rPr>
          <w:noProof/>
        </w:rPr>
        <w:t xml:space="preserve"> i</w:t>
      </w:r>
      <w:r w:rsidR="00DD1DFA">
        <w:rPr>
          <w:noProof/>
        </w:rPr>
        <w:t> </w:t>
      </w:r>
      <w:r w:rsidR="00DD1DFA" w:rsidRPr="00DD1DFA">
        <w:rPr>
          <w:noProof/>
        </w:rPr>
        <w:t>zap</w:t>
      </w:r>
      <w:r w:rsidR="00181517" w:rsidRPr="00DD1DFA">
        <w:rPr>
          <w:noProof/>
        </w:rPr>
        <w:t>ewniając zgodność</w:t>
      </w:r>
      <w:r w:rsidR="00DD1DFA" w:rsidRPr="00DD1DFA">
        <w:rPr>
          <w:noProof/>
        </w:rPr>
        <w:t xml:space="preserve"> z</w:t>
      </w:r>
      <w:r w:rsidR="00DD1DFA">
        <w:rPr>
          <w:noProof/>
        </w:rPr>
        <w:t> </w:t>
      </w:r>
      <w:r w:rsidR="00DD1DFA" w:rsidRPr="00DD1DFA">
        <w:rPr>
          <w:noProof/>
        </w:rPr>
        <w:t>prz</w:t>
      </w:r>
      <w:r w:rsidR="00181517" w:rsidRPr="00DD1DFA">
        <w:rPr>
          <w:noProof/>
        </w:rPr>
        <w:t>episami rozporządzenia</w:t>
      </w:r>
      <w:r w:rsidR="00DD1DFA" w:rsidRPr="00DD1DFA">
        <w:rPr>
          <w:noProof/>
        </w:rPr>
        <w:t xml:space="preserve"> w</w:t>
      </w:r>
      <w:r w:rsidR="00DD1DFA">
        <w:rPr>
          <w:noProof/>
        </w:rPr>
        <w:t> </w:t>
      </w:r>
      <w:r w:rsidR="00DD1DFA" w:rsidRPr="00DD1DFA">
        <w:rPr>
          <w:noProof/>
        </w:rPr>
        <w:t>spr</w:t>
      </w:r>
      <w:r w:rsidR="00181517" w:rsidRPr="00DD1DFA">
        <w:rPr>
          <w:noProof/>
        </w:rPr>
        <w:t>awie ekoprojektu dla zrównoważonych produktów,</w:t>
      </w:r>
      <w:r w:rsidR="00DD1DFA" w:rsidRPr="00DD1DFA">
        <w:rPr>
          <w:noProof/>
        </w:rPr>
        <w:t xml:space="preserve"> w</w:t>
      </w:r>
      <w:r w:rsidR="00DD1DFA">
        <w:rPr>
          <w:noProof/>
        </w:rPr>
        <w:t> </w:t>
      </w:r>
      <w:r w:rsidR="00DD1DFA" w:rsidRPr="00DD1DFA">
        <w:rPr>
          <w:noProof/>
        </w:rPr>
        <w:t>ram</w:t>
      </w:r>
      <w:r w:rsidR="00181517" w:rsidRPr="00DD1DFA">
        <w:rPr>
          <w:noProof/>
        </w:rPr>
        <w:t>ach praktyki udzielania zamówień publicznych</w:t>
      </w:r>
      <w:r w:rsidR="00DD1DFA" w:rsidRPr="00DD1DFA">
        <w:rPr>
          <w:noProof/>
        </w:rPr>
        <w:t xml:space="preserve"> w</w:t>
      </w:r>
      <w:r w:rsidR="00DD1DFA">
        <w:rPr>
          <w:noProof/>
        </w:rPr>
        <w:t> </w:t>
      </w:r>
      <w:r w:rsidR="00DD1DFA" w:rsidRPr="00DD1DFA">
        <w:rPr>
          <w:noProof/>
        </w:rPr>
        <w:t>pań</w:t>
      </w:r>
      <w:r w:rsidR="00181517" w:rsidRPr="00DD1DFA">
        <w:rPr>
          <w:noProof/>
        </w:rPr>
        <w:t>stwach członkowskich spośród wyrobów zgodnych</w:t>
      </w:r>
      <w:r w:rsidR="00DD1DFA" w:rsidRPr="00DD1DFA">
        <w:rPr>
          <w:noProof/>
        </w:rPr>
        <w:t xml:space="preserve"> z</w:t>
      </w:r>
      <w:r w:rsidR="00DD1DFA">
        <w:rPr>
          <w:noProof/>
        </w:rPr>
        <w:t> </w:t>
      </w:r>
      <w:r w:rsidR="00DD1DFA" w:rsidRPr="00DD1DFA">
        <w:rPr>
          <w:noProof/>
        </w:rPr>
        <w:t>wym</w:t>
      </w:r>
      <w:r w:rsidR="00181517" w:rsidRPr="00DD1DFA">
        <w:rPr>
          <w:noProof/>
        </w:rPr>
        <w:t>ogami należy wybierać wyroby najbardziej zrównoważone. Wymogi mające zastosowanie do zamówień publicznych, określone</w:t>
      </w:r>
      <w:r w:rsidR="00DD1DFA" w:rsidRPr="00DD1DFA">
        <w:rPr>
          <w:noProof/>
        </w:rPr>
        <w:t xml:space="preserve"> w</w:t>
      </w:r>
      <w:r w:rsidR="00DD1DFA">
        <w:rPr>
          <w:noProof/>
        </w:rPr>
        <w:t> </w:t>
      </w:r>
      <w:r w:rsidR="00DD1DFA" w:rsidRPr="00DD1DFA">
        <w:rPr>
          <w:noProof/>
        </w:rPr>
        <w:t>akt</w:t>
      </w:r>
      <w:r w:rsidR="00181517" w:rsidRPr="00DD1DFA">
        <w:rPr>
          <w:noProof/>
        </w:rPr>
        <w:t>ach wykonawczych, należy ustanowić zgodnie</w:t>
      </w:r>
      <w:r w:rsidR="00DD1DFA" w:rsidRPr="00DD1DFA">
        <w:rPr>
          <w:noProof/>
        </w:rPr>
        <w:t xml:space="preserve"> z</w:t>
      </w:r>
      <w:r w:rsidR="00DD1DFA">
        <w:rPr>
          <w:noProof/>
        </w:rPr>
        <w:t> </w:t>
      </w:r>
      <w:r w:rsidR="00DD1DFA" w:rsidRPr="00DD1DFA">
        <w:rPr>
          <w:noProof/>
        </w:rPr>
        <w:t>obi</w:t>
      </w:r>
      <w:r w:rsidR="00181517" w:rsidRPr="00DD1DFA">
        <w:rPr>
          <w:noProof/>
        </w:rPr>
        <w:t>ektywnymi, przejrzystymi</w:t>
      </w:r>
      <w:r w:rsidR="00DD1DFA" w:rsidRPr="00DD1DFA">
        <w:rPr>
          <w:noProof/>
        </w:rPr>
        <w:t xml:space="preserve"> i</w:t>
      </w:r>
      <w:r w:rsidR="00DD1DFA">
        <w:rPr>
          <w:noProof/>
        </w:rPr>
        <w:t> </w:t>
      </w:r>
      <w:r w:rsidR="00DD1DFA" w:rsidRPr="00DD1DFA">
        <w:rPr>
          <w:noProof/>
        </w:rPr>
        <w:t>nie</w:t>
      </w:r>
      <w:r w:rsidR="00181517" w:rsidRPr="00DD1DFA">
        <w:rPr>
          <w:noProof/>
        </w:rPr>
        <w:t>dyskryminacyjnymi kryteriami.</w:t>
      </w:r>
    </w:p>
    <w:p w14:paraId="0BBB117C" w14:textId="2E728B6D" w:rsidR="00A8133D" w:rsidRPr="00DD1DFA" w:rsidRDefault="005F7EFA" w:rsidP="005F7EFA">
      <w:pPr>
        <w:pStyle w:val="ManualConsidrant"/>
        <w:rPr>
          <w:noProof/>
        </w:rPr>
      </w:pPr>
      <w:r w:rsidRPr="005F7EFA">
        <w:t>(91)</w:t>
      </w:r>
      <w:r w:rsidRPr="005F7EFA">
        <w:tab/>
      </w:r>
      <w:r w:rsidR="00A8133D" w:rsidRPr="00DD1DFA">
        <w:rPr>
          <w:noProof/>
        </w:rPr>
        <w:t>Zamówienia publiczne odpowiadają 14 % PKB Unii. Aby przyczynić się do realizacji celu, jakim jest osiągnięcie neutralności klimatycznej, poprawa efektywności energetycznej</w:t>
      </w:r>
      <w:r w:rsidR="00DD1DFA" w:rsidRPr="00DD1DFA">
        <w:rPr>
          <w:noProof/>
        </w:rPr>
        <w:t xml:space="preserve"> i</w:t>
      </w:r>
      <w:r w:rsidR="00DD1DFA">
        <w:rPr>
          <w:noProof/>
        </w:rPr>
        <w:t> </w:t>
      </w:r>
      <w:r w:rsidR="00DD1DFA" w:rsidRPr="00DD1DFA">
        <w:rPr>
          <w:noProof/>
        </w:rPr>
        <w:t>zas</w:t>
      </w:r>
      <w:r w:rsidR="00A8133D" w:rsidRPr="00DD1DFA">
        <w:rPr>
          <w:noProof/>
        </w:rPr>
        <w:t>obooszczędności oraz przejście na gospodarkę</w:t>
      </w:r>
      <w:r w:rsidR="00DD1DFA" w:rsidRPr="00DD1DFA">
        <w:rPr>
          <w:noProof/>
        </w:rPr>
        <w:t xml:space="preserve"> o</w:t>
      </w:r>
      <w:r w:rsidR="00DD1DFA">
        <w:rPr>
          <w:noProof/>
        </w:rPr>
        <w:t> </w:t>
      </w:r>
      <w:r w:rsidR="00DD1DFA" w:rsidRPr="00DD1DFA">
        <w:rPr>
          <w:noProof/>
        </w:rPr>
        <w:t>obi</w:t>
      </w:r>
      <w:r w:rsidR="00A8133D" w:rsidRPr="00DD1DFA">
        <w:rPr>
          <w:noProof/>
        </w:rPr>
        <w:t>egu zamkniętym, która chroni zdrowie publiczne</w:t>
      </w:r>
      <w:r w:rsidR="00DD1DFA" w:rsidRPr="00DD1DFA">
        <w:rPr>
          <w:noProof/>
        </w:rPr>
        <w:t xml:space="preserve"> i</w:t>
      </w:r>
      <w:r w:rsidR="00DD1DFA">
        <w:rPr>
          <w:noProof/>
        </w:rPr>
        <w:t> </w:t>
      </w:r>
      <w:r w:rsidR="00DD1DFA" w:rsidRPr="00DD1DFA">
        <w:rPr>
          <w:noProof/>
        </w:rPr>
        <w:t>róż</w:t>
      </w:r>
      <w:r w:rsidR="00A8133D" w:rsidRPr="00DD1DFA">
        <w:rPr>
          <w:noProof/>
        </w:rPr>
        <w:t>norodność biologiczną, instytucje</w:t>
      </w:r>
      <w:r w:rsidR="00DD1DFA" w:rsidRPr="00DD1DFA">
        <w:rPr>
          <w:noProof/>
        </w:rPr>
        <w:t xml:space="preserve"> i</w:t>
      </w:r>
      <w:r w:rsidR="00DD1DFA">
        <w:rPr>
          <w:noProof/>
        </w:rPr>
        <w:t> </w:t>
      </w:r>
      <w:r w:rsidR="00DD1DFA" w:rsidRPr="00DD1DFA">
        <w:rPr>
          <w:noProof/>
        </w:rPr>
        <w:t>pod</w:t>
      </w:r>
      <w:r w:rsidR="00A8133D" w:rsidRPr="00DD1DFA">
        <w:rPr>
          <w:noProof/>
        </w:rPr>
        <w:t>mioty zamawiające należy,</w:t>
      </w:r>
      <w:r w:rsidR="00DD1DFA" w:rsidRPr="00DD1DFA">
        <w:rPr>
          <w:noProof/>
        </w:rPr>
        <w:t xml:space="preserve"> w</w:t>
      </w:r>
      <w:r w:rsidR="00DD1DFA">
        <w:rPr>
          <w:noProof/>
        </w:rPr>
        <w:t> </w:t>
      </w:r>
      <w:r w:rsidR="00DD1DFA" w:rsidRPr="00DD1DFA">
        <w:rPr>
          <w:noProof/>
        </w:rPr>
        <w:t>sto</w:t>
      </w:r>
      <w:r w:rsidR="00A8133D" w:rsidRPr="00DD1DFA">
        <w:rPr>
          <w:noProof/>
        </w:rPr>
        <w:t>sownych przypadkach, zobowiązać do dostosowania swoich zamówień do konkretnych kryteriów lub celów dotyczących zielonych zamówień publicznych, które zostaną określone</w:t>
      </w:r>
      <w:r w:rsidR="00DD1DFA" w:rsidRPr="00DD1DFA">
        <w:rPr>
          <w:noProof/>
        </w:rPr>
        <w:t xml:space="preserve"> w</w:t>
      </w:r>
      <w:r w:rsidR="00DD1DFA">
        <w:rPr>
          <w:noProof/>
        </w:rPr>
        <w:t> </w:t>
      </w:r>
      <w:r w:rsidR="00DD1DFA" w:rsidRPr="00DD1DFA">
        <w:rPr>
          <w:noProof/>
        </w:rPr>
        <w:t>akt</w:t>
      </w:r>
      <w:r w:rsidR="00A8133D" w:rsidRPr="00DD1DFA">
        <w:rPr>
          <w:noProof/>
        </w:rPr>
        <w:t>ach delegowanych przyjętych na podstawie niniejszego rozporządzenia. Kryteriów lub celów określonych</w:t>
      </w:r>
      <w:r w:rsidR="00DD1DFA" w:rsidRPr="00DD1DFA">
        <w:rPr>
          <w:noProof/>
        </w:rPr>
        <w:t xml:space="preserve"> w</w:t>
      </w:r>
      <w:r w:rsidR="00DD1DFA">
        <w:rPr>
          <w:noProof/>
        </w:rPr>
        <w:t> </w:t>
      </w:r>
      <w:r w:rsidR="00DD1DFA" w:rsidRPr="00DD1DFA">
        <w:rPr>
          <w:noProof/>
        </w:rPr>
        <w:t>akt</w:t>
      </w:r>
      <w:r w:rsidR="00A8133D" w:rsidRPr="00DD1DFA">
        <w:rPr>
          <w:noProof/>
        </w:rPr>
        <w:t>ach delegowanych dla poszczególnych grup wyrobów należy przestrzegać nie tylko</w:t>
      </w:r>
      <w:r w:rsidR="00DD1DFA" w:rsidRPr="00DD1DFA">
        <w:rPr>
          <w:noProof/>
        </w:rPr>
        <w:t xml:space="preserve"> w</w:t>
      </w:r>
      <w:r w:rsidR="00DD1DFA">
        <w:rPr>
          <w:noProof/>
        </w:rPr>
        <w:t> </w:t>
      </w:r>
      <w:r w:rsidR="00DD1DFA" w:rsidRPr="00DD1DFA">
        <w:rPr>
          <w:noProof/>
        </w:rPr>
        <w:t>prz</w:t>
      </w:r>
      <w:r w:rsidR="00A8133D" w:rsidRPr="00DD1DFA">
        <w:rPr>
          <w:noProof/>
        </w:rPr>
        <w:t>ypadku bezpośredniego udzielania zamówień na te wyroby</w:t>
      </w:r>
      <w:r w:rsidR="00DD1DFA" w:rsidRPr="00DD1DFA">
        <w:rPr>
          <w:noProof/>
        </w:rPr>
        <w:t xml:space="preserve"> w</w:t>
      </w:r>
      <w:r w:rsidR="00DD1DFA">
        <w:rPr>
          <w:noProof/>
        </w:rPr>
        <w:t> </w:t>
      </w:r>
      <w:r w:rsidR="00DD1DFA" w:rsidRPr="00DD1DFA">
        <w:rPr>
          <w:noProof/>
        </w:rPr>
        <w:t>ram</w:t>
      </w:r>
      <w:r w:rsidR="00A8133D" w:rsidRPr="00DD1DFA">
        <w:rPr>
          <w:noProof/>
        </w:rPr>
        <w:t>ach zamówień na dostawy, lecz również</w:t>
      </w:r>
      <w:r w:rsidR="00DD1DFA" w:rsidRPr="00DD1DFA">
        <w:rPr>
          <w:noProof/>
        </w:rPr>
        <w:t xml:space="preserve"> w</w:t>
      </w:r>
      <w:r w:rsidR="00DD1DFA">
        <w:rPr>
          <w:noProof/>
        </w:rPr>
        <w:t> </w:t>
      </w:r>
      <w:r w:rsidR="00DD1DFA" w:rsidRPr="00DD1DFA">
        <w:rPr>
          <w:noProof/>
        </w:rPr>
        <w:t>ram</w:t>
      </w:r>
      <w:r w:rsidR="00A8133D" w:rsidRPr="00DD1DFA">
        <w:rPr>
          <w:noProof/>
        </w:rPr>
        <w:t>ach zamówień na roboty budowlane lub usługi, jeżeli wyroby te będą wykorzystywane do prowadzenia działalności stanowiącej przedmiot tych zamówień</w:t>
      </w:r>
      <w:r w:rsidR="00DD1DFA" w:rsidRPr="00DD1DFA">
        <w:rPr>
          <w:noProof/>
        </w:rPr>
        <w:t>. W</w:t>
      </w:r>
      <w:r w:rsidR="00DD1DFA">
        <w:rPr>
          <w:noProof/>
        </w:rPr>
        <w:t> </w:t>
      </w:r>
      <w:r w:rsidR="00DD1DFA" w:rsidRPr="00DD1DFA">
        <w:rPr>
          <w:noProof/>
        </w:rPr>
        <w:t>por</w:t>
      </w:r>
      <w:r w:rsidR="00A8133D" w:rsidRPr="00DD1DFA">
        <w:rPr>
          <w:noProof/>
        </w:rPr>
        <w:t>ównaniu</w:t>
      </w:r>
      <w:r w:rsidR="00DD1DFA" w:rsidRPr="00DD1DFA">
        <w:rPr>
          <w:noProof/>
        </w:rPr>
        <w:t xml:space="preserve"> z</w:t>
      </w:r>
      <w:r w:rsidR="00DD1DFA">
        <w:rPr>
          <w:noProof/>
        </w:rPr>
        <w:t> </w:t>
      </w:r>
      <w:r w:rsidR="00DD1DFA" w:rsidRPr="00DD1DFA">
        <w:rPr>
          <w:noProof/>
        </w:rPr>
        <w:t>pod</w:t>
      </w:r>
      <w:r w:rsidR="00A8133D" w:rsidRPr="00DD1DFA">
        <w:rPr>
          <w:noProof/>
        </w:rPr>
        <w:t>ejściem dobrowolnym obowiązkowe kryteria lub cele zapewnią maksymalizację efektu dźwigni</w:t>
      </w:r>
      <w:r w:rsidR="00DD1DFA" w:rsidRPr="00DD1DFA">
        <w:rPr>
          <w:noProof/>
        </w:rPr>
        <w:t xml:space="preserve"> w</w:t>
      </w:r>
      <w:r w:rsidR="00DD1DFA">
        <w:rPr>
          <w:noProof/>
        </w:rPr>
        <w:t> </w:t>
      </w:r>
      <w:r w:rsidR="00DD1DFA" w:rsidRPr="00DD1DFA">
        <w:rPr>
          <w:noProof/>
        </w:rPr>
        <w:t>zak</w:t>
      </w:r>
      <w:r w:rsidR="00A8133D" w:rsidRPr="00DD1DFA">
        <w:rPr>
          <w:noProof/>
        </w:rPr>
        <w:t>resie wydatków publicznych mającego na celu zwiększenie popytu na wyroby</w:t>
      </w:r>
      <w:r w:rsidR="00DD1DFA" w:rsidRPr="00DD1DFA">
        <w:rPr>
          <w:noProof/>
        </w:rPr>
        <w:t xml:space="preserve"> o</w:t>
      </w:r>
      <w:r w:rsidR="00DD1DFA">
        <w:rPr>
          <w:noProof/>
        </w:rPr>
        <w:t> </w:t>
      </w:r>
      <w:r w:rsidR="00DD1DFA" w:rsidRPr="00DD1DFA">
        <w:rPr>
          <w:noProof/>
        </w:rPr>
        <w:t>lep</w:t>
      </w:r>
      <w:r w:rsidR="00A8133D" w:rsidRPr="00DD1DFA">
        <w:rPr>
          <w:noProof/>
        </w:rPr>
        <w:t>szych właściwościach użytkowych. Kryteria te powinny być przejrzyste, obiektywne</w:t>
      </w:r>
      <w:r w:rsidR="00DD1DFA" w:rsidRPr="00DD1DFA">
        <w:rPr>
          <w:noProof/>
        </w:rPr>
        <w:t xml:space="preserve"> i</w:t>
      </w:r>
      <w:r w:rsidR="00DD1DFA">
        <w:rPr>
          <w:noProof/>
        </w:rPr>
        <w:t> </w:t>
      </w:r>
      <w:r w:rsidR="00DD1DFA" w:rsidRPr="00DD1DFA">
        <w:rPr>
          <w:noProof/>
        </w:rPr>
        <w:t>nie</w:t>
      </w:r>
      <w:r w:rsidR="00A8133D" w:rsidRPr="00DD1DFA">
        <w:rPr>
          <w:noProof/>
        </w:rPr>
        <w:t>dyskryminujące.</w:t>
      </w:r>
    </w:p>
    <w:p w14:paraId="356575A9" w14:textId="400582AA" w:rsidR="005B423D" w:rsidRPr="00DD1DFA" w:rsidRDefault="005F7EFA" w:rsidP="005F7EFA">
      <w:pPr>
        <w:pStyle w:val="ManualConsidrant"/>
        <w:rPr>
          <w:noProof/>
          <w:szCs w:val="24"/>
        </w:rPr>
      </w:pPr>
      <w:r w:rsidRPr="005F7EFA">
        <w:t>(92)</w:t>
      </w:r>
      <w:r w:rsidRPr="005F7EFA">
        <w:tab/>
      </w:r>
      <w:r w:rsidR="005B423D" w:rsidRPr="00DD1DFA">
        <w:rPr>
          <w:noProof/>
        </w:rPr>
        <w:t>W celu uwzględnienia postępu technicznego</w:t>
      </w:r>
      <w:r w:rsidR="00DD1DFA" w:rsidRPr="00DD1DFA">
        <w:rPr>
          <w:noProof/>
        </w:rPr>
        <w:t xml:space="preserve"> i</w:t>
      </w:r>
      <w:r w:rsidR="00DD1DFA">
        <w:rPr>
          <w:noProof/>
        </w:rPr>
        <w:t> </w:t>
      </w:r>
      <w:r w:rsidR="00DD1DFA" w:rsidRPr="00DD1DFA">
        <w:rPr>
          <w:noProof/>
        </w:rPr>
        <w:t>wie</w:t>
      </w:r>
      <w:r w:rsidR="005B423D" w:rsidRPr="00DD1DFA">
        <w:rPr>
          <w:noProof/>
        </w:rPr>
        <w:t>dzy technicznej na temat nowych dowodów naukowych, zapewnienia właściwego funkcjonowania rynku wewnętrznego, ułatwienia dostępu do informacji</w:t>
      </w:r>
      <w:r w:rsidR="00DD1DFA" w:rsidRPr="00DD1DFA">
        <w:rPr>
          <w:noProof/>
        </w:rPr>
        <w:t xml:space="preserve"> i</w:t>
      </w:r>
      <w:r w:rsidR="00DD1DFA">
        <w:rPr>
          <w:noProof/>
        </w:rPr>
        <w:t> </w:t>
      </w:r>
      <w:r w:rsidR="00DD1DFA" w:rsidRPr="00DD1DFA">
        <w:rPr>
          <w:noProof/>
        </w:rPr>
        <w:t>zap</w:t>
      </w:r>
      <w:r w:rsidR="005B423D" w:rsidRPr="00DD1DFA">
        <w:rPr>
          <w:noProof/>
        </w:rPr>
        <w:t>ewnienia jednolitego wdrażania przepisów, należy przekazać Komisji uprawnienia do przyjęcia aktów zgodnie</w:t>
      </w:r>
      <w:r w:rsidR="00DD1DFA" w:rsidRPr="00DD1DFA">
        <w:rPr>
          <w:noProof/>
        </w:rPr>
        <w:t xml:space="preserve"> z</w:t>
      </w:r>
      <w:r w:rsidR="00DD1DFA">
        <w:rPr>
          <w:noProof/>
        </w:rPr>
        <w:t> </w:t>
      </w:r>
      <w:r w:rsidR="00DD1DFA" w:rsidRPr="00DD1DFA">
        <w:rPr>
          <w:noProof/>
        </w:rPr>
        <w:t>art</w:t>
      </w:r>
      <w:r w:rsidR="005B423D" w:rsidRPr="00DD1DFA">
        <w:rPr>
          <w:noProof/>
        </w:rPr>
        <w:t>.</w:t>
      </w:r>
      <w:r w:rsidR="00DD1DFA" w:rsidRPr="00DD1DFA">
        <w:rPr>
          <w:noProof/>
        </w:rPr>
        <w:t> </w:t>
      </w:r>
      <w:r w:rsidR="005B423D" w:rsidRPr="00DD1DFA">
        <w:rPr>
          <w:noProof/>
        </w:rPr>
        <w:t>290 Traktatu</w:t>
      </w:r>
      <w:r w:rsidR="00DD1DFA" w:rsidRPr="00DD1DFA">
        <w:rPr>
          <w:noProof/>
        </w:rPr>
        <w:t xml:space="preserve"> o</w:t>
      </w:r>
      <w:r w:rsidR="00DD1DFA">
        <w:rPr>
          <w:noProof/>
        </w:rPr>
        <w:t> </w:t>
      </w:r>
      <w:r w:rsidR="00DD1DFA" w:rsidRPr="00DD1DFA">
        <w:rPr>
          <w:noProof/>
        </w:rPr>
        <w:t>fun</w:t>
      </w:r>
      <w:r w:rsidR="005B423D" w:rsidRPr="00DD1DFA">
        <w:rPr>
          <w:noProof/>
        </w:rPr>
        <w:t>kcjonowaniu Unii Europejskiej</w:t>
      </w:r>
      <w:r w:rsidR="00DD1DFA" w:rsidRPr="00DD1DFA">
        <w:rPr>
          <w:noProof/>
        </w:rPr>
        <w:t xml:space="preserve"> w</w:t>
      </w:r>
      <w:r w:rsidR="00DD1DFA">
        <w:rPr>
          <w:noProof/>
        </w:rPr>
        <w:t> </w:t>
      </w:r>
      <w:r w:rsidR="00DD1DFA" w:rsidRPr="00DD1DFA">
        <w:rPr>
          <w:noProof/>
        </w:rPr>
        <w:t>odn</w:t>
      </w:r>
      <w:r w:rsidR="005B423D" w:rsidRPr="00DD1DFA">
        <w:rPr>
          <w:noProof/>
        </w:rPr>
        <w:t>iesieniu do ustanawiania</w:t>
      </w:r>
      <w:r w:rsidR="00DD1DFA" w:rsidRPr="00DD1DFA">
        <w:rPr>
          <w:noProof/>
        </w:rPr>
        <w:t xml:space="preserve"> i</w:t>
      </w:r>
      <w:r w:rsidR="00DD1DFA">
        <w:rPr>
          <w:noProof/>
        </w:rPr>
        <w:t> </w:t>
      </w:r>
      <w:r w:rsidR="00DD1DFA" w:rsidRPr="00DD1DFA">
        <w:rPr>
          <w:noProof/>
        </w:rPr>
        <w:t>zmi</w:t>
      </w:r>
      <w:r w:rsidR="005B423D" w:rsidRPr="00DD1DFA">
        <w:rPr>
          <w:noProof/>
        </w:rPr>
        <w:t>any przepisów</w:t>
      </w:r>
      <w:r w:rsidR="00DD1DFA" w:rsidRPr="00DD1DFA">
        <w:rPr>
          <w:noProof/>
        </w:rPr>
        <w:t xml:space="preserve"> i</w:t>
      </w:r>
      <w:r w:rsidR="00DD1DFA">
        <w:rPr>
          <w:noProof/>
        </w:rPr>
        <w:t> </w:t>
      </w:r>
      <w:r w:rsidR="00DD1DFA" w:rsidRPr="00DD1DFA">
        <w:rPr>
          <w:noProof/>
        </w:rPr>
        <w:t>wym</w:t>
      </w:r>
      <w:r w:rsidR="005B423D" w:rsidRPr="00DD1DFA">
        <w:rPr>
          <w:noProof/>
        </w:rPr>
        <w:t>ogów technicznych dotyczących poszczególnych wyrobów; określania mających zastosowanie systemów oceny</w:t>
      </w:r>
      <w:r w:rsidR="00DD1DFA" w:rsidRPr="00DD1DFA">
        <w:rPr>
          <w:noProof/>
        </w:rPr>
        <w:t xml:space="preserve"> i</w:t>
      </w:r>
      <w:r w:rsidR="00DD1DFA">
        <w:rPr>
          <w:noProof/>
        </w:rPr>
        <w:t> </w:t>
      </w:r>
      <w:r w:rsidR="00DD1DFA" w:rsidRPr="00DD1DFA">
        <w:rPr>
          <w:noProof/>
        </w:rPr>
        <w:t>wer</w:t>
      </w:r>
      <w:r w:rsidR="005B423D" w:rsidRPr="00DD1DFA">
        <w:rPr>
          <w:noProof/>
        </w:rPr>
        <w:t>yfikacji; określania warunków, na jakich obowiązki wynikające</w:t>
      </w:r>
      <w:r w:rsidR="00DD1DFA" w:rsidRPr="00DD1DFA">
        <w:rPr>
          <w:noProof/>
        </w:rPr>
        <w:t xml:space="preserve"> z</w:t>
      </w:r>
      <w:r w:rsidR="00DD1DFA">
        <w:rPr>
          <w:noProof/>
        </w:rPr>
        <w:t> </w:t>
      </w:r>
      <w:r w:rsidR="00DD1DFA" w:rsidRPr="00DD1DFA">
        <w:rPr>
          <w:noProof/>
        </w:rPr>
        <w:t>inn</w:t>
      </w:r>
      <w:r w:rsidR="005B423D" w:rsidRPr="00DD1DFA">
        <w:rPr>
          <w:noProof/>
        </w:rPr>
        <w:t>ych przepisów prawa Unii powodują wypełnienie niektórych obowiązków wynikających</w:t>
      </w:r>
      <w:r w:rsidR="00DD1DFA" w:rsidRPr="00DD1DFA">
        <w:rPr>
          <w:noProof/>
        </w:rPr>
        <w:t xml:space="preserve"> z</w:t>
      </w:r>
      <w:r w:rsidR="00DD1DFA">
        <w:rPr>
          <w:noProof/>
        </w:rPr>
        <w:t> </w:t>
      </w:r>
      <w:r w:rsidR="00DD1DFA" w:rsidRPr="00DD1DFA">
        <w:rPr>
          <w:noProof/>
        </w:rPr>
        <w:t>nin</w:t>
      </w:r>
      <w:r w:rsidR="005B423D" w:rsidRPr="00DD1DFA">
        <w:rPr>
          <w:noProof/>
        </w:rPr>
        <w:t>iejszego rozporządzenia; zmiany wzoru deklaracji właściwości użytkowych</w:t>
      </w:r>
      <w:r w:rsidR="00DD1DFA" w:rsidRPr="00DD1DFA">
        <w:rPr>
          <w:noProof/>
        </w:rPr>
        <w:t xml:space="preserve"> i</w:t>
      </w:r>
      <w:r w:rsidR="00DD1DFA">
        <w:rPr>
          <w:noProof/>
        </w:rPr>
        <w:t> </w:t>
      </w:r>
      <w:r w:rsidR="00DD1DFA" w:rsidRPr="00DD1DFA">
        <w:rPr>
          <w:noProof/>
        </w:rPr>
        <w:t>dek</w:t>
      </w:r>
      <w:r w:rsidR="005B423D" w:rsidRPr="00DD1DFA">
        <w:rPr>
          <w:noProof/>
        </w:rPr>
        <w:t>laracji zgodności; ustanawiania dodatkowych obowiązków producentów; zmiany</w:t>
      </w:r>
      <w:r w:rsidR="00DD1DFA" w:rsidRPr="00DD1DFA">
        <w:rPr>
          <w:noProof/>
        </w:rPr>
        <w:t xml:space="preserve"> i</w:t>
      </w:r>
      <w:r w:rsidR="00DD1DFA">
        <w:rPr>
          <w:noProof/>
        </w:rPr>
        <w:t> </w:t>
      </w:r>
      <w:r w:rsidR="00DD1DFA" w:rsidRPr="00DD1DFA">
        <w:rPr>
          <w:noProof/>
        </w:rPr>
        <w:t>uzu</w:t>
      </w:r>
      <w:r w:rsidR="005B423D" w:rsidRPr="00DD1DFA">
        <w:rPr>
          <w:noProof/>
        </w:rPr>
        <w:t>pełniania przepisów proceduralnych dotyczących opracowywania europejskich dokumentów oceny; ustanawiania wymogów minimalnych dla organów nadzoru rynku; utworzenia unijnej bazy danych wyrobów budowlanych lub unijnego systemu informacji dotyczących wyrobów budowlanych; ustanawiania wymogów dotyczących zielonych zamówień publicznych oraz określania minimalnych sankcji. Szczególnie ważne jest, aby</w:t>
      </w:r>
      <w:r w:rsidR="00DD1DFA" w:rsidRPr="00DD1DFA">
        <w:rPr>
          <w:noProof/>
        </w:rPr>
        <w:t xml:space="preserve"> w</w:t>
      </w:r>
      <w:r w:rsidR="00DD1DFA">
        <w:rPr>
          <w:noProof/>
        </w:rPr>
        <w:t> </w:t>
      </w:r>
      <w:r w:rsidR="00DD1DFA" w:rsidRPr="00DD1DFA">
        <w:rPr>
          <w:noProof/>
        </w:rPr>
        <w:t>cza</w:t>
      </w:r>
      <w:r w:rsidR="005B423D" w:rsidRPr="00DD1DFA">
        <w:rPr>
          <w:noProof/>
        </w:rPr>
        <w:t>sie prac przygotowawczych Komisja prowadziła stosowne konsultacje,</w:t>
      </w:r>
      <w:r w:rsidR="00DD1DFA" w:rsidRPr="00DD1DFA">
        <w:rPr>
          <w:noProof/>
        </w:rPr>
        <w:t xml:space="preserve"> w</w:t>
      </w:r>
      <w:r w:rsidR="00DD1DFA">
        <w:rPr>
          <w:noProof/>
        </w:rPr>
        <w:t> </w:t>
      </w:r>
      <w:r w:rsidR="00DD1DFA" w:rsidRPr="00DD1DFA">
        <w:rPr>
          <w:noProof/>
        </w:rPr>
        <w:t>tym</w:t>
      </w:r>
      <w:r w:rsidR="005B423D" w:rsidRPr="00DD1DFA">
        <w:rPr>
          <w:noProof/>
        </w:rPr>
        <w:t xml:space="preserve"> na poziomie ekspertów, oraz aby konsultacje te prowadzone były zgodnie</w:t>
      </w:r>
      <w:r w:rsidR="00DD1DFA" w:rsidRPr="00DD1DFA">
        <w:rPr>
          <w:noProof/>
        </w:rPr>
        <w:t xml:space="preserve"> z</w:t>
      </w:r>
      <w:r w:rsidR="00DD1DFA">
        <w:rPr>
          <w:noProof/>
        </w:rPr>
        <w:t> </w:t>
      </w:r>
      <w:r w:rsidR="00DD1DFA" w:rsidRPr="00DD1DFA">
        <w:rPr>
          <w:noProof/>
        </w:rPr>
        <w:t>zas</w:t>
      </w:r>
      <w:r w:rsidR="005B423D" w:rsidRPr="00DD1DFA">
        <w:rPr>
          <w:noProof/>
        </w:rPr>
        <w:t>adami określonymi</w:t>
      </w:r>
      <w:r w:rsidR="00DD1DFA" w:rsidRPr="00DD1DFA">
        <w:rPr>
          <w:noProof/>
        </w:rPr>
        <w:t xml:space="preserve"> w</w:t>
      </w:r>
      <w:r w:rsidR="00DD1DFA">
        <w:rPr>
          <w:noProof/>
        </w:rPr>
        <w:t> </w:t>
      </w:r>
      <w:r w:rsidR="00DD1DFA" w:rsidRPr="00DD1DFA">
        <w:rPr>
          <w:noProof/>
        </w:rPr>
        <w:t>Por</w:t>
      </w:r>
      <w:r w:rsidR="005B423D" w:rsidRPr="00DD1DFA">
        <w:rPr>
          <w:noProof/>
        </w:rPr>
        <w:t>ozumieniu międzyinstytucjonalnym</w:t>
      </w:r>
      <w:r w:rsidR="00DD1DFA" w:rsidRPr="00DD1DFA">
        <w:rPr>
          <w:noProof/>
        </w:rPr>
        <w:t xml:space="preserve"> z</w:t>
      </w:r>
      <w:r w:rsidR="00DD1DFA">
        <w:rPr>
          <w:noProof/>
        </w:rPr>
        <w:t> </w:t>
      </w:r>
      <w:r w:rsidR="00DD1DFA" w:rsidRPr="00DD1DFA">
        <w:rPr>
          <w:noProof/>
        </w:rPr>
        <w:t>dni</w:t>
      </w:r>
      <w:r w:rsidR="005B423D" w:rsidRPr="00DD1DFA">
        <w:rPr>
          <w:noProof/>
        </w:rPr>
        <w:t>a 13 kwietnia 2016</w:t>
      </w:r>
      <w:r w:rsidR="00DD1DFA" w:rsidRPr="00DD1DFA">
        <w:rPr>
          <w:noProof/>
        </w:rPr>
        <w:t> </w:t>
      </w:r>
      <w:r w:rsidR="005B423D" w:rsidRPr="00DD1DFA">
        <w:rPr>
          <w:noProof/>
        </w:rPr>
        <w:t>r.</w:t>
      </w:r>
      <w:r w:rsidR="00DD1DFA" w:rsidRPr="00DD1DFA">
        <w:rPr>
          <w:noProof/>
        </w:rPr>
        <w:t xml:space="preserve"> w</w:t>
      </w:r>
      <w:r w:rsidR="00DD1DFA">
        <w:rPr>
          <w:noProof/>
        </w:rPr>
        <w:t> </w:t>
      </w:r>
      <w:r w:rsidR="00DD1DFA" w:rsidRPr="00DD1DFA">
        <w:rPr>
          <w:noProof/>
        </w:rPr>
        <w:t>spr</w:t>
      </w:r>
      <w:r w:rsidR="005B423D" w:rsidRPr="00DD1DFA">
        <w:rPr>
          <w:noProof/>
        </w:rPr>
        <w:t>awie lepszego stanowienia prawa</w:t>
      </w:r>
      <w:r w:rsidR="005B423D" w:rsidRPr="00DD1DFA">
        <w:rPr>
          <w:rStyle w:val="Odwoanieprzypisudolnego"/>
          <w:noProof/>
        </w:rPr>
        <w:footnoteReference w:id="41"/>
      </w:r>
      <w:r w:rsidR="00DD1DFA" w:rsidRPr="00DD1DFA">
        <w:rPr>
          <w:noProof/>
        </w:rPr>
        <w:t>. W</w:t>
      </w:r>
      <w:r w:rsidR="00DD1DFA">
        <w:rPr>
          <w:noProof/>
        </w:rPr>
        <w:t> </w:t>
      </w:r>
      <w:r w:rsidR="00DD1DFA" w:rsidRPr="00DD1DFA">
        <w:rPr>
          <w:noProof/>
        </w:rPr>
        <w:t>szc</w:t>
      </w:r>
      <w:r w:rsidR="005B423D" w:rsidRPr="00DD1DFA">
        <w:rPr>
          <w:noProof/>
        </w:rPr>
        <w:t>zególności, aby zapewnić Parlamentowi Europejskiemu</w:t>
      </w:r>
      <w:r w:rsidR="00DD1DFA" w:rsidRPr="00DD1DFA">
        <w:rPr>
          <w:noProof/>
        </w:rPr>
        <w:t xml:space="preserve"> i</w:t>
      </w:r>
      <w:r w:rsidR="00DD1DFA">
        <w:rPr>
          <w:noProof/>
        </w:rPr>
        <w:t> </w:t>
      </w:r>
      <w:r w:rsidR="00DD1DFA" w:rsidRPr="00DD1DFA">
        <w:rPr>
          <w:noProof/>
        </w:rPr>
        <w:t>Rad</w:t>
      </w:r>
      <w:r w:rsidR="005B423D" w:rsidRPr="00DD1DFA">
        <w:rPr>
          <w:noProof/>
        </w:rPr>
        <w:t>zie udział na równych zasadach</w:t>
      </w:r>
      <w:r w:rsidR="00DD1DFA" w:rsidRPr="00DD1DFA">
        <w:rPr>
          <w:noProof/>
        </w:rPr>
        <w:t xml:space="preserve"> w</w:t>
      </w:r>
      <w:r w:rsidR="00DD1DFA">
        <w:rPr>
          <w:noProof/>
        </w:rPr>
        <w:t> </w:t>
      </w:r>
      <w:r w:rsidR="00DD1DFA" w:rsidRPr="00DD1DFA">
        <w:rPr>
          <w:noProof/>
        </w:rPr>
        <w:t>prz</w:t>
      </w:r>
      <w:r w:rsidR="005B423D" w:rsidRPr="00DD1DFA">
        <w:rPr>
          <w:noProof/>
        </w:rPr>
        <w:t>ygotowaniu aktów delegowanych, instytucje te otrzymują wszelkie dokumenty</w:t>
      </w:r>
      <w:r w:rsidR="00DD1DFA" w:rsidRPr="00DD1DFA">
        <w:rPr>
          <w:noProof/>
        </w:rPr>
        <w:t xml:space="preserve"> w</w:t>
      </w:r>
      <w:r w:rsidR="00DD1DFA">
        <w:rPr>
          <w:noProof/>
        </w:rPr>
        <w:t> </w:t>
      </w:r>
      <w:r w:rsidR="00DD1DFA" w:rsidRPr="00DD1DFA">
        <w:rPr>
          <w:noProof/>
        </w:rPr>
        <w:t>tym</w:t>
      </w:r>
      <w:r w:rsidR="005B423D" w:rsidRPr="00DD1DFA">
        <w:rPr>
          <w:noProof/>
        </w:rPr>
        <w:t xml:space="preserve"> samym czasie co eksperci państw członkowskich,</w:t>
      </w:r>
      <w:r w:rsidR="00DD1DFA" w:rsidRPr="00DD1DFA">
        <w:rPr>
          <w:noProof/>
        </w:rPr>
        <w:t xml:space="preserve"> a</w:t>
      </w:r>
      <w:r w:rsidR="00DD1DFA">
        <w:rPr>
          <w:noProof/>
        </w:rPr>
        <w:t> </w:t>
      </w:r>
      <w:r w:rsidR="00DD1DFA" w:rsidRPr="00DD1DFA">
        <w:rPr>
          <w:noProof/>
        </w:rPr>
        <w:t>eks</w:t>
      </w:r>
      <w:r w:rsidR="005B423D" w:rsidRPr="00DD1DFA">
        <w:rPr>
          <w:noProof/>
        </w:rPr>
        <w:t>perci tych instytucji mogą systematycznie brać udział</w:t>
      </w:r>
      <w:r w:rsidR="00DD1DFA" w:rsidRPr="00DD1DFA">
        <w:rPr>
          <w:noProof/>
        </w:rPr>
        <w:t xml:space="preserve"> w</w:t>
      </w:r>
      <w:r w:rsidR="00DD1DFA">
        <w:rPr>
          <w:noProof/>
        </w:rPr>
        <w:t> </w:t>
      </w:r>
      <w:r w:rsidR="00DD1DFA" w:rsidRPr="00DD1DFA">
        <w:rPr>
          <w:noProof/>
        </w:rPr>
        <w:t>pos</w:t>
      </w:r>
      <w:r w:rsidR="005B423D" w:rsidRPr="00DD1DFA">
        <w:rPr>
          <w:noProof/>
        </w:rPr>
        <w:t xml:space="preserve">iedzeniach grup eksperckich Komisji zajmujących się przygotowaniem aktów delegowanych. </w:t>
      </w:r>
    </w:p>
    <w:p w14:paraId="105F9BF4" w14:textId="5346039D" w:rsidR="005B423D" w:rsidRPr="00DD1DFA" w:rsidRDefault="005F7EFA" w:rsidP="005F7EFA">
      <w:pPr>
        <w:pStyle w:val="ManualConsidrant"/>
        <w:rPr>
          <w:noProof/>
        </w:rPr>
      </w:pPr>
      <w:r w:rsidRPr="005F7EFA">
        <w:t>(93)</w:t>
      </w:r>
      <w:r w:rsidRPr="005F7EFA">
        <w:tab/>
      </w:r>
      <w:r w:rsidR="005B423D" w:rsidRPr="00DD1DFA">
        <w:rPr>
          <w:noProof/>
        </w:rPr>
        <w:t>W celu zapewnienia jednolitych warunków wykonywania niniejszego rozporządzenia należy powierzyć Komisji uprawnienia wykonawcze</w:t>
      </w:r>
      <w:r w:rsidR="00DD1DFA" w:rsidRPr="00DD1DFA">
        <w:rPr>
          <w:noProof/>
        </w:rPr>
        <w:t xml:space="preserve"> w</w:t>
      </w:r>
      <w:r w:rsidR="00DD1DFA">
        <w:rPr>
          <w:noProof/>
        </w:rPr>
        <w:t> </w:t>
      </w:r>
      <w:r w:rsidR="00DD1DFA" w:rsidRPr="00DD1DFA">
        <w:rPr>
          <w:noProof/>
        </w:rPr>
        <w:t>cel</w:t>
      </w:r>
      <w:r w:rsidR="005B423D" w:rsidRPr="00DD1DFA">
        <w:rPr>
          <w:noProof/>
        </w:rPr>
        <w:t>u ustanowienia środków przekazywania informacji; szczegółowego określenia sposobu wykonywania obowiązków</w:t>
      </w:r>
      <w:r w:rsidR="00DD1DFA" w:rsidRPr="00DD1DFA">
        <w:rPr>
          <w:noProof/>
        </w:rPr>
        <w:t xml:space="preserve"> i</w:t>
      </w:r>
      <w:r w:rsidR="00DD1DFA">
        <w:rPr>
          <w:noProof/>
        </w:rPr>
        <w:t> </w:t>
      </w:r>
      <w:r w:rsidR="00DD1DFA" w:rsidRPr="00DD1DFA">
        <w:rPr>
          <w:noProof/>
        </w:rPr>
        <w:t>pra</w:t>
      </w:r>
      <w:r w:rsidR="005B423D" w:rsidRPr="00DD1DFA">
        <w:rPr>
          <w:noProof/>
        </w:rPr>
        <w:t>w podmiotów gospodarczych; przyjęcia formatu europejskiej oceny technicznej; ustanowienia minimalnych zasobów wymaganych przez jednostki notyfikowane oraz umożliwienia organom państw trzecich dostęp do systemów informacyjnych na potrzeby zharmonizowanego podejmowania decyzji, do unijnej bazy danych wyrobów budowlanych lub unijnego systemu informacji dotyczących wyrobów budowlanych oraz do szkoleń prowadzonych</w:t>
      </w:r>
      <w:r w:rsidR="00DD1DFA" w:rsidRPr="00DD1DFA">
        <w:rPr>
          <w:noProof/>
        </w:rPr>
        <w:t xml:space="preserve"> w</w:t>
      </w:r>
      <w:r w:rsidR="00DD1DFA">
        <w:rPr>
          <w:noProof/>
        </w:rPr>
        <w:t> </w:t>
      </w:r>
      <w:r w:rsidR="00DD1DFA" w:rsidRPr="00DD1DFA">
        <w:rPr>
          <w:noProof/>
        </w:rPr>
        <w:t>kon</w:t>
      </w:r>
      <w:r w:rsidR="005B423D" w:rsidRPr="00DD1DFA">
        <w:rPr>
          <w:noProof/>
        </w:rPr>
        <w:t>tekście niniejszego rozporządzenia. Uprawnienia te powinny być wykonywane zgodnie</w:t>
      </w:r>
      <w:r w:rsidR="00DD1DFA" w:rsidRPr="00DD1DFA">
        <w:rPr>
          <w:noProof/>
        </w:rPr>
        <w:t xml:space="preserve"> z</w:t>
      </w:r>
      <w:r w:rsidR="00DD1DFA">
        <w:rPr>
          <w:noProof/>
        </w:rPr>
        <w:t> </w:t>
      </w:r>
      <w:r w:rsidR="00DD1DFA" w:rsidRPr="00DD1DFA">
        <w:rPr>
          <w:noProof/>
        </w:rPr>
        <w:t>roz</w:t>
      </w:r>
      <w:r w:rsidR="005B423D" w:rsidRPr="00DD1DFA">
        <w:rPr>
          <w:noProof/>
        </w:rPr>
        <w:t>porządzeniem Parlamentu Europejskiego</w:t>
      </w:r>
      <w:r w:rsidR="00DD1DFA" w:rsidRPr="00DD1DFA">
        <w:rPr>
          <w:noProof/>
        </w:rPr>
        <w:t xml:space="preserve"> i</w:t>
      </w:r>
      <w:r w:rsidR="00DD1DFA">
        <w:rPr>
          <w:noProof/>
        </w:rPr>
        <w:t> </w:t>
      </w:r>
      <w:r w:rsidR="00DD1DFA" w:rsidRPr="00DD1DFA">
        <w:rPr>
          <w:noProof/>
        </w:rPr>
        <w:t>Rad</w:t>
      </w:r>
      <w:r w:rsidR="005B423D" w:rsidRPr="00DD1DFA">
        <w:rPr>
          <w:noProof/>
        </w:rPr>
        <w:t>y (UE) nr</w:t>
      </w:r>
      <w:r w:rsidR="00DD1DFA" w:rsidRPr="00DD1DFA">
        <w:rPr>
          <w:noProof/>
        </w:rPr>
        <w:t> </w:t>
      </w:r>
      <w:r w:rsidR="005B423D" w:rsidRPr="00DD1DFA">
        <w:rPr>
          <w:noProof/>
        </w:rPr>
        <w:t>182/2011</w:t>
      </w:r>
      <w:r w:rsidR="005B423D" w:rsidRPr="00DD1DFA">
        <w:rPr>
          <w:rStyle w:val="Odwoanieprzypisudolnego"/>
          <w:noProof/>
        </w:rPr>
        <w:footnoteReference w:id="42"/>
      </w:r>
      <w:r w:rsidR="005B423D" w:rsidRPr="00DD1DFA">
        <w:rPr>
          <w:noProof/>
        </w:rPr>
        <w:t xml:space="preserve">. </w:t>
      </w:r>
    </w:p>
    <w:p w14:paraId="3EEEA506" w14:textId="513E04AB" w:rsidR="005B423D" w:rsidRPr="00DD1DFA" w:rsidRDefault="005F7EFA" w:rsidP="005F7EFA">
      <w:pPr>
        <w:pStyle w:val="ManualConsidrant"/>
        <w:rPr>
          <w:noProof/>
        </w:rPr>
      </w:pPr>
      <w:r w:rsidRPr="005F7EFA">
        <w:t>(94)</w:t>
      </w:r>
      <w:r w:rsidRPr="005F7EFA">
        <w:tab/>
      </w:r>
      <w:r w:rsidR="005B423D" w:rsidRPr="00DD1DFA">
        <w:rPr>
          <w:noProof/>
        </w:rPr>
        <w:t>Komisja powinna przyjąć akty wykonawcze mające natychmiastowe zastosowanie jeżeli jest to uzasadnione szczególnie pilną potrzebą</w:t>
      </w:r>
      <w:r w:rsidR="00DD1DFA" w:rsidRPr="00DD1DFA">
        <w:rPr>
          <w:noProof/>
        </w:rPr>
        <w:t xml:space="preserve"> w</w:t>
      </w:r>
      <w:r w:rsidR="00DD1DFA">
        <w:rPr>
          <w:noProof/>
        </w:rPr>
        <w:t> </w:t>
      </w:r>
      <w:r w:rsidR="00DD1DFA" w:rsidRPr="00DD1DFA">
        <w:rPr>
          <w:noProof/>
        </w:rPr>
        <w:t>uza</w:t>
      </w:r>
      <w:r w:rsidR="005B423D" w:rsidRPr="00DD1DFA">
        <w:rPr>
          <w:noProof/>
        </w:rPr>
        <w:t xml:space="preserve">sadnionych przypadkach związanych ze zdrowiem lub bezpieczeństwem ludzi lub ochroną środowiska. </w:t>
      </w:r>
    </w:p>
    <w:p w14:paraId="5BDDEADD" w14:textId="5A8F946D" w:rsidR="005B423D" w:rsidRPr="00DD1DFA" w:rsidRDefault="005F7EFA" w:rsidP="005F7EFA">
      <w:pPr>
        <w:pStyle w:val="ManualConsidrant"/>
        <w:rPr>
          <w:noProof/>
        </w:rPr>
      </w:pPr>
      <w:r w:rsidRPr="005F7EFA">
        <w:t>(95)</w:t>
      </w:r>
      <w:r w:rsidRPr="005F7EFA">
        <w:tab/>
      </w:r>
      <w:r w:rsidR="005B423D" w:rsidRPr="00DD1DFA">
        <w:rPr>
          <w:noProof/>
        </w:rPr>
        <w:t>W rozporządzeniu Parlamentu Europejskiego</w:t>
      </w:r>
      <w:r w:rsidR="00DD1DFA" w:rsidRPr="00DD1DFA">
        <w:rPr>
          <w:noProof/>
        </w:rPr>
        <w:t xml:space="preserve"> i</w:t>
      </w:r>
      <w:r w:rsidR="00DD1DFA">
        <w:rPr>
          <w:noProof/>
        </w:rPr>
        <w:t> </w:t>
      </w:r>
      <w:r w:rsidR="00DD1DFA" w:rsidRPr="00DD1DFA">
        <w:rPr>
          <w:noProof/>
        </w:rPr>
        <w:t>Rad</w:t>
      </w:r>
      <w:r w:rsidR="005B423D" w:rsidRPr="00DD1DFA">
        <w:rPr>
          <w:noProof/>
        </w:rPr>
        <w:t>y (UE) 2019/1020 określono przepisy dotyczące horyzontalnych ram nadzoru rynku</w:t>
      </w:r>
      <w:r w:rsidR="00DD1DFA" w:rsidRPr="00DD1DFA">
        <w:rPr>
          <w:noProof/>
        </w:rPr>
        <w:t xml:space="preserve"> i</w:t>
      </w:r>
      <w:r w:rsidR="00DD1DFA">
        <w:rPr>
          <w:noProof/>
        </w:rPr>
        <w:t> </w:t>
      </w:r>
      <w:r w:rsidR="00DD1DFA" w:rsidRPr="00DD1DFA">
        <w:rPr>
          <w:noProof/>
        </w:rPr>
        <w:t>kon</w:t>
      </w:r>
      <w:r w:rsidR="005B423D" w:rsidRPr="00DD1DFA">
        <w:rPr>
          <w:noProof/>
        </w:rPr>
        <w:t>troli produktów wprowadzanych na rynek Unii</w:t>
      </w:r>
      <w:r w:rsidR="00DD1DFA" w:rsidRPr="00DD1DFA">
        <w:rPr>
          <w:noProof/>
        </w:rPr>
        <w:t>. W</w:t>
      </w:r>
      <w:r w:rsidR="00DD1DFA">
        <w:rPr>
          <w:noProof/>
        </w:rPr>
        <w:t> </w:t>
      </w:r>
      <w:r w:rsidR="00DD1DFA" w:rsidRPr="00DD1DFA">
        <w:rPr>
          <w:noProof/>
        </w:rPr>
        <w:t>cel</w:t>
      </w:r>
      <w:r w:rsidR="005B423D" w:rsidRPr="00DD1DFA">
        <w:rPr>
          <w:noProof/>
        </w:rPr>
        <w:t>u zapewnienia, aby wyroby,</w:t>
      </w:r>
      <w:r w:rsidR="00DD1DFA" w:rsidRPr="00DD1DFA">
        <w:rPr>
          <w:noProof/>
        </w:rPr>
        <w:t xml:space="preserve"> o</w:t>
      </w:r>
      <w:r w:rsidR="00DD1DFA">
        <w:rPr>
          <w:noProof/>
        </w:rPr>
        <w:t> </w:t>
      </w:r>
      <w:r w:rsidR="00DD1DFA" w:rsidRPr="00DD1DFA">
        <w:rPr>
          <w:noProof/>
        </w:rPr>
        <w:t>któ</w:t>
      </w:r>
      <w:r w:rsidR="005B423D" w:rsidRPr="00DD1DFA">
        <w:rPr>
          <w:noProof/>
        </w:rPr>
        <w:t>rych mowa</w:t>
      </w:r>
      <w:r w:rsidR="00DD1DFA" w:rsidRPr="00DD1DFA">
        <w:rPr>
          <w:noProof/>
        </w:rPr>
        <w:t xml:space="preserve"> w</w:t>
      </w:r>
      <w:r w:rsidR="00DD1DFA">
        <w:rPr>
          <w:noProof/>
        </w:rPr>
        <w:t> </w:t>
      </w:r>
      <w:r w:rsidR="00DD1DFA" w:rsidRPr="00DD1DFA">
        <w:rPr>
          <w:noProof/>
        </w:rPr>
        <w:t>nin</w:t>
      </w:r>
      <w:r w:rsidR="005B423D" w:rsidRPr="00DD1DFA">
        <w:rPr>
          <w:noProof/>
        </w:rPr>
        <w:t>iejszym rozporządzeniu,</w:t>
      </w:r>
      <w:r w:rsidR="00DD1DFA" w:rsidRPr="00DD1DFA">
        <w:rPr>
          <w:noProof/>
        </w:rPr>
        <w:t xml:space="preserve"> i</w:t>
      </w:r>
      <w:r w:rsidR="00DD1DFA">
        <w:rPr>
          <w:noProof/>
        </w:rPr>
        <w:t> </w:t>
      </w:r>
      <w:r w:rsidR="00DD1DFA" w:rsidRPr="00DD1DFA">
        <w:rPr>
          <w:noProof/>
        </w:rPr>
        <w:t>któ</w:t>
      </w:r>
      <w:r w:rsidR="005B423D" w:rsidRPr="00DD1DFA">
        <w:rPr>
          <w:noProof/>
        </w:rPr>
        <w:t>re korzystają ze swobodnego przepływu towarów</w:t>
      </w:r>
      <w:r w:rsidR="00DD1DFA" w:rsidRPr="00DD1DFA">
        <w:rPr>
          <w:noProof/>
        </w:rPr>
        <w:t xml:space="preserve"> w</w:t>
      </w:r>
      <w:r w:rsidR="00DD1DFA">
        <w:rPr>
          <w:noProof/>
        </w:rPr>
        <w:t> </w:t>
      </w:r>
      <w:r w:rsidR="00DD1DFA" w:rsidRPr="00DD1DFA">
        <w:rPr>
          <w:noProof/>
        </w:rPr>
        <w:t>Uni</w:t>
      </w:r>
      <w:r w:rsidR="005B423D" w:rsidRPr="00DD1DFA">
        <w:rPr>
          <w:noProof/>
        </w:rPr>
        <w:t>i, spełniały wymogi zapewniające wysoki poziom ochrony interesów publicznych, takich jak ochrona zdrowia ludzkiego</w:t>
      </w:r>
      <w:r w:rsidR="00DD1DFA" w:rsidRPr="00DD1DFA">
        <w:rPr>
          <w:noProof/>
        </w:rPr>
        <w:t xml:space="preserve"> i</w:t>
      </w:r>
      <w:r w:rsidR="00DD1DFA">
        <w:rPr>
          <w:noProof/>
        </w:rPr>
        <w:t> </w:t>
      </w:r>
      <w:r w:rsidR="00DD1DFA" w:rsidRPr="00DD1DFA">
        <w:rPr>
          <w:noProof/>
        </w:rPr>
        <w:t>bez</w:t>
      </w:r>
      <w:r w:rsidR="005B423D" w:rsidRPr="00DD1DFA">
        <w:rPr>
          <w:noProof/>
        </w:rPr>
        <w:t>pieczeństwa oraz ochrona środowiska, rozporządzenie to powinno mieć zastosowanie również do wyrobów objętych niniejszym rozporządzeniem,</w:t>
      </w:r>
      <w:r w:rsidR="00DD1DFA" w:rsidRPr="00DD1DFA">
        <w:rPr>
          <w:noProof/>
        </w:rPr>
        <w:t xml:space="preserve"> o</w:t>
      </w:r>
      <w:r w:rsidR="00DD1DFA">
        <w:rPr>
          <w:noProof/>
        </w:rPr>
        <w:t> </w:t>
      </w:r>
      <w:r w:rsidR="00DD1DFA" w:rsidRPr="00DD1DFA">
        <w:rPr>
          <w:noProof/>
        </w:rPr>
        <w:t>ile w</w:t>
      </w:r>
      <w:r w:rsidR="00DD1DFA">
        <w:rPr>
          <w:noProof/>
        </w:rPr>
        <w:t> </w:t>
      </w:r>
      <w:r w:rsidR="00DD1DFA" w:rsidRPr="00DD1DFA">
        <w:rPr>
          <w:noProof/>
        </w:rPr>
        <w:t>nin</w:t>
      </w:r>
      <w:r w:rsidR="005B423D" w:rsidRPr="00DD1DFA">
        <w:rPr>
          <w:noProof/>
        </w:rPr>
        <w:t>iejszym rozporządzeniu nie ma przepisów szczegółowych mających taki sam cel, charakter lub skutek. Należy zatem odpowiednio zmienić rozporządzenie (UE) 2019/1020.</w:t>
      </w:r>
    </w:p>
    <w:p w14:paraId="57218C77" w14:textId="53901C03" w:rsidR="00181517" w:rsidRPr="00DD1DFA" w:rsidRDefault="005F7EFA" w:rsidP="005F7EFA">
      <w:pPr>
        <w:pStyle w:val="ManualConsidrant"/>
        <w:rPr>
          <w:noProof/>
        </w:rPr>
      </w:pPr>
      <w:r w:rsidRPr="005F7EFA">
        <w:t>(96)</w:t>
      </w:r>
      <w:r w:rsidRPr="005F7EFA">
        <w:tab/>
      </w:r>
      <w:r w:rsidR="00181517" w:rsidRPr="00DD1DFA">
        <w:rPr>
          <w:noProof/>
        </w:rPr>
        <w:t>Aby usprawnić wykonanie niniejszego rozporządzenia</w:t>
      </w:r>
      <w:r w:rsidR="00DD1DFA" w:rsidRPr="00DD1DFA">
        <w:rPr>
          <w:noProof/>
        </w:rPr>
        <w:t xml:space="preserve"> i</w:t>
      </w:r>
      <w:r w:rsidR="00DD1DFA">
        <w:rPr>
          <w:noProof/>
        </w:rPr>
        <w:t> </w:t>
      </w:r>
      <w:r w:rsidR="00DD1DFA" w:rsidRPr="00DD1DFA">
        <w:rPr>
          <w:noProof/>
        </w:rPr>
        <w:t>zmn</w:t>
      </w:r>
      <w:r w:rsidR="00181517" w:rsidRPr="00DD1DFA">
        <w:rPr>
          <w:noProof/>
        </w:rPr>
        <w:t>iejszyć obciążenie podmiotów gospodarczych, powinna istnieć możliwość składania wniosków</w:t>
      </w:r>
      <w:r w:rsidR="00DD1DFA" w:rsidRPr="00DD1DFA">
        <w:rPr>
          <w:noProof/>
        </w:rPr>
        <w:t xml:space="preserve"> i</w:t>
      </w:r>
      <w:r w:rsidR="00DD1DFA">
        <w:rPr>
          <w:noProof/>
        </w:rPr>
        <w:t> </w:t>
      </w:r>
      <w:r w:rsidR="00DD1DFA" w:rsidRPr="00DD1DFA">
        <w:rPr>
          <w:noProof/>
        </w:rPr>
        <w:t>pod</w:t>
      </w:r>
      <w:r w:rsidR="00181517" w:rsidRPr="00DD1DFA">
        <w:rPr>
          <w:noProof/>
        </w:rPr>
        <w:t>ejmowania decyzji</w:t>
      </w:r>
      <w:r w:rsidR="00DD1DFA" w:rsidRPr="00DD1DFA">
        <w:rPr>
          <w:noProof/>
        </w:rPr>
        <w:t xml:space="preserve"> w</w:t>
      </w:r>
      <w:r w:rsidR="00DD1DFA">
        <w:rPr>
          <w:noProof/>
        </w:rPr>
        <w:t> </w:t>
      </w:r>
      <w:r w:rsidR="00DD1DFA" w:rsidRPr="00DD1DFA">
        <w:rPr>
          <w:noProof/>
        </w:rPr>
        <w:t>for</w:t>
      </w:r>
      <w:r w:rsidR="00181517" w:rsidRPr="00DD1DFA">
        <w:rPr>
          <w:noProof/>
        </w:rPr>
        <w:t>mie papierowej lub</w:t>
      </w:r>
      <w:r w:rsidR="00DD1DFA" w:rsidRPr="00DD1DFA">
        <w:rPr>
          <w:noProof/>
        </w:rPr>
        <w:t xml:space="preserve"> w</w:t>
      </w:r>
      <w:r w:rsidR="00DD1DFA">
        <w:rPr>
          <w:noProof/>
        </w:rPr>
        <w:t> </w:t>
      </w:r>
      <w:r w:rsidR="00DD1DFA" w:rsidRPr="00DD1DFA">
        <w:rPr>
          <w:noProof/>
        </w:rPr>
        <w:t>pow</w:t>
      </w:r>
      <w:r w:rsidR="00181517" w:rsidRPr="00DD1DFA">
        <w:rPr>
          <w:noProof/>
        </w:rPr>
        <w:t>szechnie stosowanym formacie elektronicznym. Aby uzyskać pewność prawa, wnioski</w:t>
      </w:r>
      <w:r w:rsidR="00DD1DFA" w:rsidRPr="00DD1DFA">
        <w:rPr>
          <w:noProof/>
        </w:rPr>
        <w:t xml:space="preserve"> i</w:t>
      </w:r>
      <w:r w:rsidR="00DD1DFA">
        <w:rPr>
          <w:noProof/>
        </w:rPr>
        <w:t> </w:t>
      </w:r>
      <w:r w:rsidR="00DD1DFA" w:rsidRPr="00DD1DFA">
        <w:rPr>
          <w:noProof/>
        </w:rPr>
        <w:t>dec</w:t>
      </w:r>
      <w:r w:rsidR="00181517" w:rsidRPr="00DD1DFA">
        <w:rPr>
          <w:noProof/>
        </w:rPr>
        <w:t>yzje powinny być ważne tylko wtedy, gdy podpis elektroniczny spełnia wymogi określone</w:t>
      </w:r>
      <w:r w:rsidR="00DD1DFA" w:rsidRPr="00DD1DFA">
        <w:rPr>
          <w:noProof/>
        </w:rPr>
        <w:t xml:space="preserve"> w</w:t>
      </w:r>
      <w:r w:rsidR="00DD1DFA">
        <w:rPr>
          <w:noProof/>
        </w:rPr>
        <w:t> </w:t>
      </w:r>
      <w:r w:rsidR="00DD1DFA" w:rsidRPr="00DD1DFA">
        <w:rPr>
          <w:noProof/>
        </w:rPr>
        <w:t>roz</w:t>
      </w:r>
      <w:r w:rsidR="00181517" w:rsidRPr="00DD1DFA">
        <w:rPr>
          <w:noProof/>
        </w:rPr>
        <w:t>porządzeniu Parlamentu Europejskiego</w:t>
      </w:r>
      <w:r w:rsidR="00DD1DFA" w:rsidRPr="00DD1DFA">
        <w:rPr>
          <w:noProof/>
        </w:rPr>
        <w:t xml:space="preserve"> i</w:t>
      </w:r>
      <w:r w:rsidR="00DD1DFA">
        <w:rPr>
          <w:noProof/>
        </w:rPr>
        <w:t> </w:t>
      </w:r>
      <w:r w:rsidR="00DD1DFA" w:rsidRPr="00DD1DFA">
        <w:rPr>
          <w:noProof/>
        </w:rPr>
        <w:t>Rad</w:t>
      </w:r>
      <w:r w:rsidR="00181517" w:rsidRPr="00DD1DFA">
        <w:rPr>
          <w:noProof/>
        </w:rPr>
        <w:t>y (UE) nr</w:t>
      </w:r>
      <w:r w:rsidR="00DD1DFA" w:rsidRPr="00DD1DFA">
        <w:rPr>
          <w:noProof/>
        </w:rPr>
        <w:t> </w:t>
      </w:r>
      <w:r w:rsidR="00181517" w:rsidRPr="00DD1DFA">
        <w:rPr>
          <w:noProof/>
        </w:rPr>
        <w:t>910/2014</w:t>
      </w:r>
      <w:r w:rsidR="00DD1DFA" w:rsidRPr="00DD1DFA">
        <w:rPr>
          <w:noProof/>
        </w:rPr>
        <w:t xml:space="preserve"> i</w:t>
      </w:r>
      <w:r w:rsidR="00DD1DFA">
        <w:rPr>
          <w:noProof/>
        </w:rPr>
        <w:t> </w:t>
      </w:r>
      <w:r w:rsidR="00DD1DFA" w:rsidRPr="00DD1DFA">
        <w:rPr>
          <w:noProof/>
        </w:rPr>
        <w:t>gdy</w:t>
      </w:r>
      <w:r w:rsidR="00181517" w:rsidRPr="00DD1DFA">
        <w:rPr>
          <w:noProof/>
        </w:rPr>
        <w:t xml:space="preserve"> osobie podpisującej powierzono reprezentowanie organu lub podmiotu gospodarczego, zgodnie</w:t>
      </w:r>
      <w:r w:rsidR="00DD1DFA" w:rsidRPr="00DD1DFA">
        <w:rPr>
          <w:noProof/>
        </w:rPr>
        <w:t xml:space="preserve"> z</w:t>
      </w:r>
      <w:r w:rsidR="00DD1DFA">
        <w:rPr>
          <w:noProof/>
        </w:rPr>
        <w:t> </w:t>
      </w:r>
      <w:r w:rsidR="00DD1DFA" w:rsidRPr="00DD1DFA">
        <w:rPr>
          <w:noProof/>
        </w:rPr>
        <w:t>pra</w:t>
      </w:r>
      <w:r w:rsidR="00181517" w:rsidRPr="00DD1DFA">
        <w:rPr>
          <w:noProof/>
        </w:rPr>
        <w:t>wem poszczególnych państw członkowskich lub prawem Unii.</w:t>
      </w:r>
    </w:p>
    <w:p w14:paraId="3D169D94" w14:textId="34664C76" w:rsidR="00181517" w:rsidRPr="00DD1DFA" w:rsidRDefault="005F7EFA" w:rsidP="005F7EFA">
      <w:pPr>
        <w:pStyle w:val="ManualConsidrant"/>
        <w:rPr>
          <w:noProof/>
        </w:rPr>
      </w:pPr>
      <w:r w:rsidRPr="005F7EFA">
        <w:t>(97)</w:t>
      </w:r>
      <w:r w:rsidRPr="005F7EFA">
        <w:tab/>
      </w:r>
      <w:r w:rsidR="00181517" w:rsidRPr="00DD1DFA">
        <w:rPr>
          <w:noProof/>
        </w:rPr>
        <w:t>Aby jeszcze bardziej zmniejszyć obciążenie podmiotów gospodarczych, powinna istnieć możliwość dostarczenia dokumentacji</w:t>
      </w:r>
      <w:r w:rsidR="00DD1DFA" w:rsidRPr="00DD1DFA">
        <w:rPr>
          <w:noProof/>
        </w:rPr>
        <w:t xml:space="preserve"> w</w:t>
      </w:r>
      <w:r w:rsidR="00DD1DFA">
        <w:rPr>
          <w:noProof/>
        </w:rPr>
        <w:t> </w:t>
      </w:r>
      <w:r w:rsidR="00DD1DFA" w:rsidRPr="00DD1DFA">
        <w:rPr>
          <w:noProof/>
        </w:rPr>
        <w:t>pow</w:t>
      </w:r>
      <w:r w:rsidR="00181517" w:rsidRPr="00DD1DFA">
        <w:rPr>
          <w:noProof/>
        </w:rPr>
        <w:t>szechnie stosowanym formacie elektronicznym oraz domyślnego wypełniania wymogów informacyjnych drogą elektroniczną.</w:t>
      </w:r>
    </w:p>
    <w:p w14:paraId="27A80345" w14:textId="4F275EA2" w:rsidR="00181517" w:rsidRPr="00DD1DFA" w:rsidRDefault="005F7EFA" w:rsidP="005F7EFA">
      <w:pPr>
        <w:pStyle w:val="ManualConsidrant"/>
        <w:rPr>
          <w:noProof/>
        </w:rPr>
      </w:pPr>
      <w:r w:rsidRPr="005F7EFA">
        <w:t>(98)</w:t>
      </w:r>
      <w:r w:rsidRPr="005F7EFA">
        <w:tab/>
      </w:r>
      <w:r w:rsidR="00181517" w:rsidRPr="00DD1DFA">
        <w:rPr>
          <w:noProof/>
        </w:rPr>
        <w:t>W celu zapewnienia wysokiego poziomu zgodności</w:t>
      </w:r>
      <w:r w:rsidR="00DD1DFA" w:rsidRPr="00DD1DFA">
        <w:rPr>
          <w:noProof/>
        </w:rPr>
        <w:t xml:space="preserve"> z</w:t>
      </w:r>
      <w:r w:rsidR="00DD1DFA">
        <w:rPr>
          <w:noProof/>
        </w:rPr>
        <w:t> </w:t>
      </w:r>
      <w:r w:rsidR="00DD1DFA" w:rsidRPr="00DD1DFA">
        <w:rPr>
          <w:noProof/>
        </w:rPr>
        <w:t>nin</w:t>
      </w:r>
      <w:r w:rsidR="00181517" w:rsidRPr="00DD1DFA">
        <w:rPr>
          <w:noProof/>
        </w:rPr>
        <w:t>iejszym rozporządzeniem państwa członkowskie powinny ustanowić przepisy dotyczące kar stosowanych</w:t>
      </w:r>
      <w:r w:rsidR="00DD1DFA" w:rsidRPr="00DD1DFA">
        <w:rPr>
          <w:noProof/>
        </w:rPr>
        <w:t xml:space="preserve"> w</w:t>
      </w:r>
      <w:r w:rsidR="00DD1DFA">
        <w:rPr>
          <w:noProof/>
        </w:rPr>
        <w:t> </w:t>
      </w:r>
      <w:r w:rsidR="00DD1DFA" w:rsidRPr="00DD1DFA">
        <w:rPr>
          <w:noProof/>
        </w:rPr>
        <w:t>prz</w:t>
      </w:r>
      <w:r w:rsidR="00181517" w:rsidRPr="00DD1DFA">
        <w:rPr>
          <w:noProof/>
        </w:rPr>
        <w:t>ypadku niezgodności</w:t>
      </w:r>
      <w:r w:rsidR="00DD1DFA" w:rsidRPr="00DD1DFA">
        <w:rPr>
          <w:noProof/>
        </w:rPr>
        <w:t xml:space="preserve"> i</w:t>
      </w:r>
      <w:r w:rsidR="00DD1DFA">
        <w:rPr>
          <w:noProof/>
        </w:rPr>
        <w:t> </w:t>
      </w:r>
      <w:r w:rsidR="00DD1DFA" w:rsidRPr="00DD1DFA">
        <w:rPr>
          <w:noProof/>
        </w:rPr>
        <w:t>zap</w:t>
      </w:r>
      <w:r w:rsidR="00181517" w:rsidRPr="00DD1DFA">
        <w:rPr>
          <w:noProof/>
        </w:rPr>
        <w:t>ewnić egzekwowanie tych przepisów. Przewidziane sankcje powinny być skuteczne, proporcjonalne</w:t>
      </w:r>
      <w:r w:rsidR="00DD1DFA" w:rsidRPr="00DD1DFA">
        <w:rPr>
          <w:noProof/>
        </w:rPr>
        <w:t xml:space="preserve"> i</w:t>
      </w:r>
      <w:r w:rsidR="00DD1DFA">
        <w:rPr>
          <w:noProof/>
        </w:rPr>
        <w:t> </w:t>
      </w:r>
      <w:r w:rsidR="00DD1DFA" w:rsidRPr="00DD1DFA">
        <w:rPr>
          <w:noProof/>
        </w:rPr>
        <w:t>ods</w:t>
      </w:r>
      <w:r w:rsidR="00181517" w:rsidRPr="00DD1DFA">
        <w:rPr>
          <w:noProof/>
        </w:rPr>
        <w:t>traszające. Aby zapewnić osiągnięcie tych celów oraz zharmonizowane kary, Komisji należy przyznać uprawnienia do ustanawiania minimalnych kar</w:t>
      </w:r>
      <w:r w:rsidR="00DD1DFA" w:rsidRPr="00DD1DFA">
        <w:rPr>
          <w:noProof/>
        </w:rPr>
        <w:t xml:space="preserve"> w</w:t>
      </w:r>
      <w:r w:rsidR="00DD1DFA">
        <w:rPr>
          <w:noProof/>
        </w:rPr>
        <w:t> </w:t>
      </w:r>
      <w:r w:rsidR="00DD1DFA" w:rsidRPr="00DD1DFA">
        <w:rPr>
          <w:noProof/>
        </w:rPr>
        <w:t>dro</w:t>
      </w:r>
      <w:r w:rsidR="00181517" w:rsidRPr="00DD1DFA">
        <w:rPr>
          <w:noProof/>
        </w:rPr>
        <w:t>dze aktów przyjętych na podstawie art.</w:t>
      </w:r>
      <w:r w:rsidR="00DD1DFA" w:rsidRPr="00DD1DFA">
        <w:rPr>
          <w:noProof/>
        </w:rPr>
        <w:t> </w:t>
      </w:r>
      <w:r w:rsidR="00181517" w:rsidRPr="00DD1DFA">
        <w:rPr>
          <w:noProof/>
        </w:rPr>
        <w:t>290 Traktatu</w:t>
      </w:r>
      <w:r w:rsidR="00DD1DFA" w:rsidRPr="00DD1DFA">
        <w:rPr>
          <w:noProof/>
        </w:rPr>
        <w:t xml:space="preserve"> o</w:t>
      </w:r>
      <w:r w:rsidR="00DD1DFA">
        <w:rPr>
          <w:noProof/>
        </w:rPr>
        <w:t> </w:t>
      </w:r>
      <w:r w:rsidR="00DD1DFA" w:rsidRPr="00DD1DFA">
        <w:rPr>
          <w:noProof/>
        </w:rPr>
        <w:t>fun</w:t>
      </w:r>
      <w:r w:rsidR="00181517" w:rsidRPr="00DD1DFA">
        <w:rPr>
          <w:noProof/>
        </w:rPr>
        <w:t>kcjonowaniu Unii Europejskiej.</w:t>
      </w:r>
    </w:p>
    <w:p w14:paraId="739232FF" w14:textId="55E862E9" w:rsidR="00181517" w:rsidRPr="00DD1DFA" w:rsidRDefault="005F7EFA" w:rsidP="005F7EFA">
      <w:pPr>
        <w:pStyle w:val="ManualConsidrant"/>
        <w:rPr>
          <w:noProof/>
        </w:rPr>
      </w:pPr>
      <w:r w:rsidRPr="005F7EFA">
        <w:t>(99)</w:t>
      </w:r>
      <w:r w:rsidRPr="005F7EFA">
        <w:tab/>
      </w:r>
      <w:r w:rsidR="00181517" w:rsidRPr="00DD1DFA">
        <w:rPr>
          <w:noProof/>
        </w:rPr>
        <w:t>W celu zagwarantowania pewności prawa należy określić, czy</w:t>
      </w:r>
      <w:r w:rsidR="00DD1DFA" w:rsidRPr="00DD1DFA">
        <w:rPr>
          <w:noProof/>
        </w:rPr>
        <w:t xml:space="preserve"> i</w:t>
      </w:r>
      <w:r w:rsidR="00DD1DFA">
        <w:rPr>
          <w:noProof/>
        </w:rPr>
        <w:t> </w:t>
      </w:r>
      <w:r w:rsidR="00DD1DFA" w:rsidRPr="00DD1DFA">
        <w:rPr>
          <w:noProof/>
        </w:rPr>
        <w:t>jak</w:t>
      </w:r>
      <w:r w:rsidR="00181517" w:rsidRPr="00DD1DFA">
        <w:rPr>
          <w:noProof/>
        </w:rPr>
        <w:t xml:space="preserve"> długo wyznaczenie punktów kontaktowych ds. wyrobów budowlanych, JOT lub jednostek notyfikowanych,</w:t>
      </w:r>
      <w:r w:rsidR="00DD1DFA" w:rsidRPr="00DD1DFA">
        <w:rPr>
          <w:noProof/>
        </w:rPr>
        <w:t xml:space="preserve"> a</w:t>
      </w:r>
      <w:r w:rsidR="00DD1DFA">
        <w:rPr>
          <w:noProof/>
        </w:rPr>
        <w:t> </w:t>
      </w:r>
      <w:r w:rsidR="00DD1DFA" w:rsidRPr="00DD1DFA">
        <w:rPr>
          <w:noProof/>
        </w:rPr>
        <w:t>tak</w:t>
      </w:r>
      <w:r w:rsidR="00181517" w:rsidRPr="00DD1DFA">
        <w:rPr>
          <w:noProof/>
        </w:rPr>
        <w:t>że normy zharmonizowane, europejskie dokumenty oceny, europejskie oceny techniczne</w:t>
      </w:r>
      <w:r w:rsidR="00DD1DFA" w:rsidRPr="00DD1DFA">
        <w:rPr>
          <w:noProof/>
        </w:rPr>
        <w:t xml:space="preserve"> i</w:t>
      </w:r>
      <w:r w:rsidR="00DD1DFA">
        <w:rPr>
          <w:noProof/>
        </w:rPr>
        <w:t> </w:t>
      </w:r>
      <w:r w:rsidR="00DD1DFA" w:rsidRPr="00DD1DFA">
        <w:rPr>
          <w:noProof/>
        </w:rPr>
        <w:t>cer</w:t>
      </w:r>
      <w:r w:rsidR="00181517" w:rsidRPr="00DD1DFA">
        <w:rPr>
          <w:noProof/>
        </w:rPr>
        <w:t>tyfikaty jednostek notyfikowanych lub sprawozdania</w:t>
      </w:r>
      <w:r w:rsidR="00DD1DFA" w:rsidRPr="00DD1DFA">
        <w:rPr>
          <w:noProof/>
        </w:rPr>
        <w:t xml:space="preserve"> z</w:t>
      </w:r>
      <w:r w:rsidR="00DD1DFA">
        <w:rPr>
          <w:noProof/>
        </w:rPr>
        <w:t> </w:t>
      </w:r>
      <w:r w:rsidR="00DD1DFA" w:rsidRPr="00DD1DFA">
        <w:rPr>
          <w:noProof/>
        </w:rPr>
        <w:t>bad</w:t>
      </w:r>
      <w:r w:rsidR="00181517" w:rsidRPr="00DD1DFA">
        <w:rPr>
          <w:noProof/>
        </w:rPr>
        <w:t>ań przyjęte lub wydane na podstawie rozporządzenia (UE) 305/2011 zachowują skutki prawne na podstawie niniejszego rozporządzenia. Odpowiednie okresy przejściowe powinny być wystarczająco długie, aby uniknąć wąskich gardeł</w:t>
      </w:r>
      <w:r w:rsidR="00DD1DFA" w:rsidRPr="00DD1DFA">
        <w:rPr>
          <w:noProof/>
        </w:rPr>
        <w:t xml:space="preserve"> w</w:t>
      </w:r>
      <w:r w:rsidR="00DD1DFA">
        <w:rPr>
          <w:noProof/>
        </w:rPr>
        <w:t> </w:t>
      </w:r>
      <w:r w:rsidR="00DD1DFA" w:rsidRPr="00DD1DFA">
        <w:rPr>
          <w:noProof/>
        </w:rPr>
        <w:t>zak</w:t>
      </w:r>
      <w:r w:rsidR="00181517" w:rsidRPr="00DD1DFA">
        <w:rPr>
          <w:noProof/>
        </w:rPr>
        <w:t>resie wyznaczania jednostek notyfikowanych i JOT oraz przyjmowania lub wydawania europejskich dokumentów oceny, europejskich ocen technicznych oraz certyfikatów jednostki notyfikowanej lub sprawozdań</w:t>
      </w:r>
      <w:r w:rsidR="00DD1DFA" w:rsidRPr="00DD1DFA">
        <w:rPr>
          <w:noProof/>
        </w:rPr>
        <w:t xml:space="preserve"> z</w:t>
      </w:r>
      <w:r w:rsidR="00DD1DFA">
        <w:rPr>
          <w:noProof/>
        </w:rPr>
        <w:t> </w:t>
      </w:r>
      <w:r w:rsidR="00DD1DFA" w:rsidRPr="00DD1DFA">
        <w:rPr>
          <w:noProof/>
        </w:rPr>
        <w:t>bad</w:t>
      </w:r>
      <w:r w:rsidR="00181517" w:rsidRPr="00DD1DFA">
        <w:rPr>
          <w:noProof/>
        </w:rPr>
        <w:t>ań.</w:t>
      </w:r>
    </w:p>
    <w:p w14:paraId="4ABB6509" w14:textId="67702FD8" w:rsidR="00181517" w:rsidRPr="00DD1DFA" w:rsidRDefault="005F7EFA" w:rsidP="005F7EFA">
      <w:pPr>
        <w:pStyle w:val="ManualConsidrant"/>
        <w:rPr>
          <w:noProof/>
        </w:rPr>
      </w:pPr>
      <w:r w:rsidRPr="005F7EFA">
        <w:t>(100)</w:t>
      </w:r>
      <w:r w:rsidRPr="005F7EFA">
        <w:tab/>
      </w:r>
      <w:r w:rsidR="00181517" w:rsidRPr="00DD1DFA">
        <w:rPr>
          <w:noProof/>
        </w:rPr>
        <w:t>Aby zagwarantować pewność prawa, należy sprecyzować, jak długo wyroby wprowadzane na obrotu na podstawie europejskich dokumentów oceny przyjętych na podstawie rozporządzenia (UE) nr</w:t>
      </w:r>
      <w:r w:rsidR="00DD1DFA" w:rsidRPr="00DD1DFA">
        <w:rPr>
          <w:noProof/>
        </w:rPr>
        <w:t> </w:t>
      </w:r>
      <w:r w:rsidR="00181517" w:rsidRPr="00DD1DFA">
        <w:rPr>
          <w:noProof/>
        </w:rPr>
        <w:t>305/2011 mogą pozostawać</w:t>
      </w:r>
      <w:r w:rsidR="00DD1DFA" w:rsidRPr="00DD1DFA">
        <w:rPr>
          <w:noProof/>
        </w:rPr>
        <w:t xml:space="preserve"> w</w:t>
      </w:r>
      <w:r w:rsidR="00DD1DFA">
        <w:rPr>
          <w:noProof/>
        </w:rPr>
        <w:t> </w:t>
      </w:r>
      <w:r w:rsidR="00DD1DFA" w:rsidRPr="00DD1DFA">
        <w:rPr>
          <w:noProof/>
        </w:rPr>
        <w:t>sie</w:t>
      </w:r>
      <w:r w:rsidR="00181517" w:rsidRPr="00DD1DFA">
        <w:rPr>
          <w:noProof/>
        </w:rPr>
        <w:t>ci dystrybucji,</w:t>
      </w:r>
      <w:r w:rsidR="00DD1DFA" w:rsidRPr="00DD1DFA">
        <w:rPr>
          <w:noProof/>
        </w:rPr>
        <w:t xml:space="preserve"> a</w:t>
      </w:r>
      <w:r w:rsidR="00DD1DFA">
        <w:rPr>
          <w:noProof/>
        </w:rPr>
        <w:t> </w:t>
      </w:r>
      <w:r w:rsidR="00DD1DFA" w:rsidRPr="00DD1DFA">
        <w:rPr>
          <w:noProof/>
        </w:rPr>
        <w:t>tym</w:t>
      </w:r>
      <w:r w:rsidR="00181517" w:rsidRPr="00DD1DFA">
        <w:rPr>
          <w:noProof/>
        </w:rPr>
        <w:t xml:space="preserve"> samym być dalej udostępniane na rynku. Podobnie jak</w:t>
      </w:r>
      <w:r w:rsidR="00DD1DFA" w:rsidRPr="00DD1DFA">
        <w:rPr>
          <w:noProof/>
        </w:rPr>
        <w:t xml:space="preserve"> w</w:t>
      </w:r>
      <w:r w:rsidR="00DD1DFA">
        <w:rPr>
          <w:noProof/>
        </w:rPr>
        <w:t> </w:t>
      </w:r>
      <w:r w:rsidR="00DD1DFA" w:rsidRPr="00DD1DFA">
        <w:rPr>
          <w:noProof/>
        </w:rPr>
        <w:t>prz</w:t>
      </w:r>
      <w:r w:rsidR="00181517" w:rsidRPr="00DD1DFA">
        <w:rPr>
          <w:noProof/>
        </w:rPr>
        <w:t>ypadku praktyki stosowanej na podstawie innych przepisów dotyczących wyrobów, za odpowiedni okres uważa się pięć lat po upływie terminu ważności europejskiej oceny technicznej, na podstawie której zostały one wprowadzone do obrotu</w:t>
      </w:r>
      <w:r w:rsidR="00DD1DFA" w:rsidRPr="00DD1DFA">
        <w:rPr>
          <w:noProof/>
        </w:rPr>
        <w:t>. W</w:t>
      </w:r>
      <w:r w:rsidR="00DD1DFA">
        <w:rPr>
          <w:noProof/>
        </w:rPr>
        <w:t> </w:t>
      </w:r>
      <w:r w:rsidR="00DD1DFA" w:rsidRPr="00DD1DFA">
        <w:rPr>
          <w:noProof/>
        </w:rPr>
        <w:t>ten</w:t>
      </w:r>
      <w:r w:rsidR="00181517" w:rsidRPr="00DD1DFA">
        <w:rPr>
          <w:noProof/>
        </w:rPr>
        <w:t xml:space="preserve"> sposób</w:t>
      </w:r>
      <w:r w:rsidR="00DD1DFA" w:rsidRPr="00DD1DFA">
        <w:rPr>
          <w:noProof/>
        </w:rPr>
        <w:t xml:space="preserve"> w</w:t>
      </w:r>
      <w:r w:rsidR="00DD1DFA">
        <w:rPr>
          <w:noProof/>
        </w:rPr>
        <w:t> </w:t>
      </w:r>
      <w:r w:rsidR="00DD1DFA" w:rsidRPr="00DD1DFA">
        <w:rPr>
          <w:noProof/>
        </w:rPr>
        <w:t>cią</w:t>
      </w:r>
      <w:r w:rsidR="00181517" w:rsidRPr="00DD1DFA">
        <w:rPr>
          <w:noProof/>
        </w:rPr>
        <w:t>gu sześciu lat od wejścia</w:t>
      </w:r>
      <w:r w:rsidR="00DD1DFA" w:rsidRPr="00DD1DFA">
        <w:rPr>
          <w:noProof/>
        </w:rPr>
        <w:t xml:space="preserve"> w</w:t>
      </w:r>
      <w:r w:rsidR="00DD1DFA">
        <w:rPr>
          <w:noProof/>
        </w:rPr>
        <w:t> </w:t>
      </w:r>
      <w:r w:rsidR="00DD1DFA" w:rsidRPr="00DD1DFA">
        <w:rPr>
          <w:noProof/>
        </w:rPr>
        <w:t>życ</w:t>
      </w:r>
      <w:r w:rsidR="00181517" w:rsidRPr="00DD1DFA">
        <w:rPr>
          <w:noProof/>
        </w:rPr>
        <w:t>ie zharmonizowanej specyfikacji technicznej przyjętej na podstawie niniejszego rozporządzenia wszystkie wyroby sprzedawane użytkownikom będą zgodne z tą zharmonizowaną specyfikacją techniczną</w:t>
      </w:r>
      <w:r w:rsidR="00DD1DFA" w:rsidRPr="00DD1DFA">
        <w:rPr>
          <w:noProof/>
        </w:rPr>
        <w:t xml:space="preserve"> i</w:t>
      </w:r>
      <w:r w:rsidR="00DD1DFA">
        <w:rPr>
          <w:noProof/>
        </w:rPr>
        <w:t> </w:t>
      </w:r>
      <w:r w:rsidR="00DD1DFA" w:rsidRPr="00DD1DFA">
        <w:rPr>
          <w:noProof/>
        </w:rPr>
        <w:t>z</w:t>
      </w:r>
      <w:r w:rsidR="00DD1DFA">
        <w:rPr>
          <w:noProof/>
        </w:rPr>
        <w:t> </w:t>
      </w:r>
      <w:r w:rsidR="00DD1DFA" w:rsidRPr="00DD1DFA">
        <w:rPr>
          <w:noProof/>
        </w:rPr>
        <w:t>nin</w:t>
      </w:r>
      <w:r w:rsidR="00181517" w:rsidRPr="00DD1DFA">
        <w:rPr>
          <w:noProof/>
        </w:rPr>
        <w:t>iejszym rozporządzeniem.</w:t>
      </w:r>
    </w:p>
    <w:p w14:paraId="121FE29D" w14:textId="03A837C5" w:rsidR="00181517" w:rsidRPr="00DD1DFA" w:rsidRDefault="005F7EFA" w:rsidP="005F7EFA">
      <w:pPr>
        <w:pStyle w:val="ManualConsidrant"/>
        <w:rPr>
          <w:noProof/>
        </w:rPr>
      </w:pPr>
      <w:r w:rsidRPr="005F7EFA">
        <w:t>(101)</w:t>
      </w:r>
      <w:r w:rsidRPr="005F7EFA">
        <w:tab/>
      </w:r>
      <w:r w:rsidR="00181517" w:rsidRPr="00DD1DFA">
        <w:rPr>
          <w:noProof/>
        </w:rPr>
        <w:t>Zarówno zasadnicze charakterystyki wyrobów budowlanych, jak</w:t>
      </w:r>
      <w:r w:rsidR="00DD1DFA" w:rsidRPr="00DD1DFA">
        <w:rPr>
          <w:noProof/>
        </w:rPr>
        <w:t xml:space="preserve"> i</w:t>
      </w:r>
      <w:r w:rsidR="00DD1DFA">
        <w:rPr>
          <w:noProof/>
        </w:rPr>
        <w:t> </w:t>
      </w:r>
      <w:r w:rsidR="00DD1DFA" w:rsidRPr="00DD1DFA">
        <w:rPr>
          <w:noProof/>
        </w:rPr>
        <w:t>met</w:t>
      </w:r>
      <w:r w:rsidR="00181517" w:rsidRPr="00DD1DFA">
        <w:rPr>
          <w:noProof/>
        </w:rPr>
        <w:t>ody ich oceny można określić wyłącznie</w:t>
      </w:r>
      <w:r w:rsidR="00DD1DFA" w:rsidRPr="00DD1DFA">
        <w:rPr>
          <w:noProof/>
        </w:rPr>
        <w:t xml:space="preserve"> w</w:t>
      </w:r>
      <w:r w:rsidR="00DD1DFA">
        <w:rPr>
          <w:noProof/>
        </w:rPr>
        <w:t> </w:t>
      </w:r>
      <w:r w:rsidR="00DD1DFA" w:rsidRPr="00DD1DFA">
        <w:rPr>
          <w:noProof/>
        </w:rPr>
        <w:t>ram</w:t>
      </w:r>
      <w:r w:rsidR="00181517" w:rsidRPr="00DD1DFA">
        <w:rPr>
          <w:noProof/>
        </w:rPr>
        <w:t>ach zharmonizowanych specyfikacji technicznych, które zostaną opracowane dla poszczególnych grup</w:t>
      </w:r>
      <w:r w:rsidR="00DD1DFA" w:rsidRPr="00DD1DFA">
        <w:rPr>
          <w:noProof/>
        </w:rPr>
        <w:t xml:space="preserve"> i</w:t>
      </w:r>
      <w:r w:rsidR="00DD1DFA">
        <w:rPr>
          <w:noProof/>
        </w:rPr>
        <w:t> </w:t>
      </w:r>
      <w:r w:rsidR="00DD1DFA" w:rsidRPr="00DD1DFA">
        <w:rPr>
          <w:noProof/>
        </w:rPr>
        <w:t>rod</w:t>
      </w:r>
      <w:r w:rsidR="00181517" w:rsidRPr="00DD1DFA">
        <w:rPr>
          <w:noProof/>
        </w:rPr>
        <w:t>zin wyrobów</w:t>
      </w:r>
      <w:r w:rsidR="00DD1DFA" w:rsidRPr="00DD1DFA">
        <w:rPr>
          <w:noProof/>
        </w:rPr>
        <w:t>. W</w:t>
      </w:r>
      <w:r w:rsidR="00DD1DFA">
        <w:rPr>
          <w:noProof/>
        </w:rPr>
        <w:t> </w:t>
      </w:r>
      <w:r w:rsidR="00DD1DFA" w:rsidRPr="00DD1DFA">
        <w:rPr>
          <w:noProof/>
        </w:rPr>
        <w:t>zwi</w:t>
      </w:r>
      <w:r w:rsidR="00181517" w:rsidRPr="00DD1DFA">
        <w:rPr>
          <w:noProof/>
        </w:rPr>
        <w:t>ązku</w:t>
      </w:r>
      <w:r w:rsidR="00DD1DFA" w:rsidRPr="00DD1DFA">
        <w:rPr>
          <w:noProof/>
        </w:rPr>
        <w:t xml:space="preserve"> z</w:t>
      </w:r>
      <w:r w:rsidR="00DD1DFA">
        <w:rPr>
          <w:noProof/>
        </w:rPr>
        <w:t> </w:t>
      </w:r>
      <w:r w:rsidR="00DD1DFA" w:rsidRPr="00DD1DFA">
        <w:rPr>
          <w:noProof/>
        </w:rPr>
        <w:t>tym</w:t>
      </w:r>
      <w:r w:rsidR="00181517" w:rsidRPr="00DD1DFA">
        <w:rPr>
          <w:noProof/>
        </w:rPr>
        <w:t xml:space="preserve"> wymogi</w:t>
      </w:r>
      <w:r w:rsidR="00DD1DFA" w:rsidRPr="00DD1DFA">
        <w:rPr>
          <w:noProof/>
        </w:rPr>
        <w:t xml:space="preserve"> i</w:t>
      </w:r>
      <w:r w:rsidR="00DD1DFA">
        <w:rPr>
          <w:noProof/>
        </w:rPr>
        <w:t> </w:t>
      </w:r>
      <w:r w:rsidR="00DD1DFA" w:rsidRPr="00DD1DFA">
        <w:rPr>
          <w:noProof/>
        </w:rPr>
        <w:t>zob</w:t>
      </w:r>
      <w:r w:rsidR="00181517" w:rsidRPr="00DD1DFA">
        <w:rPr>
          <w:noProof/>
        </w:rPr>
        <w:t>owiązania nałożone na podmioty gospodarcze</w:t>
      </w:r>
      <w:r w:rsidR="00DD1DFA" w:rsidRPr="00DD1DFA">
        <w:rPr>
          <w:noProof/>
        </w:rPr>
        <w:t xml:space="preserve"> w</w:t>
      </w:r>
      <w:r w:rsidR="00DD1DFA">
        <w:rPr>
          <w:noProof/>
        </w:rPr>
        <w:t> </w:t>
      </w:r>
      <w:r w:rsidR="00DD1DFA" w:rsidRPr="00DD1DFA">
        <w:rPr>
          <w:noProof/>
        </w:rPr>
        <w:t>odn</w:t>
      </w:r>
      <w:r w:rsidR="00181517" w:rsidRPr="00DD1DFA">
        <w:rPr>
          <w:noProof/>
        </w:rPr>
        <w:t>iesieniu do określonej grupy lub rodziny wyrobów należy stosować obowiązkowo dopiero po upływie sześciu miesięcy od wejścia</w:t>
      </w:r>
      <w:r w:rsidR="00DD1DFA" w:rsidRPr="00DD1DFA">
        <w:rPr>
          <w:noProof/>
        </w:rPr>
        <w:t xml:space="preserve"> w</w:t>
      </w:r>
      <w:r w:rsidR="00DD1DFA">
        <w:rPr>
          <w:noProof/>
        </w:rPr>
        <w:t> </w:t>
      </w:r>
      <w:r w:rsidR="00DD1DFA" w:rsidRPr="00DD1DFA">
        <w:rPr>
          <w:noProof/>
        </w:rPr>
        <w:t>życ</w:t>
      </w:r>
      <w:r w:rsidR="00181517" w:rsidRPr="00DD1DFA">
        <w:rPr>
          <w:noProof/>
        </w:rPr>
        <w:t>ie zharmonizowanej specyfikacji technicznej obejmującej daną grupę lub rodzinę wyrobów.</w:t>
      </w:r>
    </w:p>
    <w:p w14:paraId="6C455A6E" w14:textId="68C25E4A" w:rsidR="00181517" w:rsidRPr="00DD1DFA" w:rsidRDefault="005F7EFA" w:rsidP="005F7EFA">
      <w:pPr>
        <w:pStyle w:val="ManualConsidrant"/>
        <w:rPr>
          <w:noProof/>
        </w:rPr>
      </w:pPr>
      <w:r w:rsidRPr="005F7EFA">
        <w:t>(102)</w:t>
      </w:r>
      <w:r w:rsidRPr="005F7EFA">
        <w:tab/>
      </w:r>
      <w:r w:rsidR="00181517" w:rsidRPr="00DD1DFA">
        <w:rPr>
          <w:noProof/>
        </w:rPr>
        <w:t>Aby ułatwić sprawne wprowadzanie przyszłych zharmonizowanych specyfikacji technicznych, uwzględniając również czas potrzebny do sporządzenia deklaracji właściwości użytkowych lub deklaracji zgodności, należy zezwolić podmiotom gospodarczym na dobrowolne stosowanie niniejszego rozporządzenia od dnia wejścia</w:t>
      </w:r>
      <w:r w:rsidR="00DD1DFA" w:rsidRPr="00DD1DFA">
        <w:rPr>
          <w:noProof/>
        </w:rPr>
        <w:t xml:space="preserve"> w</w:t>
      </w:r>
      <w:r w:rsidR="00DD1DFA">
        <w:rPr>
          <w:noProof/>
        </w:rPr>
        <w:t> </w:t>
      </w:r>
      <w:r w:rsidR="00DD1DFA" w:rsidRPr="00DD1DFA">
        <w:rPr>
          <w:noProof/>
        </w:rPr>
        <w:t>życ</w:t>
      </w:r>
      <w:r w:rsidR="00181517" w:rsidRPr="00DD1DFA">
        <w:rPr>
          <w:noProof/>
        </w:rPr>
        <w:t>ie zharmonizowanych specyfikacji technicznych.</w:t>
      </w:r>
    </w:p>
    <w:p w14:paraId="3BAB0D0C" w14:textId="503DAA7D" w:rsidR="00181517" w:rsidRPr="00DD1DFA" w:rsidRDefault="005F7EFA" w:rsidP="005F7EFA">
      <w:pPr>
        <w:pStyle w:val="ManualConsidrant"/>
        <w:rPr>
          <w:noProof/>
        </w:rPr>
      </w:pPr>
      <w:r w:rsidRPr="005F7EFA">
        <w:t>(103)</w:t>
      </w:r>
      <w:r w:rsidRPr="005F7EFA">
        <w:tab/>
      </w:r>
      <w:r w:rsidR="00181517" w:rsidRPr="00DD1DFA">
        <w:rPr>
          <w:noProof/>
        </w:rPr>
        <w:t>Należy unikać sytuacji,</w:t>
      </w:r>
      <w:r w:rsidR="00DD1DFA" w:rsidRPr="00DD1DFA">
        <w:rPr>
          <w:noProof/>
        </w:rPr>
        <w:t xml:space="preserve"> w</w:t>
      </w:r>
      <w:r w:rsidR="00DD1DFA">
        <w:rPr>
          <w:noProof/>
        </w:rPr>
        <w:t> </w:t>
      </w:r>
      <w:r w:rsidR="00DD1DFA" w:rsidRPr="00DD1DFA">
        <w:rPr>
          <w:noProof/>
        </w:rPr>
        <w:t>któ</w:t>
      </w:r>
      <w:r w:rsidR="00181517" w:rsidRPr="00DD1DFA">
        <w:rPr>
          <w:noProof/>
        </w:rPr>
        <w:t>rej podmioty gospodarcze mogłyby</w:t>
      </w:r>
      <w:r w:rsidR="00DD1DFA" w:rsidRPr="00DD1DFA">
        <w:rPr>
          <w:noProof/>
        </w:rPr>
        <w:t xml:space="preserve"> w</w:t>
      </w:r>
      <w:r w:rsidR="00DD1DFA">
        <w:rPr>
          <w:noProof/>
        </w:rPr>
        <w:t> </w:t>
      </w:r>
      <w:r w:rsidR="00DD1DFA" w:rsidRPr="00DD1DFA">
        <w:rPr>
          <w:noProof/>
        </w:rPr>
        <w:t>spo</w:t>
      </w:r>
      <w:r w:rsidR="00181517" w:rsidRPr="00DD1DFA">
        <w:rPr>
          <w:noProof/>
        </w:rPr>
        <w:t>sób trwały obchodzić stosowanie niniejszego rozporządzenia poprzez zastosowanie zharmonizowanych specyfikacji technicznych przyjętych na podstawie rozporządzenia (UE) nr</w:t>
      </w:r>
      <w:r w:rsidR="00DD1DFA" w:rsidRPr="00DD1DFA">
        <w:rPr>
          <w:noProof/>
        </w:rPr>
        <w:t> </w:t>
      </w:r>
      <w:r w:rsidR="00181517" w:rsidRPr="00DD1DFA">
        <w:rPr>
          <w:noProof/>
        </w:rPr>
        <w:t>305/2011</w:t>
      </w:r>
      <w:r w:rsidR="00DD1DFA" w:rsidRPr="00DD1DFA">
        <w:rPr>
          <w:noProof/>
        </w:rPr>
        <w:t>. Z</w:t>
      </w:r>
      <w:r w:rsidR="00DD1DFA">
        <w:rPr>
          <w:noProof/>
        </w:rPr>
        <w:t> </w:t>
      </w:r>
      <w:r w:rsidR="00DD1DFA" w:rsidRPr="00DD1DFA">
        <w:rPr>
          <w:noProof/>
        </w:rPr>
        <w:t>teg</w:t>
      </w:r>
      <w:r w:rsidR="00181517" w:rsidRPr="00DD1DFA">
        <w:rPr>
          <w:noProof/>
        </w:rPr>
        <w:t>o powodu Komisja powinna wycofać</w:t>
      </w:r>
      <w:r w:rsidR="00DD1DFA" w:rsidRPr="00DD1DFA">
        <w:rPr>
          <w:noProof/>
        </w:rPr>
        <w:t xml:space="preserve"> z</w:t>
      </w:r>
      <w:r w:rsidR="00DD1DFA">
        <w:rPr>
          <w:noProof/>
        </w:rPr>
        <w:t> </w:t>
      </w:r>
      <w:r w:rsidR="00DD1DFA" w:rsidRPr="00DD1DFA">
        <w:rPr>
          <w:noProof/>
        </w:rPr>
        <w:t>Dzi</w:t>
      </w:r>
      <w:r w:rsidR="00181517" w:rsidRPr="00DD1DFA">
        <w:rPr>
          <w:noProof/>
        </w:rPr>
        <w:t>ennika Urzędowego odniesienia do norm zharmonizowanych</w:t>
      </w:r>
      <w:r w:rsidR="00DD1DFA" w:rsidRPr="00DD1DFA">
        <w:rPr>
          <w:noProof/>
        </w:rPr>
        <w:t xml:space="preserve"> i</w:t>
      </w:r>
      <w:r w:rsidR="00DD1DFA">
        <w:rPr>
          <w:noProof/>
        </w:rPr>
        <w:t> </w:t>
      </w:r>
      <w:r w:rsidR="00DD1DFA" w:rsidRPr="00DD1DFA">
        <w:rPr>
          <w:noProof/>
        </w:rPr>
        <w:t>eur</w:t>
      </w:r>
      <w:r w:rsidR="00181517" w:rsidRPr="00DD1DFA">
        <w:rPr>
          <w:noProof/>
        </w:rPr>
        <w:t>opejskich dokumentów oceny opublikowanych na podstawie rozporządzenia (UE) nr</w:t>
      </w:r>
      <w:r w:rsidR="00DD1DFA" w:rsidRPr="00DD1DFA">
        <w:rPr>
          <w:noProof/>
        </w:rPr>
        <w:t> </w:t>
      </w:r>
      <w:r w:rsidR="00181517" w:rsidRPr="00DD1DFA">
        <w:rPr>
          <w:noProof/>
        </w:rPr>
        <w:t>305/2011</w:t>
      </w:r>
      <w:r w:rsidR="00DD1DFA" w:rsidRPr="00DD1DFA">
        <w:rPr>
          <w:noProof/>
        </w:rPr>
        <w:t xml:space="preserve"> i</w:t>
      </w:r>
      <w:r w:rsidR="00DD1DFA">
        <w:rPr>
          <w:noProof/>
        </w:rPr>
        <w:t> </w:t>
      </w:r>
      <w:r w:rsidR="00DD1DFA" w:rsidRPr="00DD1DFA">
        <w:rPr>
          <w:noProof/>
        </w:rPr>
        <w:t>obe</w:t>
      </w:r>
      <w:r w:rsidR="00181517" w:rsidRPr="00DD1DFA">
        <w:rPr>
          <w:noProof/>
        </w:rPr>
        <w:t>jmujących daną grupę lub rodzinę wyrobów przed upływem dwóch lat od wejścia</w:t>
      </w:r>
      <w:r w:rsidR="00DD1DFA" w:rsidRPr="00DD1DFA">
        <w:rPr>
          <w:noProof/>
        </w:rPr>
        <w:t xml:space="preserve"> w</w:t>
      </w:r>
      <w:r w:rsidR="00DD1DFA">
        <w:rPr>
          <w:noProof/>
        </w:rPr>
        <w:t> </w:t>
      </w:r>
      <w:r w:rsidR="00DD1DFA" w:rsidRPr="00DD1DFA">
        <w:rPr>
          <w:noProof/>
        </w:rPr>
        <w:t>życ</w:t>
      </w:r>
      <w:r w:rsidR="00181517" w:rsidRPr="00DD1DFA">
        <w:rPr>
          <w:noProof/>
        </w:rPr>
        <w:t>ie zharmonizowanej specyfikacji technicznej przyjętej na podstawie niniejszego rozporządzenia</w:t>
      </w:r>
      <w:r w:rsidR="00DD1DFA" w:rsidRPr="00DD1DFA">
        <w:rPr>
          <w:noProof/>
        </w:rPr>
        <w:t xml:space="preserve"> i</w:t>
      </w:r>
      <w:r w:rsidR="00DD1DFA">
        <w:rPr>
          <w:noProof/>
        </w:rPr>
        <w:t> </w:t>
      </w:r>
      <w:r w:rsidR="00DD1DFA" w:rsidRPr="00DD1DFA">
        <w:rPr>
          <w:noProof/>
        </w:rPr>
        <w:t>obe</w:t>
      </w:r>
      <w:r w:rsidR="00181517" w:rsidRPr="00DD1DFA">
        <w:rPr>
          <w:noProof/>
        </w:rPr>
        <w:t xml:space="preserve">jmującej tę grupę lub rodzinę wyrobów. </w:t>
      </w:r>
    </w:p>
    <w:p w14:paraId="2C204C2B" w14:textId="21FF0A5F" w:rsidR="00181517" w:rsidRPr="00DD1DFA" w:rsidRDefault="005F7EFA" w:rsidP="005F7EFA">
      <w:pPr>
        <w:pStyle w:val="ManualConsidrant"/>
        <w:rPr>
          <w:noProof/>
        </w:rPr>
      </w:pPr>
      <w:r w:rsidRPr="005F7EFA">
        <w:t>(104)</w:t>
      </w:r>
      <w:r w:rsidRPr="005F7EFA">
        <w:tab/>
      </w:r>
      <w:r w:rsidR="009E4A82" w:rsidRPr="00DD1DFA">
        <w:rPr>
          <w:noProof/>
        </w:rPr>
        <w:t>Aby</w:t>
      </w:r>
      <w:r w:rsidR="00DD1DFA" w:rsidRPr="00DD1DFA">
        <w:rPr>
          <w:noProof/>
        </w:rPr>
        <w:t xml:space="preserve"> w</w:t>
      </w:r>
      <w:r w:rsidR="00DD1DFA">
        <w:rPr>
          <w:noProof/>
        </w:rPr>
        <w:t> </w:t>
      </w:r>
      <w:r w:rsidR="00DD1DFA" w:rsidRPr="00DD1DFA">
        <w:rPr>
          <w:noProof/>
        </w:rPr>
        <w:t>peł</w:t>
      </w:r>
      <w:r w:rsidR="009E4A82" w:rsidRPr="00DD1DFA">
        <w:rPr>
          <w:noProof/>
        </w:rPr>
        <w:t>ni uwzględnić ocenę oddziaływania na środowisko wyrobów budowlanych oraz odpowiednio uwzględnić wymogi dotyczące wyrobów, które obowiązują nawet</w:t>
      </w:r>
      <w:r w:rsidR="00DD1DFA" w:rsidRPr="00DD1DFA">
        <w:rPr>
          <w:noProof/>
        </w:rPr>
        <w:t xml:space="preserve"> w</w:t>
      </w:r>
      <w:r w:rsidR="00DD1DFA">
        <w:rPr>
          <w:noProof/>
        </w:rPr>
        <w:t> </w:t>
      </w:r>
      <w:r w:rsidR="00DD1DFA" w:rsidRPr="00DD1DFA">
        <w:rPr>
          <w:noProof/>
        </w:rPr>
        <w:t>obe</w:t>
      </w:r>
      <w:r w:rsidR="009E4A82" w:rsidRPr="00DD1DFA">
        <w:rPr>
          <w:noProof/>
        </w:rPr>
        <w:t>cnych zharmonizowanych specyfikacjach technicznych, należy opracować bardziej kompleksowy załącznik I,</w:t>
      </w:r>
      <w:r w:rsidR="00DD1DFA" w:rsidRPr="00DD1DFA">
        <w:rPr>
          <w:noProof/>
        </w:rPr>
        <w:t xml:space="preserve"> w</w:t>
      </w:r>
      <w:r w:rsidR="00DD1DFA">
        <w:rPr>
          <w:noProof/>
        </w:rPr>
        <w:t> </w:t>
      </w:r>
      <w:r w:rsidR="00DD1DFA" w:rsidRPr="00DD1DFA">
        <w:rPr>
          <w:noProof/>
        </w:rPr>
        <w:t>któ</w:t>
      </w:r>
      <w:r w:rsidR="009E4A82" w:rsidRPr="00DD1DFA">
        <w:rPr>
          <w:noProof/>
        </w:rPr>
        <w:t>rym należy również zawrzeć szczegółowy wykaz zasadniczych charakterystyk związanych</w:t>
      </w:r>
      <w:r w:rsidR="00DD1DFA" w:rsidRPr="00DD1DFA">
        <w:rPr>
          <w:noProof/>
        </w:rPr>
        <w:t xml:space="preserve"> z</w:t>
      </w:r>
      <w:r w:rsidR="00DD1DFA">
        <w:rPr>
          <w:noProof/>
        </w:rPr>
        <w:t> </w:t>
      </w:r>
      <w:r w:rsidR="00DD1DFA" w:rsidRPr="00DD1DFA">
        <w:rPr>
          <w:noProof/>
        </w:rPr>
        <w:t>oce</w:t>
      </w:r>
      <w:r w:rsidR="009E4A82" w:rsidRPr="00DD1DFA">
        <w:rPr>
          <w:noProof/>
        </w:rPr>
        <w:t>ną cyklu życia oraz kompletne ramy ustalania wymogów dotyczących wyrobów. Należy również wyeliminować przypadki pokrywania się podstawowych wymagań dotyczących obiektów budowlanych</w:t>
      </w:r>
      <w:r w:rsidR="00DD1DFA" w:rsidRPr="00DD1DFA">
        <w:rPr>
          <w:noProof/>
        </w:rPr>
        <w:t xml:space="preserve"> i</w:t>
      </w:r>
      <w:r w:rsidR="00DD1DFA">
        <w:rPr>
          <w:noProof/>
        </w:rPr>
        <w:t> </w:t>
      </w:r>
      <w:r w:rsidR="00DD1DFA" w:rsidRPr="00DD1DFA">
        <w:rPr>
          <w:noProof/>
        </w:rPr>
        <w:t>prz</w:t>
      </w:r>
      <w:r w:rsidR="009E4A82" w:rsidRPr="00DD1DFA">
        <w:rPr>
          <w:noProof/>
        </w:rPr>
        <w:t>edstawić wyjaśnienia.</w:t>
      </w:r>
    </w:p>
    <w:p w14:paraId="6E16DA0C" w14:textId="08C25337" w:rsidR="00181517" w:rsidRPr="00DD1DFA" w:rsidRDefault="005F7EFA" w:rsidP="005F7EFA">
      <w:pPr>
        <w:pStyle w:val="ManualConsidrant"/>
        <w:rPr>
          <w:noProof/>
        </w:rPr>
      </w:pPr>
      <w:r w:rsidRPr="005F7EFA">
        <w:t>(105)</w:t>
      </w:r>
      <w:r w:rsidRPr="005F7EFA">
        <w:tab/>
      </w:r>
      <w:r w:rsidR="00181517" w:rsidRPr="00DD1DFA">
        <w:rPr>
          <w:noProof/>
        </w:rPr>
        <w:t>Aby doprowadzić do minimalnej intensywności kontroli oceny</w:t>
      </w:r>
      <w:r w:rsidR="00DD1DFA" w:rsidRPr="00DD1DFA">
        <w:rPr>
          <w:noProof/>
        </w:rPr>
        <w:t xml:space="preserve"> i</w:t>
      </w:r>
      <w:r w:rsidR="00DD1DFA">
        <w:rPr>
          <w:noProof/>
        </w:rPr>
        <w:t> </w:t>
      </w:r>
      <w:r w:rsidR="00DD1DFA" w:rsidRPr="00DD1DFA">
        <w:rPr>
          <w:noProof/>
        </w:rPr>
        <w:t>wer</w:t>
      </w:r>
      <w:r w:rsidR="00181517" w:rsidRPr="00DD1DFA">
        <w:rPr>
          <w:noProof/>
        </w:rPr>
        <w:t>yfikacji producentów przez jednostki notyfikowane oraz zapewnić równe szanse zarówno dla producentów, jak</w:t>
      </w:r>
      <w:r w:rsidR="00DD1DFA" w:rsidRPr="00DD1DFA">
        <w:rPr>
          <w:noProof/>
        </w:rPr>
        <w:t xml:space="preserve"> i</w:t>
      </w:r>
      <w:r w:rsidR="00DD1DFA">
        <w:rPr>
          <w:noProof/>
        </w:rPr>
        <w:t> </w:t>
      </w:r>
      <w:r w:rsidR="00DD1DFA" w:rsidRPr="00DD1DFA">
        <w:rPr>
          <w:noProof/>
        </w:rPr>
        <w:t>jed</w:t>
      </w:r>
      <w:r w:rsidR="00181517" w:rsidRPr="00DD1DFA">
        <w:rPr>
          <w:noProof/>
        </w:rPr>
        <w:t>nostek notyfikowanych,</w:t>
      </w:r>
      <w:r w:rsidR="00DD1DFA" w:rsidRPr="00DD1DFA">
        <w:rPr>
          <w:noProof/>
        </w:rPr>
        <w:t xml:space="preserve"> w</w:t>
      </w:r>
      <w:r w:rsidR="00DD1DFA">
        <w:rPr>
          <w:noProof/>
        </w:rPr>
        <w:t> </w:t>
      </w:r>
      <w:r w:rsidR="00DD1DFA" w:rsidRPr="00DD1DFA">
        <w:rPr>
          <w:noProof/>
        </w:rPr>
        <w:t>zał</w:t>
      </w:r>
      <w:r w:rsidR="00181517" w:rsidRPr="00DD1DFA">
        <w:rPr>
          <w:noProof/>
        </w:rPr>
        <w:t>ączniku V dotyczącym systemów oceny</w:t>
      </w:r>
      <w:r w:rsidR="00DD1DFA" w:rsidRPr="00DD1DFA">
        <w:rPr>
          <w:noProof/>
        </w:rPr>
        <w:t xml:space="preserve"> i</w:t>
      </w:r>
      <w:r w:rsidR="00DD1DFA">
        <w:rPr>
          <w:noProof/>
        </w:rPr>
        <w:t> </w:t>
      </w:r>
      <w:r w:rsidR="00DD1DFA" w:rsidRPr="00DD1DFA">
        <w:rPr>
          <w:noProof/>
        </w:rPr>
        <w:t>wer</w:t>
      </w:r>
      <w:r w:rsidR="00181517" w:rsidRPr="00DD1DFA">
        <w:rPr>
          <w:noProof/>
        </w:rPr>
        <w:t>yfikacji należy bardziej precyzyjnie</w:t>
      </w:r>
      <w:r w:rsidR="00DD1DFA" w:rsidRPr="00DD1DFA">
        <w:rPr>
          <w:noProof/>
        </w:rPr>
        <w:t xml:space="preserve"> i</w:t>
      </w:r>
      <w:r w:rsidR="00DD1DFA">
        <w:rPr>
          <w:noProof/>
        </w:rPr>
        <w:t> </w:t>
      </w:r>
      <w:r w:rsidR="00DD1DFA" w:rsidRPr="00DD1DFA">
        <w:rPr>
          <w:noProof/>
        </w:rPr>
        <w:t>kom</w:t>
      </w:r>
      <w:r w:rsidR="00181517" w:rsidRPr="00DD1DFA">
        <w:rPr>
          <w:noProof/>
        </w:rPr>
        <w:t>pleksowo określić zadania producentów</w:t>
      </w:r>
      <w:r w:rsidR="00DD1DFA" w:rsidRPr="00DD1DFA">
        <w:rPr>
          <w:noProof/>
        </w:rPr>
        <w:t xml:space="preserve"> i</w:t>
      </w:r>
      <w:r w:rsidR="00DD1DFA">
        <w:rPr>
          <w:noProof/>
        </w:rPr>
        <w:t> </w:t>
      </w:r>
      <w:r w:rsidR="00DD1DFA" w:rsidRPr="00DD1DFA">
        <w:rPr>
          <w:noProof/>
        </w:rPr>
        <w:t>jed</w:t>
      </w:r>
      <w:r w:rsidR="00181517" w:rsidRPr="00DD1DFA">
        <w:rPr>
          <w:noProof/>
        </w:rPr>
        <w:t>nostek notyfikowanych</w:t>
      </w:r>
      <w:r w:rsidR="00DD1DFA" w:rsidRPr="00DD1DFA">
        <w:rPr>
          <w:noProof/>
        </w:rPr>
        <w:t xml:space="preserve"> w</w:t>
      </w:r>
      <w:r w:rsidR="00DD1DFA">
        <w:rPr>
          <w:noProof/>
        </w:rPr>
        <w:t> </w:t>
      </w:r>
      <w:r w:rsidR="00DD1DFA" w:rsidRPr="00DD1DFA">
        <w:rPr>
          <w:noProof/>
        </w:rPr>
        <w:t>ram</w:t>
      </w:r>
      <w:r w:rsidR="00181517" w:rsidRPr="00DD1DFA">
        <w:rPr>
          <w:noProof/>
        </w:rPr>
        <w:t>ach różnych możliwych systemów oceny</w:t>
      </w:r>
      <w:r w:rsidR="00DD1DFA" w:rsidRPr="00DD1DFA">
        <w:rPr>
          <w:noProof/>
        </w:rPr>
        <w:t xml:space="preserve"> i</w:t>
      </w:r>
      <w:r w:rsidR="00DD1DFA">
        <w:rPr>
          <w:noProof/>
        </w:rPr>
        <w:t> </w:t>
      </w:r>
      <w:r w:rsidR="00DD1DFA" w:rsidRPr="00DD1DFA">
        <w:rPr>
          <w:noProof/>
        </w:rPr>
        <w:t>wer</w:t>
      </w:r>
      <w:r w:rsidR="00181517" w:rsidRPr="00DD1DFA">
        <w:rPr>
          <w:noProof/>
        </w:rPr>
        <w:t>yfikacji. Ponadto</w:t>
      </w:r>
      <w:r w:rsidR="00DD1DFA" w:rsidRPr="00DD1DFA">
        <w:rPr>
          <w:noProof/>
        </w:rPr>
        <w:t xml:space="preserve"> w</w:t>
      </w:r>
      <w:r w:rsidR="00DD1DFA">
        <w:rPr>
          <w:noProof/>
        </w:rPr>
        <w:t> </w:t>
      </w:r>
      <w:r w:rsidR="00DD1DFA" w:rsidRPr="00DD1DFA">
        <w:rPr>
          <w:noProof/>
        </w:rPr>
        <w:t>zał</w:t>
      </w:r>
      <w:r w:rsidR="00181517" w:rsidRPr="00DD1DFA">
        <w:rPr>
          <w:noProof/>
        </w:rPr>
        <w:t>ączniku tym należy określić oceny</w:t>
      </w:r>
      <w:r w:rsidR="00DD1DFA" w:rsidRPr="00DD1DFA">
        <w:rPr>
          <w:noProof/>
        </w:rPr>
        <w:t xml:space="preserve"> i</w:t>
      </w:r>
      <w:r w:rsidR="00DD1DFA">
        <w:rPr>
          <w:noProof/>
        </w:rPr>
        <w:t> </w:t>
      </w:r>
      <w:r w:rsidR="00DD1DFA" w:rsidRPr="00DD1DFA">
        <w:rPr>
          <w:noProof/>
        </w:rPr>
        <w:t>wer</w:t>
      </w:r>
      <w:r w:rsidR="00181517" w:rsidRPr="00DD1DFA">
        <w:rPr>
          <w:noProof/>
        </w:rPr>
        <w:t>yfikacje, które należy przeprowadzić</w:t>
      </w:r>
      <w:r w:rsidR="00DD1DFA" w:rsidRPr="00DD1DFA">
        <w:rPr>
          <w:noProof/>
        </w:rPr>
        <w:t xml:space="preserve"> w</w:t>
      </w:r>
      <w:r w:rsidR="00DD1DFA">
        <w:rPr>
          <w:noProof/>
        </w:rPr>
        <w:t> </w:t>
      </w:r>
      <w:r w:rsidR="00DD1DFA" w:rsidRPr="00DD1DFA">
        <w:rPr>
          <w:noProof/>
        </w:rPr>
        <w:t>cel</w:t>
      </w:r>
      <w:r w:rsidR="00181517" w:rsidRPr="00DD1DFA">
        <w:rPr>
          <w:noProof/>
        </w:rPr>
        <w:t>u sprawdzenia zrównoważenia środowiskowego wyrobów pod względem właściwości użytkowych</w:t>
      </w:r>
      <w:r w:rsidR="00DD1DFA" w:rsidRPr="00DD1DFA">
        <w:rPr>
          <w:noProof/>
        </w:rPr>
        <w:t xml:space="preserve"> i</w:t>
      </w:r>
      <w:r w:rsidR="00DD1DFA">
        <w:rPr>
          <w:noProof/>
        </w:rPr>
        <w:t> </w:t>
      </w:r>
      <w:r w:rsidR="00DD1DFA" w:rsidRPr="00DD1DFA">
        <w:rPr>
          <w:noProof/>
        </w:rPr>
        <w:t>wym</w:t>
      </w:r>
      <w:r w:rsidR="00181517" w:rsidRPr="00DD1DFA">
        <w:rPr>
          <w:noProof/>
        </w:rPr>
        <w:t>ogów dotyczących wyrobów.</w:t>
      </w:r>
    </w:p>
    <w:p w14:paraId="7DB7E2AF" w14:textId="4801D12C" w:rsidR="00277CA7" w:rsidRPr="00DD1DFA" w:rsidRDefault="005F7EFA" w:rsidP="005F7EFA">
      <w:pPr>
        <w:pStyle w:val="ManualConsidrant"/>
        <w:rPr>
          <w:noProof/>
        </w:rPr>
      </w:pPr>
      <w:r w:rsidRPr="005F7EFA">
        <w:t>(106)</w:t>
      </w:r>
      <w:r w:rsidRPr="005F7EFA">
        <w:tab/>
      </w:r>
      <w:r w:rsidR="00181517" w:rsidRPr="00DD1DFA">
        <w:rPr>
          <w:noProof/>
        </w:rPr>
        <w:t>Cele niniejszego rozporządzenia,</w:t>
      </w:r>
      <w:r w:rsidR="00DD1DFA" w:rsidRPr="00DD1DFA">
        <w:rPr>
          <w:noProof/>
        </w:rPr>
        <w:t xml:space="preserve"> a</w:t>
      </w:r>
      <w:r w:rsidR="00DD1DFA">
        <w:rPr>
          <w:noProof/>
        </w:rPr>
        <w:t> </w:t>
      </w:r>
      <w:r w:rsidR="00DD1DFA" w:rsidRPr="00DD1DFA">
        <w:rPr>
          <w:noProof/>
        </w:rPr>
        <w:t>mia</w:t>
      </w:r>
      <w:r w:rsidR="00181517" w:rsidRPr="00DD1DFA">
        <w:rPr>
          <w:noProof/>
        </w:rPr>
        <w:t>nowicie swobodny obrót wyrobami budowlanymi na rynku wewnętrznym, ochrona zdrowia</w:t>
      </w:r>
      <w:r w:rsidR="00DD1DFA" w:rsidRPr="00DD1DFA">
        <w:rPr>
          <w:noProof/>
        </w:rPr>
        <w:t xml:space="preserve"> i</w:t>
      </w:r>
      <w:r w:rsidR="00DD1DFA">
        <w:rPr>
          <w:noProof/>
        </w:rPr>
        <w:t> </w:t>
      </w:r>
      <w:r w:rsidR="00DD1DFA" w:rsidRPr="00DD1DFA">
        <w:rPr>
          <w:noProof/>
        </w:rPr>
        <w:t>bez</w:t>
      </w:r>
      <w:r w:rsidR="00181517" w:rsidRPr="00DD1DFA">
        <w:rPr>
          <w:noProof/>
        </w:rPr>
        <w:t>pieczeństwa ludzi oraz ochrona środowiska, nie mogą zostać osiągnięte</w:t>
      </w:r>
      <w:r w:rsidR="00DD1DFA" w:rsidRPr="00DD1DFA">
        <w:rPr>
          <w:noProof/>
        </w:rPr>
        <w:t xml:space="preserve"> w</w:t>
      </w:r>
      <w:r w:rsidR="00DD1DFA">
        <w:rPr>
          <w:noProof/>
        </w:rPr>
        <w:t> </w:t>
      </w:r>
      <w:r w:rsidR="00DD1DFA" w:rsidRPr="00DD1DFA">
        <w:rPr>
          <w:noProof/>
        </w:rPr>
        <w:t>spo</w:t>
      </w:r>
      <w:r w:rsidR="00181517" w:rsidRPr="00DD1DFA">
        <w:rPr>
          <w:noProof/>
        </w:rPr>
        <w:t>sób wystarczający przez państwa członkowskie, ponieważ państwa członkowskie przejawiają tendencję do ustanawiania bardzo rozbieżnych wymogów dotyczących wyrobów budowlanych, co powoduje niejednolity poziom ochrony zdrowia</w:t>
      </w:r>
      <w:r w:rsidR="00DD1DFA" w:rsidRPr="00DD1DFA">
        <w:rPr>
          <w:noProof/>
        </w:rPr>
        <w:t xml:space="preserve"> i</w:t>
      </w:r>
      <w:r w:rsidR="00DD1DFA">
        <w:rPr>
          <w:noProof/>
        </w:rPr>
        <w:t> </w:t>
      </w:r>
      <w:r w:rsidR="00DD1DFA" w:rsidRPr="00DD1DFA">
        <w:rPr>
          <w:noProof/>
        </w:rPr>
        <w:t>bez</w:t>
      </w:r>
      <w:r w:rsidR="00181517" w:rsidRPr="00DD1DFA">
        <w:rPr>
          <w:noProof/>
        </w:rPr>
        <w:t>pieczeństwa ludzi oraz środowiska. Cele te można lepiej osiągnąć na szczeblu Unii</w:t>
      </w:r>
      <w:r w:rsidR="00DD1DFA" w:rsidRPr="00DD1DFA">
        <w:rPr>
          <w:noProof/>
        </w:rPr>
        <w:t xml:space="preserve"> w</w:t>
      </w:r>
      <w:r w:rsidR="00DD1DFA">
        <w:rPr>
          <w:noProof/>
        </w:rPr>
        <w:t> </w:t>
      </w:r>
      <w:r w:rsidR="00DD1DFA" w:rsidRPr="00DD1DFA">
        <w:rPr>
          <w:noProof/>
        </w:rPr>
        <w:t>dro</w:t>
      </w:r>
      <w:r w:rsidR="00181517" w:rsidRPr="00DD1DFA">
        <w:rPr>
          <w:noProof/>
        </w:rPr>
        <w:t>dze ustanowienia zharmonizowanych ram oceny właściwości użytkowych wyrobów budowlanych oraz niektórych wymogów dotyczących wyrobów</w:t>
      </w:r>
      <w:r w:rsidR="00DD1DFA" w:rsidRPr="00DD1DFA">
        <w:rPr>
          <w:noProof/>
        </w:rPr>
        <w:t xml:space="preserve"> w</w:t>
      </w:r>
      <w:r w:rsidR="00DD1DFA">
        <w:rPr>
          <w:noProof/>
        </w:rPr>
        <w:t> </w:t>
      </w:r>
      <w:r w:rsidR="00DD1DFA" w:rsidRPr="00DD1DFA">
        <w:rPr>
          <w:noProof/>
        </w:rPr>
        <w:t>zak</w:t>
      </w:r>
      <w:r w:rsidR="00181517" w:rsidRPr="00DD1DFA">
        <w:rPr>
          <w:noProof/>
        </w:rPr>
        <w:t>resie ochrony zdrowia</w:t>
      </w:r>
      <w:r w:rsidR="00DD1DFA" w:rsidRPr="00DD1DFA">
        <w:rPr>
          <w:noProof/>
        </w:rPr>
        <w:t xml:space="preserve"> i</w:t>
      </w:r>
      <w:r w:rsidR="00DD1DFA">
        <w:rPr>
          <w:noProof/>
        </w:rPr>
        <w:t> </w:t>
      </w:r>
      <w:r w:rsidR="00DD1DFA" w:rsidRPr="00DD1DFA">
        <w:rPr>
          <w:noProof/>
        </w:rPr>
        <w:t>bez</w:t>
      </w:r>
      <w:r w:rsidR="00181517" w:rsidRPr="00DD1DFA">
        <w:rPr>
          <w:noProof/>
        </w:rPr>
        <w:t>pieczeństwa ludzi oraz ochrony środowiska. Unia może zatem przyjąć środki zgodnie</w:t>
      </w:r>
      <w:r w:rsidR="00DD1DFA" w:rsidRPr="00DD1DFA">
        <w:rPr>
          <w:noProof/>
        </w:rPr>
        <w:t xml:space="preserve"> z</w:t>
      </w:r>
      <w:r w:rsidR="00DD1DFA">
        <w:rPr>
          <w:noProof/>
        </w:rPr>
        <w:t> </w:t>
      </w:r>
      <w:r w:rsidR="00DD1DFA" w:rsidRPr="00DD1DFA">
        <w:rPr>
          <w:noProof/>
        </w:rPr>
        <w:t>zas</w:t>
      </w:r>
      <w:r w:rsidR="00181517" w:rsidRPr="00DD1DFA">
        <w:rPr>
          <w:noProof/>
        </w:rPr>
        <w:t>adą pomocniczości określoną</w:t>
      </w:r>
      <w:r w:rsidR="00DD1DFA" w:rsidRPr="00DD1DFA">
        <w:rPr>
          <w:noProof/>
        </w:rPr>
        <w:t xml:space="preserve"> w</w:t>
      </w:r>
      <w:r w:rsidR="00DD1DFA">
        <w:rPr>
          <w:noProof/>
        </w:rPr>
        <w:t> </w:t>
      </w:r>
      <w:r w:rsidR="00DD1DFA" w:rsidRPr="00DD1DFA">
        <w:rPr>
          <w:noProof/>
        </w:rPr>
        <w:t>art</w:t>
      </w:r>
      <w:r w:rsidR="00181517" w:rsidRPr="00DD1DFA">
        <w:rPr>
          <w:noProof/>
        </w:rPr>
        <w:t>.</w:t>
      </w:r>
      <w:r w:rsidR="00DD1DFA" w:rsidRPr="00DD1DFA">
        <w:rPr>
          <w:noProof/>
        </w:rPr>
        <w:t> </w:t>
      </w:r>
      <w:r w:rsidR="00181517" w:rsidRPr="00DD1DFA">
        <w:rPr>
          <w:noProof/>
        </w:rPr>
        <w:t>5 Traktatu</w:t>
      </w:r>
      <w:r w:rsidR="00DD1DFA" w:rsidRPr="00DD1DFA">
        <w:rPr>
          <w:noProof/>
        </w:rPr>
        <w:t xml:space="preserve"> o</w:t>
      </w:r>
      <w:r w:rsidR="00DD1DFA">
        <w:rPr>
          <w:noProof/>
        </w:rPr>
        <w:t> </w:t>
      </w:r>
      <w:r w:rsidR="00DD1DFA" w:rsidRPr="00DD1DFA">
        <w:rPr>
          <w:noProof/>
        </w:rPr>
        <w:t>Uni</w:t>
      </w:r>
      <w:r w:rsidR="00181517" w:rsidRPr="00DD1DFA">
        <w:rPr>
          <w:noProof/>
        </w:rPr>
        <w:t>i Europejskiej. Zgodnie</w:t>
      </w:r>
      <w:r w:rsidR="00DD1DFA" w:rsidRPr="00DD1DFA">
        <w:rPr>
          <w:noProof/>
        </w:rPr>
        <w:t xml:space="preserve"> z</w:t>
      </w:r>
      <w:r w:rsidR="00DD1DFA">
        <w:rPr>
          <w:noProof/>
        </w:rPr>
        <w:t> </w:t>
      </w:r>
      <w:r w:rsidR="00DD1DFA" w:rsidRPr="00DD1DFA">
        <w:rPr>
          <w:noProof/>
        </w:rPr>
        <w:t>zas</w:t>
      </w:r>
      <w:r w:rsidR="00181517" w:rsidRPr="00DD1DFA">
        <w:rPr>
          <w:noProof/>
        </w:rPr>
        <w:t>adą proporcjonalności określoną</w:t>
      </w:r>
      <w:r w:rsidR="00DD1DFA" w:rsidRPr="00DD1DFA">
        <w:rPr>
          <w:noProof/>
        </w:rPr>
        <w:t xml:space="preserve"> w</w:t>
      </w:r>
      <w:r w:rsidR="00DD1DFA">
        <w:rPr>
          <w:noProof/>
        </w:rPr>
        <w:t> </w:t>
      </w:r>
      <w:r w:rsidR="00DD1DFA" w:rsidRPr="00DD1DFA">
        <w:rPr>
          <w:noProof/>
        </w:rPr>
        <w:t>tym</w:t>
      </w:r>
      <w:r w:rsidR="00181517" w:rsidRPr="00DD1DFA">
        <w:rPr>
          <w:noProof/>
        </w:rPr>
        <w:t xml:space="preserve"> artykule niniejsze rozporządzenie nie wykracza poza to, co jest konieczne do osiągnięcia tych celów.</w:t>
      </w:r>
    </w:p>
    <w:p w14:paraId="12805C2C" w14:textId="77777777" w:rsidR="00E7660D" w:rsidRPr="00DD1DFA" w:rsidRDefault="00E7660D" w:rsidP="0051157E">
      <w:pPr>
        <w:pStyle w:val="Formuledadoption"/>
        <w:rPr>
          <w:noProof/>
        </w:rPr>
      </w:pPr>
      <w:r w:rsidRPr="00DD1DFA">
        <w:rPr>
          <w:noProof/>
        </w:rPr>
        <w:t>PRZYJMUJĄ NINIEJSZE ROZPORZĄDZENIE:</w:t>
      </w:r>
    </w:p>
    <w:p w14:paraId="615CBC8E" w14:textId="77777777" w:rsidR="00BC1E12" w:rsidRPr="00DD1DFA" w:rsidRDefault="00BC1E12" w:rsidP="00362B22">
      <w:pPr>
        <w:pStyle w:val="ChapterTitle"/>
        <w:rPr>
          <w:noProof/>
          <w:sz w:val="24"/>
          <w:szCs w:val="24"/>
        </w:rPr>
      </w:pPr>
      <w:r w:rsidRPr="00DD1DFA">
        <w:rPr>
          <w:noProof/>
          <w:sz w:val="24"/>
          <w:szCs w:val="24"/>
        </w:rPr>
        <w:t>ROZDZIAŁ I</w:t>
      </w:r>
    </w:p>
    <w:p w14:paraId="3DBA72BF" w14:textId="77777777" w:rsidR="00BC1E12" w:rsidRPr="00DD1DFA" w:rsidRDefault="000D7D69" w:rsidP="00C35D3A">
      <w:pPr>
        <w:pStyle w:val="ChapterTitle"/>
        <w:rPr>
          <w:noProof/>
          <w:sz w:val="24"/>
          <w:szCs w:val="24"/>
        </w:rPr>
      </w:pPr>
      <w:r w:rsidRPr="00DD1DFA">
        <w:rPr>
          <w:noProof/>
          <w:sz w:val="24"/>
          <w:szCs w:val="24"/>
        </w:rPr>
        <w:t>PRZEPISY OGÓLNE</w:t>
      </w:r>
    </w:p>
    <w:p w14:paraId="34D0D717" w14:textId="77777777" w:rsidR="00BC1E12" w:rsidRPr="00DD1DFA" w:rsidRDefault="00BC1E12" w:rsidP="000D7D69">
      <w:pPr>
        <w:pStyle w:val="Titrearticle"/>
        <w:rPr>
          <w:noProof/>
        </w:rPr>
      </w:pPr>
      <w:r w:rsidRPr="00DD1DFA">
        <w:rPr>
          <w:noProof/>
        </w:rPr>
        <w:t>Artykuł 1</w:t>
      </w:r>
    </w:p>
    <w:p w14:paraId="4AD84EB1" w14:textId="77777777" w:rsidR="00BC1E12" w:rsidRPr="00DD1DFA" w:rsidRDefault="00BC1E12" w:rsidP="00C35D3A">
      <w:pPr>
        <w:pStyle w:val="Titrearticle"/>
        <w:rPr>
          <w:b/>
          <w:noProof/>
        </w:rPr>
      </w:pPr>
      <w:r w:rsidRPr="00DD1DFA">
        <w:rPr>
          <w:b/>
          <w:noProof/>
        </w:rPr>
        <w:t>Przedmiot</w:t>
      </w:r>
    </w:p>
    <w:p w14:paraId="674FC520" w14:textId="4B1F187A" w:rsidR="00F03E8C" w:rsidRPr="00DD1DFA" w:rsidRDefault="00F03E8C" w:rsidP="00F03E8C">
      <w:pPr>
        <w:overflowPunct w:val="0"/>
        <w:spacing w:after="0"/>
        <w:rPr>
          <w:rFonts w:ascii="Calibri" w:hAnsi="Calibri"/>
          <w:noProof/>
          <w:color w:val="00000A"/>
          <w:sz w:val="22"/>
        </w:rPr>
      </w:pPr>
      <w:r w:rsidRPr="00DD1DFA">
        <w:rPr>
          <w:noProof/>
          <w:color w:val="000000"/>
        </w:rPr>
        <w:t xml:space="preserve">Niniejsze rozporządzenie </w:t>
      </w:r>
      <w:r w:rsidRPr="00DD1DFA">
        <w:rPr>
          <w:noProof/>
          <w:color w:val="000000" w:themeColor="text1"/>
        </w:rPr>
        <w:t>ustanawia zharmonizowane przepisy</w:t>
      </w:r>
      <w:r w:rsidRPr="00DD1DFA">
        <w:rPr>
          <w:noProof/>
          <w:color w:val="000000"/>
        </w:rPr>
        <w:t xml:space="preserve"> dotyczące udostępniania na rynku</w:t>
      </w:r>
      <w:r w:rsidR="00DD1DFA" w:rsidRPr="00DD1DFA">
        <w:rPr>
          <w:noProof/>
          <w:color w:val="000000"/>
        </w:rPr>
        <w:t xml:space="preserve"> i</w:t>
      </w:r>
      <w:r w:rsidR="00DD1DFA">
        <w:rPr>
          <w:noProof/>
          <w:color w:val="000000"/>
        </w:rPr>
        <w:t> </w:t>
      </w:r>
      <w:r w:rsidR="00DD1DFA" w:rsidRPr="00DD1DFA">
        <w:rPr>
          <w:noProof/>
          <w:color w:val="000000"/>
        </w:rPr>
        <w:t>bez</w:t>
      </w:r>
      <w:r w:rsidRPr="00DD1DFA">
        <w:rPr>
          <w:noProof/>
          <w:color w:val="000000"/>
        </w:rPr>
        <w:t>pośredniego montażu wyrobów budowlanych – niezależnie od tego, czy odbywa się to</w:t>
      </w:r>
      <w:r w:rsidR="00DD1DFA" w:rsidRPr="00DD1DFA">
        <w:rPr>
          <w:noProof/>
          <w:color w:val="000000"/>
        </w:rPr>
        <w:t xml:space="preserve"> w</w:t>
      </w:r>
      <w:r w:rsidR="00DD1DFA">
        <w:rPr>
          <w:noProof/>
          <w:color w:val="000000"/>
        </w:rPr>
        <w:t> </w:t>
      </w:r>
      <w:r w:rsidR="00DD1DFA" w:rsidRPr="00DD1DFA">
        <w:rPr>
          <w:noProof/>
          <w:color w:val="000000"/>
        </w:rPr>
        <w:t>ram</w:t>
      </w:r>
      <w:r w:rsidRPr="00DD1DFA">
        <w:rPr>
          <w:noProof/>
          <w:color w:val="000000"/>
        </w:rPr>
        <w:t>ach usługi – poprzez ustalenie:</w:t>
      </w:r>
    </w:p>
    <w:p w14:paraId="7A4A3AE2" w14:textId="7ADAB5D2" w:rsidR="00F03E8C" w:rsidRPr="00DD1DFA" w:rsidRDefault="00CB6F77" w:rsidP="00CB6F77">
      <w:pPr>
        <w:pStyle w:val="Point1"/>
        <w:rPr>
          <w:rFonts w:ascii="Calibri" w:hAnsi="Calibri"/>
          <w:noProof/>
          <w:color w:val="00000A"/>
          <w:sz w:val="22"/>
        </w:rPr>
      </w:pPr>
      <w:r>
        <w:rPr>
          <w:noProof/>
        </w:rPr>
        <w:t>a)</w:t>
      </w:r>
      <w:r>
        <w:rPr>
          <w:noProof/>
        </w:rPr>
        <w:tab/>
      </w:r>
      <w:r w:rsidR="00F03E8C" w:rsidRPr="00DD1DFA">
        <w:rPr>
          <w:noProof/>
        </w:rPr>
        <w:t>zasad wyrażania właściwości użytkowych wyrobów budowlanych</w:t>
      </w:r>
      <w:r w:rsidR="00DD1DFA" w:rsidRPr="00DD1DFA">
        <w:rPr>
          <w:noProof/>
        </w:rPr>
        <w:t xml:space="preserve"> w</w:t>
      </w:r>
      <w:r w:rsidR="00DD1DFA">
        <w:rPr>
          <w:noProof/>
        </w:rPr>
        <w:t> </w:t>
      </w:r>
      <w:r w:rsidR="00DD1DFA" w:rsidRPr="00DD1DFA">
        <w:rPr>
          <w:noProof/>
        </w:rPr>
        <w:t>zak</w:t>
      </w:r>
      <w:r w:rsidR="00F03E8C" w:rsidRPr="00DD1DFA">
        <w:rPr>
          <w:noProof/>
        </w:rPr>
        <w:t>resie środowiska,</w:t>
      </w:r>
      <w:r w:rsidR="00DD1DFA" w:rsidRPr="00DD1DFA">
        <w:rPr>
          <w:noProof/>
        </w:rPr>
        <w:t xml:space="preserve"> w</w:t>
      </w:r>
      <w:r w:rsidR="00DD1DFA">
        <w:rPr>
          <w:noProof/>
        </w:rPr>
        <w:t> </w:t>
      </w:r>
      <w:r w:rsidR="00DD1DFA" w:rsidRPr="00DD1DFA">
        <w:rPr>
          <w:noProof/>
        </w:rPr>
        <w:t>tym</w:t>
      </w:r>
      <w:r w:rsidR="00F03E8C" w:rsidRPr="00DD1DFA">
        <w:rPr>
          <w:noProof/>
        </w:rPr>
        <w:t xml:space="preserve"> klimatu,</w:t>
      </w:r>
      <w:r w:rsidR="00DD1DFA" w:rsidRPr="00DD1DFA">
        <w:rPr>
          <w:noProof/>
        </w:rPr>
        <w:t xml:space="preserve"> i</w:t>
      </w:r>
      <w:r w:rsidR="00DD1DFA">
        <w:rPr>
          <w:noProof/>
        </w:rPr>
        <w:t> </w:t>
      </w:r>
      <w:r w:rsidR="00DD1DFA" w:rsidRPr="00DD1DFA">
        <w:rPr>
          <w:noProof/>
        </w:rPr>
        <w:t>bez</w:t>
      </w:r>
      <w:r w:rsidR="00F03E8C" w:rsidRPr="00DD1DFA">
        <w:rPr>
          <w:noProof/>
        </w:rPr>
        <w:t>pieczeństwa</w:t>
      </w:r>
      <w:r w:rsidR="00DD1DFA" w:rsidRPr="00DD1DFA">
        <w:rPr>
          <w:noProof/>
        </w:rPr>
        <w:t xml:space="preserve"> w</w:t>
      </w:r>
      <w:r w:rsidR="00DD1DFA">
        <w:rPr>
          <w:noProof/>
        </w:rPr>
        <w:t> </w:t>
      </w:r>
      <w:r w:rsidR="00DD1DFA" w:rsidRPr="00DD1DFA">
        <w:rPr>
          <w:noProof/>
        </w:rPr>
        <w:t>odn</w:t>
      </w:r>
      <w:r w:rsidR="00F03E8C" w:rsidRPr="00DD1DFA">
        <w:rPr>
          <w:noProof/>
        </w:rPr>
        <w:t xml:space="preserve">iesieniu do ich zasadniczych charakterystyk; </w:t>
      </w:r>
    </w:p>
    <w:p w14:paraId="0CC1DD47" w14:textId="252BEBB4" w:rsidR="00F03E8C" w:rsidRPr="00DD1DFA" w:rsidRDefault="00CB6F77" w:rsidP="00CB6F77">
      <w:pPr>
        <w:pStyle w:val="Point1"/>
        <w:rPr>
          <w:noProof/>
        </w:rPr>
      </w:pPr>
      <w:r>
        <w:rPr>
          <w:noProof/>
        </w:rPr>
        <w:t>b)</w:t>
      </w:r>
      <w:r>
        <w:rPr>
          <w:noProof/>
        </w:rPr>
        <w:tab/>
      </w:r>
      <w:r w:rsidR="00F03E8C" w:rsidRPr="00DD1DFA">
        <w:rPr>
          <w:noProof/>
        </w:rPr>
        <w:t>wymogów dotyczących wyrobów budowlanych</w:t>
      </w:r>
      <w:r w:rsidR="00DD1DFA" w:rsidRPr="00DD1DFA">
        <w:rPr>
          <w:noProof/>
        </w:rPr>
        <w:t xml:space="preserve"> w</w:t>
      </w:r>
      <w:r w:rsidR="00DD1DFA">
        <w:rPr>
          <w:noProof/>
        </w:rPr>
        <w:t> </w:t>
      </w:r>
      <w:r w:rsidR="00DD1DFA" w:rsidRPr="00DD1DFA">
        <w:rPr>
          <w:noProof/>
        </w:rPr>
        <w:t>zak</w:t>
      </w:r>
      <w:r w:rsidR="00F03E8C" w:rsidRPr="00DD1DFA">
        <w:rPr>
          <w:noProof/>
        </w:rPr>
        <w:t>resie środowiska,</w:t>
      </w:r>
      <w:r w:rsidR="00DD1DFA" w:rsidRPr="00DD1DFA">
        <w:rPr>
          <w:noProof/>
        </w:rPr>
        <w:t xml:space="preserve"> w</w:t>
      </w:r>
      <w:r w:rsidR="00DD1DFA">
        <w:rPr>
          <w:noProof/>
        </w:rPr>
        <w:t> </w:t>
      </w:r>
      <w:r w:rsidR="00DD1DFA" w:rsidRPr="00DD1DFA">
        <w:rPr>
          <w:noProof/>
        </w:rPr>
        <w:t>tym</w:t>
      </w:r>
      <w:r w:rsidR="00F03E8C" w:rsidRPr="00DD1DFA">
        <w:rPr>
          <w:noProof/>
        </w:rPr>
        <w:t xml:space="preserve"> klimatu, funkcjonalności</w:t>
      </w:r>
      <w:r w:rsidR="00DD1DFA" w:rsidRPr="00DD1DFA">
        <w:rPr>
          <w:noProof/>
        </w:rPr>
        <w:t xml:space="preserve"> i</w:t>
      </w:r>
      <w:r w:rsidR="00DD1DFA">
        <w:rPr>
          <w:noProof/>
        </w:rPr>
        <w:t> </w:t>
      </w:r>
      <w:r w:rsidR="00DD1DFA" w:rsidRPr="00DD1DFA">
        <w:rPr>
          <w:noProof/>
        </w:rPr>
        <w:t>bez</w:t>
      </w:r>
      <w:r w:rsidR="00F03E8C" w:rsidRPr="00DD1DFA">
        <w:rPr>
          <w:noProof/>
        </w:rPr>
        <w:t>pieczeństwa.</w:t>
      </w:r>
    </w:p>
    <w:p w14:paraId="045292EF" w14:textId="48B003FC" w:rsidR="00F03E8C" w:rsidRPr="00DD1DFA" w:rsidRDefault="00F03E8C" w:rsidP="00F03E8C">
      <w:pPr>
        <w:overflowPunct w:val="0"/>
        <w:spacing w:after="0"/>
        <w:rPr>
          <w:rFonts w:ascii="Calibri" w:hAnsi="Calibri"/>
          <w:noProof/>
          <w:color w:val="00000A"/>
          <w:sz w:val="22"/>
        </w:rPr>
      </w:pPr>
      <w:r w:rsidRPr="00DD1DFA">
        <w:rPr>
          <w:noProof/>
          <w:color w:val="000000"/>
        </w:rPr>
        <w:t>W niniejszym rozporządzeniu ustanawia się również zobowiązania podmiotów gospodarczych zajmujących się wyrobami budowlanymi lub ich częściami składowymi bądź wyrobami, które mogłyby zostać uznane za wyroby budowlane, mimo że zgodnie</w:t>
      </w:r>
      <w:r w:rsidR="00DD1DFA" w:rsidRPr="00DD1DFA">
        <w:rPr>
          <w:noProof/>
          <w:color w:val="000000"/>
        </w:rPr>
        <w:t xml:space="preserve"> z</w:t>
      </w:r>
      <w:r w:rsidR="00DD1DFA">
        <w:rPr>
          <w:noProof/>
          <w:color w:val="000000"/>
        </w:rPr>
        <w:t> </w:t>
      </w:r>
      <w:r w:rsidR="00DD1DFA" w:rsidRPr="00DD1DFA">
        <w:rPr>
          <w:noProof/>
          <w:color w:val="000000"/>
        </w:rPr>
        <w:t>zam</w:t>
      </w:r>
      <w:r w:rsidRPr="00DD1DFA">
        <w:rPr>
          <w:noProof/>
          <w:color w:val="000000"/>
        </w:rPr>
        <w:t>ierzeniem producenta nie są one wyrobami budowlanymi.</w:t>
      </w:r>
    </w:p>
    <w:p w14:paraId="6EDB9FC1" w14:textId="77777777" w:rsidR="00BC1E12" w:rsidRPr="00DD1DFA" w:rsidRDefault="00BC1E12" w:rsidP="00391798">
      <w:pPr>
        <w:pStyle w:val="Titrearticle"/>
        <w:rPr>
          <w:noProof/>
        </w:rPr>
      </w:pPr>
      <w:r w:rsidRPr="00DD1DFA">
        <w:rPr>
          <w:iCs/>
          <w:noProof/>
          <w:color w:val="000000"/>
          <w:szCs w:val="24"/>
        </w:rPr>
        <w:t>Artykuł 2</w:t>
      </w:r>
    </w:p>
    <w:p w14:paraId="7A8CB382" w14:textId="77777777" w:rsidR="00BC1E12" w:rsidRPr="00DD1DFA" w:rsidRDefault="00BC1E12" w:rsidP="00391798">
      <w:pPr>
        <w:pStyle w:val="Titrearticle"/>
        <w:rPr>
          <w:b/>
          <w:noProof/>
        </w:rPr>
      </w:pPr>
      <w:r w:rsidRPr="00DD1DFA">
        <w:rPr>
          <w:b/>
          <w:noProof/>
        </w:rPr>
        <w:t>Zakres stosowania</w:t>
      </w:r>
    </w:p>
    <w:p w14:paraId="02CF80EF" w14:textId="1F20CA69" w:rsidR="00F03E8C" w:rsidRPr="00DD1DFA" w:rsidRDefault="005F7EFA" w:rsidP="005F7EFA">
      <w:pPr>
        <w:pStyle w:val="ManualNumPar1"/>
        <w:rPr>
          <w:rFonts w:eastAsia="Times New Roman"/>
          <w:noProof/>
        </w:rPr>
      </w:pPr>
      <w:r w:rsidRPr="005F7EFA">
        <w:t>1.</w:t>
      </w:r>
      <w:r w:rsidRPr="005F7EFA">
        <w:tab/>
      </w:r>
      <w:r w:rsidR="00F03E8C" w:rsidRPr="00DD1DFA">
        <w:rPr>
          <w:noProof/>
        </w:rPr>
        <w:t xml:space="preserve">Niniejsze rozporządzenie ma zastosowanie do wyrobów budowlanych oraz następujących elementów: </w:t>
      </w:r>
    </w:p>
    <w:p w14:paraId="6D920A4B" w14:textId="63A910E3" w:rsidR="00F03E8C" w:rsidRPr="00DD1DFA" w:rsidRDefault="00CB6F77" w:rsidP="00CB6F77">
      <w:pPr>
        <w:pStyle w:val="Point1"/>
        <w:rPr>
          <w:noProof/>
        </w:rPr>
      </w:pPr>
      <w:r w:rsidRPr="00CB6F77">
        <w:rPr>
          <w:noProof/>
        </w:rPr>
        <w:t>a)</w:t>
      </w:r>
      <w:r w:rsidRPr="00CB6F77">
        <w:rPr>
          <w:noProof/>
        </w:rPr>
        <w:tab/>
      </w:r>
      <w:r w:rsidR="00F03E8C" w:rsidRPr="00DD1DFA">
        <w:rPr>
          <w:noProof/>
        </w:rPr>
        <w:t>zbiorów danych 3D wprowadzonych do obrotu</w:t>
      </w:r>
      <w:r w:rsidR="00DD1DFA" w:rsidRPr="00DD1DFA">
        <w:rPr>
          <w:noProof/>
        </w:rPr>
        <w:t xml:space="preserve"> w</w:t>
      </w:r>
      <w:r w:rsidR="00DD1DFA">
        <w:rPr>
          <w:noProof/>
        </w:rPr>
        <w:t> </w:t>
      </w:r>
      <w:r w:rsidR="00DD1DFA" w:rsidRPr="00DD1DFA">
        <w:rPr>
          <w:noProof/>
        </w:rPr>
        <w:t>cel</w:t>
      </w:r>
      <w:r w:rsidR="00F03E8C" w:rsidRPr="00DD1DFA">
        <w:rPr>
          <w:noProof/>
        </w:rPr>
        <w:t>u umożliwienia drukowania przestrzennego wyrobów budowlanych objętych niniejszym rozporządzeniem oraz wyrobów budowlanych</w:t>
      </w:r>
      <w:r w:rsidR="00DD1DFA" w:rsidRPr="00DD1DFA">
        <w:rPr>
          <w:noProof/>
        </w:rPr>
        <w:t xml:space="preserve"> i</w:t>
      </w:r>
      <w:r w:rsidR="00DD1DFA">
        <w:rPr>
          <w:noProof/>
        </w:rPr>
        <w:t> </w:t>
      </w:r>
      <w:r w:rsidR="00DD1DFA" w:rsidRPr="00DD1DFA">
        <w:rPr>
          <w:noProof/>
        </w:rPr>
        <w:t>for</w:t>
      </w:r>
      <w:r w:rsidR="00F03E8C" w:rsidRPr="00DD1DFA">
        <w:rPr>
          <w:noProof/>
        </w:rPr>
        <w:t>m wydrukowanych przestrzennie;</w:t>
      </w:r>
    </w:p>
    <w:p w14:paraId="16A1C54E" w14:textId="416E91B0" w:rsidR="00F03E8C" w:rsidRPr="00DD1DFA" w:rsidRDefault="00CB6F77" w:rsidP="00CB6F77">
      <w:pPr>
        <w:pStyle w:val="Point1"/>
        <w:rPr>
          <w:noProof/>
        </w:rPr>
      </w:pPr>
      <w:r w:rsidRPr="00CB6F77">
        <w:rPr>
          <w:noProof/>
        </w:rPr>
        <w:t>b)</w:t>
      </w:r>
      <w:r w:rsidRPr="00CB6F77">
        <w:rPr>
          <w:noProof/>
        </w:rPr>
        <w:tab/>
      </w:r>
      <w:r w:rsidR="00F03E8C" w:rsidRPr="00DD1DFA">
        <w:rPr>
          <w:noProof/>
        </w:rPr>
        <w:t>materiałów przeznaczonych do wykorzystania podczas drukowania przestrzennego wyrobów budowlanych na terenie budowy lub</w:t>
      </w:r>
      <w:r w:rsidR="00DD1DFA" w:rsidRPr="00DD1DFA">
        <w:rPr>
          <w:noProof/>
        </w:rPr>
        <w:t xml:space="preserve"> w</w:t>
      </w:r>
      <w:r w:rsidR="00DD1DFA">
        <w:rPr>
          <w:noProof/>
        </w:rPr>
        <w:t> </w:t>
      </w:r>
      <w:r w:rsidR="00DD1DFA" w:rsidRPr="00DD1DFA">
        <w:rPr>
          <w:noProof/>
        </w:rPr>
        <w:t>jeg</w:t>
      </w:r>
      <w:r w:rsidR="00F03E8C" w:rsidRPr="00DD1DFA">
        <w:rPr>
          <w:noProof/>
        </w:rPr>
        <w:t>o pobliżu lub do produkcji przy użyciu form na terenie budowy lub</w:t>
      </w:r>
      <w:r w:rsidR="00DD1DFA" w:rsidRPr="00DD1DFA">
        <w:rPr>
          <w:noProof/>
        </w:rPr>
        <w:t xml:space="preserve"> w</w:t>
      </w:r>
      <w:r w:rsidR="00DD1DFA">
        <w:rPr>
          <w:noProof/>
        </w:rPr>
        <w:t> </w:t>
      </w:r>
      <w:r w:rsidR="00DD1DFA" w:rsidRPr="00DD1DFA">
        <w:rPr>
          <w:noProof/>
        </w:rPr>
        <w:t>jeg</w:t>
      </w:r>
      <w:r w:rsidR="00F03E8C" w:rsidRPr="00DD1DFA">
        <w:rPr>
          <w:noProof/>
        </w:rPr>
        <w:t>o pobliżu;</w:t>
      </w:r>
    </w:p>
    <w:p w14:paraId="571AF4A9" w14:textId="3C5F2957" w:rsidR="00F03E8C" w:rsidRPr="00DD1DFA" w:rsidRDefault="00CB6F77" w:rsidP="00CB6F77">
      <w:pPr>
        <w:pStyle w:val="Point1"/>
        <w:rPr>
          <w:noProof/>
        </w:rPr>
      </w:pPr>
      <w:r w:rsidRPr="00CB6F77">
        <w:rPr>
          <w:noProof/>
        </w:rPr>
        <w:t>c)</w:t>
      </w:r>
      <w:r w:rsidRPr="00CB6F77">
        <w:rPr>
          <w:noProof/>
        </w:rPr>
        <w:tab/>
      </w:r>
      <w:r w:rsidR="00F03E8C" w:rsidRPr="00DD1DFA">
        <w:rPr>
          <w:noProof/>
        </w:rPr>
        <w:t>wyrobów budowlanych produkowanych na terenie budowy</w:t>
      </w:r>
      <w:r w:rsidR="00DD1DFA" w:rsidRPr="00DD1DFA">
        <w:rPr>
          <w:noProof/>
        </w:rPr>
        <w:t xml:space="preserve"> w</w:t>
      </w:r>
      <w:r w:rsidR="00DD1DFA">
        <w:rPr>
          <w:noProof/>
        </w:rPr>
        <w:t> </w:t>
      </w:r>
      <w:r w:rsidR="00DD1DFA" w:rsidRPr="00DD1DFA">
        <w:rPr>
          <w:noProof/>
        </w:rPr>
        <w:t>cel</w:t>
      </w:r>
      <w:r w:rsidR="00F03E8C" w:rsidRPr="00DD1DFA">
        <w:rPr>
          <w:noProof/>
        </w:rPr>
        <w:t>u natychmiastowego wbudowania ich</w:t>
      </w:r>
      <w:r w:rsidR="00DD1DFA" w:rsidRPr="00DD1DFA">
        <w:rPr>
          <w:noProof/>
        </w:rPr>
        <w:t xml:space="preserve"> w</w:t>
      </w:r>
      <w:r w:rsidR="00DD1DFA">
        <w:rPr>
          <w:noProof/>
        </w:rPr>
        <w:t> </w:t>
      </w:r>
      <w:r w:rsidR="00DD1DFA" w:rsidRPr="00DD1DFA">
        <w:rPr>
          <w:noProof/>
        </w:rPr>
        <w:t>obi</w:t>
      </w:r>
      <w:r w:rsidR="00F03E8C" w:rsidRPr="00DD1DFA">
        <w:rPr>
          <w:noProof/>
        </w:rPr>
        <w:t>ekty budowlane, bez konieczności podjęcia oddzielnych działań handlowych zmierzających do wprowadzenia ich do obrotu;</w:t>
      </w:r>
    </w:p>
    <w:p w14:paraId="4028E17E" w14:textId="60D3AA78" w:rsidR="00F03E8C" w:rsidRPr="00DD1DFA" w:rsidRDefault="00CB6F77" w:rsidP="00CB6F77">
      <w:pPr>
        <w:pStyle w:val="Point1"/>
        <w:rPr>
          <w:noProof/>
        </w:rPr>
      </w:pPr>
      <w:r w:rsidRPr="00CB6F77">
        <w:rPr>
          <w:noProof/>
        </w:rPr>
        <w:t>d)</w:t>
      </w:r>
      <w:r w:rsidRPr="00CB6F77">
        <w:rPr>
          <w:noProof/>
        </w:rPr>
        <w:tab/>
      </w:r>
      <w:r w:rsidR="00F03E8C" w:rsidRPr="00DD1DFA">
        <w:rPr>
          <w:noProof/>
        </w:rPr>
        <w:t>części kluczowych wyrobów objętych niniejszym rozporządzeniem;</w:t>
      </w:r>
    </w:p>
    <w:p w14:paraId="7B5F8067" w14:textId="2342F911" w:rsidR="00F03E8C" w:rsidRPr="00DD1DFA" w:rsidRDefault="00CB6F77" w:rsidP="00CB6F77">
      <w:pPr>
        <w:pStyle w:val="Point1"/>
        <w:rPr>
          <w:noProof/>
        </w:rPr>
      </w:pPr>
      <w:r w:rsidRPr="00CB6F77">
        <w:rPr>
          <w:noProof/>
        </w:rPr>
        <w:t>e)</w:t>
      </w:r>
      <w:r w:rsidRPr="00CB6F77">
        <w:rPr>
          <w:noProof/>
        </w:rPr>
        <w:tab/>
      </w:r>
      <w:r w:rsidR="00F03E8C" w:rsidRPr="00DD1DFA">
        <w:rPr>
          <w:noProof/>
        </w:rPr>
        <w:t>części lub materiałów przeznaczonych do stosowania</w:t>
      </w:r>
      <w:r w:rsidR="00DD1DFA" w:rsidRPr="00DD1DFA">
        <w:rPr>
          <w:noProof/>
        </w:rPr>
        <w:t xml:space="preserve"> w</w:t>
      </w:r>
      <w:r w:rsidR="00DD1DFA">
        <w:rPr>
          <w:noProof/>
        </w:rPr>
        <w:t> </w:t>
      </w:r>
      <w:r w:rsidR="00DD1DFA" w:rsidRPr="00DD1DFA">
        <w:rPr>
          <w:noProof/>
        </w:rPr>
        <w:t>wyr</w:t>
      </w:r>
      <w:r w:rsidR="00F03E8C" w:rsidRPr="00DD1DFA">
        <w:rPr>
          <w:noProof/>
        </w:rPr>
        <w:t>obach objętych niniejszym rozporządzeniem, jeśli wniesie o to producent tych części lub materiałów;</w:t>
      </w:r>
    </w:p>
    <w:p w14:paraId="19CDE343" w14:textId="48A2580F" w:rsidR="00F03E8C" w:rsidRPr="00DD1DFA" w:rsidRDefault="00CB6F77" w:rsidP="00CB6F77">
      <w:pPr>
        <w:pStyle w:val="Point1"/>
        <w:rPr>
          <w:noProof/>
        </w:rPr>
      </w:pPr>
      <w:r w:rsidRPr="00CB6F77">
        <w:rPr>
          <w:noProof/>
        </w:rPr>
        <w:t>f)</w:t>
      </w:r>
      <w:r w:rsidRPr="00CB6F77">
        <w:rPr>
          <w:noProof/>
        </w:rPr>
        <w:tab/>
      </w:r>
      <w:r w:rsidR="00F03E8C" w:rsidRPr="00DD1DFA">
        <w:rPr>
          <w:noProof/>
        </w:rPr>
        <w:t>zestawów lub zespołów, jeżeli ich skład określono</w:t>
      </w:r>
      <w:r w:rsidR="00DD1DFA" w:rsidRPr="00DD1DFA">
        <w:rPr>
          <w:noProof/>
        </w:rPr>
        <w:t xml:space="preserve"> i</w:t>
      </w:r>
      <w:r w:rsidR="00DD1DFA">
        <w:rPr>
          <w:noProof/>
        </w:rPr>
        <w:t> </w:t>
      </w:r>
      <w:r w:rsidR="00DD1DFA" w:rsidRPr="00DD1DFA">
        <w:rPr>
          <w:noProof/>
        </w:rPr>
        <w:t>uję</w:t>
      </w:r>
      <w:r w:rsidR="00F03E8C" w:rsidRPr="00DD1DFA">
        <w:rPr>
          <w:noProof/>
        </w:rPr>
        <w:t>to</w:t>
      </w:r>
      <w:r w:rsidR="00DD1DFA" w:rsidRPr="00DD1DFA">
        <w:rPr>
          <w:noProof/>
        </w:rPr>
        <w:t xml:space="preserve"> w</w:t>
      </w:r>
      <w:r w:rsidR="00DD1DFA">
        <w:rPr>
          <w:noProof/>
        </w:rPr>
        <w:t> </w:t>
      </w:r>
      <w:r w:rsidR="00DD1DFA" w:rsidRPr="00DD1DFA">
        <w:rPr>
          <w:noProof/>
        </w:rPr>
        <w:t>zha</w:t>
      </w:r>
      <w:r w:rsidR="00F03E8C" w:rsidRPr="00DD1DFA">
        <w:rPr>
          <w:noProof/>
        </w:rPr>
        <w:t>rmonizowanych specyfikacjach technicznych lub europejskich dokumentach oceny;</w:t>
      </w:r>
    </w:p>
    <w:p w14:paraId="0A942DED" w14:textId="525CCD08" w:rsidR="00F03E8C" w:rsidRPr="00DD1DFA" w:rsidRDefault="00CB6F77" w:rsidP="00CB6F77">
      <w:pPr>
        <w:pStyle w:val="Point1"/>
        <w:rPr>
          <w:noProof/>
        </w:rPr>
      </w:pPr>
      <w:r w:rsidRPr="00CB6F77">
        <w:rPr>
          <w:noProof/>
        </w:rPr>
        <w:t>g)</w:t>
      </w:r>
      <w:r w:rsidRPr="00CB6F77">
        <w:rPr>
          <w:noProof/>
        </w:rPr>
        <w:tab/>
      </w:r>
      <w:r w:rsidR="00F03E8C" w:rsidRPr="00DD1DFA">
        <w:rPr>
          <w:noProof/>
        </w:rPr>
        <w:t>domów jednorodzinnych prefabrykowanych jednokondygnacyjnych</w:t>
      </w:r>
      <w:r w:rsidR="00DD1DFA" w:rsidRPr="00DD1DFA">
        <w:rPr>
          <w:noProof/>
        </w:rPr>
        <w:t xml:space="preserve"> o</w:t>
      </w:r>
      <w:r w:rsidR="00DD1DFA">
        <w:rPr>
          <w:noProof/>
        </w:rPr>
        <w:t> </w:t>
      </w:r>
      <w:r w:rsidR="00DD1DFA" w:rsidRPr="00DD1DFA">
        <w:rPr>
          <w:noProof/>
        </w:rPr>
        <w:t>pow</w:t>
      </w:r>
      <w:r w:rsidR="00F03E8C" w:rsidRPr="00DD1DFA">
        <w:rPr>
          <w:noProof/>
        </w:rPr>
        <w:t>ierzchni użytkowej mniejszej niż 180 m</w:t>
      </w:r>
      <w:r w:rsidR="00F03E8C" w:rsidRPr="00DD1DFA">
        <w:rPr>
          <w:noProof/>
          <w:vertAlign w:val="superscript"/>
        </w:rPr>
        <w:t>2</w:t>
      </w:r>
      <w:r w:rsidR="00F03E8C" w:rsidRPr="00DD1DFA">
        <w:rPr>
          <w:noProof/>
        </w:rPr>
        <w:t xml:space="preserve"> lub dwukondygnacyjnych</w:t>
      </w:r>
      <w:r w:rsidR="00DD1DFA" w:rsidRPr="00DD1DFA">
        <w:rPr>
          <w:noProof/>
        </w:rPr>
        <w:t xml:space="preserve"> o</w:t>
      </w:r>
      <w:r w:rsidR="00DD1DFA">
        <w:rPr>
          <w:noProof/>
        </w:rPr>
        <w:t> </w:t>
      </w:r>
      <w:r w:rsidR="00DD1DFA" w:rsidRPr="00DD1DFA">
        <w:rPr>
          <w:noProof/>
        </w:rPr>
        <w:t>pow</w:t>
      </w:r>
      <w:r w:rsidR="00F03E8C" w:rsidRPr="00DD1DFA">
        <w:rPr>
          <w:noProof/>
        </w:rPr>
        <w:t>ierzchni użytkowej mniejszej niż 100 m</w:t>
      </w:r>
      <w:r w:rsidR="00F03E8C" w:rsidRPr="00DD1DFA">
        <w:rPr>
          <w:noProof/>
          <w:vertAlign w:val="superscript"/>
        </w:rPr>
        <w:t>2</w:t>
      </w:r>
      <w:r w:rsidR="00F03E8C" w:rsidRPr="00DD1DFA">
        <w:rPr>
          <w:noProof/>
        </w:rPr>
        <w:t xml:space="preserve"> na kondygnację.</w:t>
      </w:r>
    </w:p>
    <w:p w14:paraId="71B2937E" w14:textId="7DE85578" w:rsidR="007B4835" w:rsidRPr="00DD1DFA" w:rsidRDefault="00F03E8C" w:rsidP="00327E37">
      <w:pPr>
        <w:rPr>
          <w:noProof/>
        </w:rPr>
      </w:pPr>
      <w:r w:rsidRPr="00DD1DFA">
        <w:rPr>
          <w:noProof/>
        </w:rPr>
        <w:t>Państwa członkowskie mogą podjąć decyzję</w:t>
      </w:r>
      <w:r w:rsidR="00DD1DFA" w:rsidRPr="00DD1DFA">
        <w:rPr>
          <w:noProof/>
        </w:rPr>
        <w:t xml:space="preserve"> o</w:t>
      </w:r>
      <w:r w:rsidR="00DD1DFA">
        <w:rPr>
          <w:noProof/>
        </w:rPr>
        <w:t> </w:t>
      </w:r>
      <w:r w:rsidR="00DD1DFA" w:rsidRPr="00DD1DFA">
        <w:rPr>
          <w:noProof/>
        </w:rPr>
        <w:t>nie</w:t>
      </w:r>
      <w:r w:rsidRPr="00DD1DFA">
        <w:rPr>
          <w:noProof/>
        </w:rPr>
        <w:t>stosowaniu niniejszego rozporządzenia</w:t>
      </w:r>
      <w:r w:rsidR="00DD1DFA" w:rsidRPr="00DD1DFA">
        <w:rPr>
          <w:noProof/>
        </w:rPr>
        <w:t xml:space="preserve"> w</w:t>
      </w:r>
      <w:r w:rsidR="00DD1DFA">
        <w:rPr>
          <w:noProof/>
        </w:rPr>
        <w:t> </w:t>
      </w:r>
      <w:r w:rsidR="00DD1DFA" w:rsidRPr="00DD1DFA">
        <w:rPr>
          <w:noProof/>
        </w:rPr>
        <w:t>odn</w:t>
      </w:r>
      <w:r w:rsidRPr="00DD1DFA">
        <w:rPr>
          <w:noProof/>
        </w:rPr>
        <w:t>iesieniu do domów,</w:t>
      </w:r>
      <w:r w:rsidR="00DD1DFA" w:rsidRPr="00DD1DFA">
        <w:rPr>
          <w:noProof/>
        </w:rPr>
        <w:t xml:space="preserve"> o</w:t>
      </w:r>
      <w:r w:rsidR="00DD1DFA">
        <w:rPr>
          <w:noProof/>
        </w:rPr>
        <w:t> </w:t>
      </w:r>
      <w:r w:rsidR="00DD1DFA" w:rsidRPr="00DD1DFA">
        <w:rPr>
          <w:noProof/>
        </w:rPr>
        <w:t>któ</w:t>
      </w:r>
      <w:r w:rsidRPr="00DD1DFA">
        <w:rPr>
          <w:noProof/>
        </w:rPr>
        <w:t>rych mowa</w:t>
      </w:r>
      <w:r w:rsidR="00DD1DFA" w:rsidRPr="00DD1DFA">
        <w:rPr>
          <w:noProof/>
        </w:rPr>
        <w:t xml:space="preserve"> w</w:t>
      </w:r>
      <w:r w:rsidR="00DD1DFA">
        <w:rPr>
          <w:noProof/>
        </w:rPr>
        <w:t> </w:t>
      </w:r>
      <w:r w:rsidR="00DD1DFA" w:rsidRPr="00DD1DFA">
        <w:rPr>
          <w:noProof/>
        </w:rPr>
        <w:t>lit</w:t>
      </w:r>
      <w:r w:rsidRPr="00DD1DFA">
        <w:rPr>
          <w:noProof/>
        </w:rPr>
        <w:t>.</w:t>
      </w:r>
      <w:r w:rsidR="00DD1DFA" w:rsidRPr="00DD1DFA">
        <w:rPr>
          <w:noProof/>
        </w:rPr>
        <w:t> </w:t>
      </w:r>
      <w:r w:rsidRPr="00DD1DFA">
        <w:rPr>
          <w:noProof/>
        </w:rPr>
        <w:t>g), powiadamiając</w:t>
      </w:r>
      <w:r w:rsidR="00DD1DFA" w:rsidRPr="00DD1DFA">
        <w:rPr>
          <w:noProof/>
        </w:rPr>
        <w:t xml:space="preserve"> o</w:t>
      </w:r>
      <w:r w:rsidR="00DD1DFA">
        <w:rPr>
          <w:noProof/>
        </w:rPr>
        <w:t> </w:t>
      </w:r>
      <w:r w:rsidR="00DD1DFA" w:rsidRPr="00DD1DFA">
        <w:rPr>
          <w:noProof/>
        </w:rPr>
        <w:t>tym</w:t>
      </w:r>
      <w:r w:rsidRPr="00DD1DFA">
        <w:rPr>
          <w:noProof/>
        </w:rPr>
        <w:t xml:space="preserve"> Komisję.</w:t>
      </w:r>
    </w:p>
    <w:p w14:paraId="6AD14407" w14:textId="361357EC" w:rsidR="00BE35FF" w:rsidRPr="00DD1DFA" w:rsidRDefault="005F7EFA" w:rsidP="005F7EFA">
      <w:pPr>
        <w:pStyle w:val="ManualNumPar1"/>
        <w:rPr>
          <w:noProof/>
        </w:rPr>
      </w:pPr>
      <w:r w:rsidRPr="005F7EFA">
        <w:t>2.</w:t>
      </w:r>
      <w:r w:rsidRPr="005F7EFA">
        <w:tab/>
      </w:r>
      <w:r w:rsidR="00F03E8C" w:rsidRPr="00DD1DFA">
        <w:rPr>
          <w:noProof/>
        </w:rPr>
        <w:t>Niniejsze rozporządzenie ma również zastosowanie do używanych wyrobów budowlanych</w:t>
      </w:r>
      <w:r w:rsidR="00DD1DFA" w:rsidRPr="00DD1DFA">
        <w:rPr>
          <w:noProof/>
        </w:rPr>
        <w:t xml:space="preserve"> i</w:t>
      </w:r>
      <w:r w:rsidR="00DD1DFA">
        <w:rPr>
          <w:noProof/>
        </w:rPr>
        <w:t> </w:t>
      </w:r>
      <w:r w:rsidR="00DD1DFA" w:rsidRPr="00DD1DFA">
        <w:rPr>
          <w:noProof/>
        </w:rPr>
        <w:t>uży</w:t>
      </w:r>
      <w:r w:rsidR="00F03E8C" w:rsidRPr="00DD1DFA">
        <w:rPr>
          <w:noProof/>
        </w:rPr>
        <w:t>wanych elementów,</w:t>
      </w:r>
      <w:r w:rsidR="00DD1DFA" w:rsidRPr="00DD1DFA">
        <w:rPr>
          <w:noProof/>
        </w:rPr>
        <w:t xml:space="preserve"> o</w:t>
      </w:r>
      <w:r w:rsidR="00DD1DFA">
        <w:rPr>
          <w:noProof/>
        </w:rPr>
        <w:t> </w:t>
      </w:r>
      <w:r w:rsidR="00DD1DFA" w:rsidRPr="00DD1DFA">
        <w:rPr>
          <w:noProof/>
        </w:rPr>
        <w:t>któ</w:t>
      </w:r>
      <w:r w:rsidR="00F03E8C" w:rsidRPr="00DD1DFA">
        <w:rPr>
          <w:noProof/>
        </w:rPr>
        <w:t>rych mowa</w:t>
      </w:r>
      <w:r w:rsidR="00DD1DFA" w:rsidRPr="00DD1DFA">
        <w:rPr>
          <w:noProof/>
        </w:rPr>
        <w:t xml:space="preserve"> w</w:t>
      </w:r>
      <w:r w:rsidR="00DD1DFA">
        <w:rPr>
          <w:noProof/>
        </w:rPr>
        <w:t> </w:t>
      </w:r>
      <w:r w:rsidR="00DD1DFA" w:rsidRPr="00DD1DFA">
        <w:rPr>
          <w:noProof/>
        </w:rPr>
        <w:t>ust</w:t>
      </w:r>
      <w:r w:rsidR="00F03E8C" w:rsidRPr="00DD1DFA">
        <w:rPr>
          <w:noProof/>
        </w:rPr>
        <w:t>.</w:t>
      </w:r>
      <w:r w:rsidR="00DD1DFA" w:rsidRPr="00DD1DFA">
        <w:rPr>
          <w:noProof/>
        </w:rPr>
        <w:t> </w:t>
      </w:r>
      <w:r w:rsidR="00F03E8C" w:rsidRPr="00DD1DFA">
        <w:rPr>
          <w:noProof/>
        </w:rPr>
        <w:t>1,</w:t>
      </w:r>
      <w:r w:rsidR="00DD1DFA" w:rsidRPr="00DD1DFA">
        <w:rPr>
          <w:noProof/>
        </w:rPr>
        <w:t xml:space="preserve"> w</w:t>
      </w:r>
      <w:r w:rsidR="00DD1DFA">
        <w:rPr>
          <w:noProof/>
        </w:rPr>
        <w:t> </w:t>
      </w:r>
      <w:r w:rsidR="00DD1DFA" w:rsidRPr="00DD1DFA">
        <w:rPr>
          <w:noProof/>
        </w:rPr>
        <w:t>każ</w:t>
      </w:r>
      <w:r w:rsidR="00F03E8C" w:rsidRPr="00DD1DFA">
        <w:rPr>
          <w:noProof/>
        </w:rPr>
        <w:t>dym</w:t>
      </w:r>
      <w:r w:rsidR="00DD1DFA" w:rsidRPr="00DD1DFA">
        <w:rPr>
          <w:noProof/>
        </w:rPr>
        <w:t xml:space="preserve"> z</w:t>
      </w:r>
      <w:r w:rsidR="00DD1DFA">
        <w:rPr>
          <w:noProof/>
        </w:rPr>
        <w:t> </w:t>
      </w:r>
      <w:r w:rsidR="00DD1DFA" w:rsidRPr="00DD1DFA">
        <w:rPr>
          <w:noProof/>
        </w:rPr>
        <w:t>nas</w:t>
      </w:r>
      <w:r w:rsidR="00F03E8C" w:rsidRPr="00DD1DFA">
        <w:rPr>
          <w:noProof/>
        </w:rPr>
        <w:t>tępujących przypadków:</w:t>
      </w:r>
    </w:p>
    <w:p w14:paraId="792BB919" w14:textId="67893006" w:rsidR="00F03E8C" w:rsidRPr="00DD1DFA" w:rsidRDefault="00DE4B84" w:rsidP="00DE4B84">
      <w:pPr>
        <w:pStyle w:val="Point1"/>
        <w:rPr>
          <w:noProof/>
        </w:rPr>
      </w:pPr>
      <w:r>
        <w:rPr>
          <w:noProof/>
        </w:rPr>
        <w:t>a)</w:t>
      </w:r>
      <w:r>
        <w:rPr>
          <w:noProof/>
        </w:rPr>
        <w:tab/>
      </w:r>
      <w:r w:rsidR="00F03E8C" w:rsidRPr="00DD1DFA">
        <w:rPr>
          <w:noProof/>
        </w:rPr>
        <w:t>używane wyroby budowlane lub elementy są przywożone</w:t>
      </w:r>
      <w:r w:rsidR="00DD1DFA" w:rsidRPr="00DD1DFA">
        <w:rPr>
          <w:noProof/>
        </w:rPr>
        <w:t xml:space="preserve"> z</w:t>
      </w:r>
      <w:r w:rsidR="00DD1DFA">
        <w:rPr>
          <w:noProof/>
        </w:rPr>
        <w:t> </w:t>
      </w:r>
      <w:r w:rsidR="00DD1DFA" w:rsidRPr="00DD1DFA">
        <w:rPr>
          <w:noProof/>
        </w:rPr>
        <w:t>pań</w:t>
      </w:r>
      <w:r w:rsidR="00F03E8C" w:rsidRPr="00DD1DFA">
        <w:rPr>
          <w:noProof/>
        </w:rPr>
        <w:t>stw trzecich bez uprzedniego wprowadzenia ich do obrotu</w:t>
      </w:r>
      <w:r w:rsidR="00DD1DFA" w:rsidRPr="00DD1DFA">
        <w:rPr>
          <w:noProof/>
        </w:rPr>
        <w:t xml:space="preserve"> w</w:t>
      </w:r>
      <w:r w:rsidR="00DD1DFA">
        <w:rPr>
          <w:noProof/>
        </w:rPr>
        <w:t> </w:t>
      </w:r>
      <w:r w:rsidR="00DD1DFA" w:rsidRPr="00DD1DFA">
        <w:rPr>
          <w:noProof/>
        </w:rPr>
        <w:t>Uni</w:t>
      </w:r>
      <w:r w:rsidR="00F03E8C" w:rsidRPr="00DD1DFA">
        <w:rPr>
          <w:noProof/>
        </w:rPr>
        <w:t>i;</w:t>
      </w:r>
    </w:p>
    <w:p w14:paraId="1D68FE54" w14:textId="7CE29CC6" w:rsidR="00F03E8C" w:rsidRPr="00DD1DFA" w:rsidRDefault="00DE4B84" w:rsidP="00DE4B84">
      <w:pPr>
        <w:pStyle w:val="Point1"/>
        <w:rPr>
          <w:noProof/>
        </w:rPr>
      </w:pPr>
      <w:r>
        <w:rPr>
          <w:noProof/>
        </w:rPr>
        <w:t>b)</w:t>
      </w:r>
      <w:r>
        <w:rPr>
          <w:noProof/>
        </w:rPr>
        <w:tab/>
      </w:r>
      <w:r w:rsidR="00F03E8C" w:rsidRPr="00DD1DFA">
        <w:rPr>
          <w:noProof/>
        </w:rPr>
        <w:t>podmiot gospodarczy zmienił zamierzone zastosowanie używanych wyrobów budowlanych lub elementów</w:t>
      </w:r>
      <w:r w:rsidR="00DD1DFA" w:rsidRPr="00DD1DFA">
        <w:rPr>
          <w:noProof/>
        </w:rPr>
        <w:t xml:space="preserve"> w</w:t>
      </w:r>
      <w:r w:rsidR="00DD1DFA">
        <w:rPr>
          <w:noProof/>
        </w:rPr>
        <w:t> </w:t>
      </w:r>
      <w:r w:rsidR="00DD1DFA" w:rsidRPr="00DD1DFA">
        <w:rPr>
          <w:noProof/>
        </w:rPr>
        <w:t>sto</w:t>
      </w:r>
      <w:r w:rsidR="00F03E8C" w:rsidRPr="00DD1DFA">
        <w:rPr>
          <w:noProof/>
        </w:rPr>
        <w:t>sunku do zamierzonego zastosowania przypisanego tym wyrobom budowlanym lub elementom przez pierwotnego producenta</w:t>
      </w:r>
      <w:r w:rsidR="00DD1DFA" w:rsidRPr="00DD1DFA">
        <w:rPr>
          <w:noProof/>
        </w:rPr>
        <w:t xml:space="preserve"> w</w:t>
      </w:r>
      <w:r w:rsidR="00DD1DFA">
        <w:rPr>
          <w:noProof/>
        </w:rPr>
        <w:t> </w:t>
      </w:r>
      <w:r w:rsidR="00DD1DFA" w:rsidRPr="00DD1DFA">
        <w:rPr>
          <w:noProof/>
        </w:rPr>
        <w:t>inn</w:t>
      </w:r>
      <w:r w:rsidR="00F03E8C" w:rsidRPr="00DD1DFA">
        <w:rPr>
          <w:noProof/>
        </w:rPr>
        <w:t>y sposób niż przez ograniczenie właściwości użytkowych lub zamierzonego zastosowania, lub wyłącznie do celów dekoracyjnych, przy czym cele te ustalono</w:t>
      </w:r>
      <w:r w:rsidR="00DD1DFA" w:rsidRPr="00DD1DFA">
        <w:rPr>
          <w:noProof/>
        </w:rPr>
        <w:t xml:space="preserve"> z</w:t>
      </w:r>
      <w:r w:rsidR="00DD1DFA">
        <w:rPr>
          <w:noProof/>
        </w:rPr>
        <w:t> </w:t>
      </w:r>
      <w:r w:rsidR="00DD1DFA" w:rsidRPr="00DD1DFA">
        <w:rPr>
          <w:noProof/>
        </w:rPr>
        <w:t>uwa</w:t>
      </w:r>
      <w:r w:rsidR="00F03E8C" w:rsidRPr="00DD1DFA">
        <w:rPr>
          <w:noProof/>
        </w:rPr>
        <w:t xml:space="preserve">gi na brak jakiejkolwiek funkcji konstrukcyjnej obiektów budowlanych; </w:t>
      </w:r>
    </w:p>
    <w:p w14:paraId="5FF194EF" w14:textId="37EA817A" w:rsidR="00F03E8C" w:rsidRPr="00DD1DFA" w:rsidRDefault="00DE4B84" w:rsidP="00DE4B84">
      <w:pPr>
        <w:pStyle w:val="Point1"/>
        <w:rPr>
          <w:noProof/>
        </w:rPr>
      </w:pPr>
      <w:r>
        <w:rPr>
          <w:noProof/>
        </w:rPr>
        <w:t>c)</w:t>
      </w:r>
      <w:r>
        <w:rPr>
          <w:noProof/>
        </w:rPr>
        <w:tab/>
      </w:r>
      <w:r w:rsidR="00F03E8C" w:rsidRPr="00DD1DFA">
        <w:rPr>
          <w:noProof/>
        </w:rPr>
        <w:t>podmiot gospodarczy udostępniający na rynku używane wyroby budowlane lub elementy deklaruje dla nich charakterystyki lub zapewnia spełnienie wymogów dotyczących wyrobów określonych</w:t>
      </w:r>
      <w:r w:rsidR="00DD1DFA" w:rsidRPr="00DD1DFA">
        <w:rPr>
          <w:noProof/>
        </w:rPr>
        <w:t xml:space="preserve"> w</w:t>
      </w:r>
      <w:r w:rsidR="00DD1DFA">
        <w:rPr>
          <w:noProof/>
        </w:rPr>
        <w:t> </w:t>
      </w:r>
      <w:r w:rsidR="00DD1DFA" w:rsidRPr="00DD1DFA">
        <w:rPr>
          <w:noProof/>
        </w:rPr>
        <w:t>zał</w:t>
      </w:r>
      <w:r w:rsidR="00F03E8C" w:rsidRPr="00DD1DFA">
        <w:rPr>
          <w:noProof/>
        </w:rPr>
        <w:t>ączniku I, dodatkowych lub różnych od charakterystyk</w:t>
      </w:r>
      <w:r w:rsidR="00DD1DFA" w:rsidRPr="00DD1DFA">
        <w:rPr>
          <w:noProof/>
        </w:rPr>
        <w:t xml:space="preserve"> i</w:t>
      </w:r>
      <w:r w:rsidR="00DD1DFA">
        <w:rPr>
          <w:noProof/>
        </w:rPr>
        <w:t> </w:t>
      </w:r>
      <w:r w:rsidR="00DD1DFA" w:rsidRPr="00DD1DFA">
        <w:rPr>
          <w:noProof/>
        </w:rPr>
        <w:t>wym</w:t>
      </w:r>
      <w:r w:rsidR="00F03E8C" w:rsidRPr="00DD1DFA">
        <w:rPr>
          <w:noProof/>
        </w:rPr>
        <w:t>ogów zadeklarowanych na podstawie niniejszego rozporządzenia lub rozporządzenia (UE) 305/2011,</w:t>
      </w:r>
      <w:r w:rsidR="00DD1DFA" w:rsidRPr="00DD1DFA">
        <w:rPr>
          <w:noProof/>
        </w:rPr>
        <w:t xml:space="preserve"> w</w:t>
      </w:r>
      <w:r w:rsidR="00DD1DFA">
        <w:rPr>
          <w:noProof/>
        </w:rPr>
        <w:t> </w:t>
      </w:r>
      <w:r w:rsidR="00DD1DFA" w:rsidRPr="00DD1DFA">
        <w:rPr>
          <w:noProof/>
        </w:rPr>
        <w:t>prz</w:t>
      </w:r>
      <w:r w:rsidR="00F03E8C" w:rsidRPr="00DD1DFA">
        <w:rPr>
          <w:noProof/>
        </w:rPr>
        <w:t xml:space="preserve">ypadku gdy używany wyrób budowlany lub element został po raz pierwszy wprowadzony do obrotu; </w:t>
      </w:r>
    </w:p>
    <w:p w14:paraId="51EB8C69" w14:textId="7D7D5DCD" w:rsidR="00F03E8C" w:rsidRPr="00DD1DFA" w:rsidRDefault="00DE4B84" w:rsidP="00DE4B84">
      <w:pPr>
        <w:pStyle w:val="Point1"/>
        <w:rPr>
          <w:noProof/>
        </w:rPr>
      </w:pPr>
      <w:r>
        <w:rPr>
          <w:noProof/>
        </w:rPr>
        <w:t>d)</w:t>
      </w:r>
      <w:r>
        <w:rPr>
          <w:noProof/>
        </w:rPr>
        <w:tab/>
      </w:r>
      <w:r w:rsidR="00F03E8C" w:rsidRPr="00DD1DFA">
        <w:rPr>
          <w:noProof/>
        </w:rPr>
        <w:t>używane wyroby budowlane lub elementy zostały poddane procesowi przekształcenia wykraczającemu poza naprawę, czyszczenie</w:t>
      </w:r>
      <w:r w:rsidR="00DD1DFA" w:rsidRPr="00DD1DFA">
        <w:rPr>
          <w:noProof/>
        </w:rPr>
        <w:t xml:space="preserve"> i</w:t>
      </w:r>
      <w:r w:rsidR="00DD1DFA">
        <w:rPr>
          <w:noProof/>
        </w:rPr>
        <w:t> </w:t>
      </w:r>
      <w:r w:rsidR="00DD1DFA" w:rsidRPr="00DD1DFA">
        <w:rPr>
          <w:noProof/>
        </w:rPr>
        <w:t>reg</w:t>
      </w:r>
      <w:r w:rsidR="00F03E8C" w:rsidRPr="00DD1DFA">
        <w:rPr>
          <w:noProof/>
        </w:rPr>
        <w:t>ularną konserwację („wyrób poddany regeneracji”);</w:t>
      </w:r>
    </w:p>
    <w:p w14:paraId="54766E16" w14:textId="74E5F9E7" w:rsidR="00FD01D5" w:rsidRPr="00DD1DFA" w:rsidRDefault="00DE4B84" w:rsidP="00DE4B84">
      <w:pPr>
        <w:pStyle w:val="Point1"/>
        <w:rPr>
          <w:noProof/>
        </w:rPr>
      </w:pPr>
      <w:r>
        <w:rPr>
          <w:noProof/>
        </w:rPr>
        <w:t>e)</w:t>
      </w:r>
      <w:r>
        <w:rPr>
          <w:noProof/>
        </w:rPr>
        <w:tab/>
      </w:r>
      <w:r w:rsidR="00F03E8C" w:rsidRPr="00DD1DFA">
        <w:rPr>
          <w:noProof/>
        </w:rPr>
        <w:t>podmiot gospodarczy udostępniający na rynku używane wyroby budowlane lub elementy decyduje się na zastosowanie niniejszego rozporządzenia.</w:t>
      </w:r>
    </w:p>
    <w:p w14:paraId="5E6A28F1" w14:textId="1783CB1A" w:rsidR="00BE35FF" w:rsidRPr="00DD1DFA" w:rsidRDefault="005F7EFA" w:rsidP="005F7EFA">
      <w:pPr>
        <w:pStyle w:val="ManualNumPar1"/>
        <w:rPr>
          <w:rFonts w:ascii="Calibri" w:eastAsia="Calibri" w:hAnsi="Calibri"/>
          <w:noProof/>
          <w:color w:val="00000A"/>
          <w:sz w:val="22"/>
        </w:rPr>
      </w:pPr>
      <w:r w:rsidRPr="005F7EFA">
        <w:t>3.</w:t>
      </w:r>
      <w:r w:rsidRPr="005F7EFA">
        <w:tab/>
      </w:r>
      <w:r w:rsidR="00F03E8C" w:rsidRPr="00DD1DFA">
        <w:rPr>
          <w:noProof/>
        </w:rPr>
        <w:t>Niniejsze rozporządzenie nie ma zastosowania do:</w:t>
      </w:r>
    </w:p>
    <w:p w14:paraId="29B1956C" w14:textId="2A6AE362" w:rsidR="00F03E8C" w:rsidRPr="00DD1DFA" w:rsidRDefault="00DE4B84" w:rsidP="00DE4B84">
      <w:pPr>
        <w:pStyle w:val="Point1"/>
        <w:rPr>
          <w:noProof/>
        </w:rPr>
      </w:pPr>
      <w:r>
        <w:rPr>
          <w:noProof/>
        </w:rPr>
        <w:t>a)</w:t>
      </w:r>
      <w:r>
        <w:rPr>
          <w:noProof/>
        </w:rPr>
        <w:tab/>
      </w:r>
      <w:r w:rsidR="00F03E8C" w:rsidRPr="00DD1DFA">
        <w:rPr>
          <w:noProof/>
        </w:rPr>
        <w:t>dźwigów objętych dyrektywą Parlamentu Europejskiego</w:t>
      </w:r>
      <w:r w:rsidR="00DD1DFA" w:rsidRPr="00DD1DFA">
        <w:rPr>
          <w:noProof/>
        </w:rPr>
        <w:t xml:space="preserve"> i</w:t>
      </w:r>
      <w:r w:rsidR="00DD1DFA">
        <w:rPr>
          <w:noProof/>
        </w:rPr>
        <w:t> </w:t>
      </w:r>
      <w:r w:rsidR="00DD1DFA" w:rsidRPr="00DD1DFA">
        <w:rPr>
          <w:noProof/>
        </w:rPr>
        <w:t>Rad</w:t>
      </w:r>
      <w:r w:rsidR="00F03E8C" w:rsidRPr="00DD1DFA">
        <w:rPr>
          <w:noProof/>
        </w:rPr>
        <w:t>y 2014/33/UE</w:t>
      </w:r>
      <w:r w:rsidR="00F03E8C" w:rsidRPr="00DD1DFA">
        <w:rPr>
          <w:rStyle w:val="Odwoanieprzypisudolnego"/>
          <w:noProof/>
        </w:rPr>
        <w:footnoteReference w:id="43"/>
      </w:r>
      <w:r w:rsidR="00F03E8C" w:rsidRPr="00DD1DFA">
        <w:rPr>
          <w:noProof/>
        </w:rPr>
        <w:t>, schodów ruchomych</w:t>
      </w:r>
      <w:r w:rsidR="00DD1DFA" w:rsidRPr="00DD1DFA">
        <w:rPr>
          <w:noProof/>
        </w:rPr>
        <w:t xml:space="preserve"> i</w:t>
      </w:r>
      <w:r w:rsidR="00DD1DFA">
        <w:rPr>
          <w:noProof/>
        </w:rPr>
        <w:t> </w:t>
      </w:r>
      <w:r w:rsidR="00DD1DFA" w:rsidRPr="00DD1DFA">
        <w:rPr>
          <w:noProof/>
        </w:rPr>
        <w:t>ich</w:t>
      </w:r>
      <w:r w:rsidR="00F03E8C" w:rsidRPr="00DD1DFA">
        <w:rPr>
          <w:noProof/>
        </w:rPr>
        <w:t xml:space="preserve"> części składowych;</w:t>
      </w:r>
    </w:p>
    <w:p w14:paraId="1CBE0AFB" w14:textId="6A3CB9EE" w:rsidR="00F03E8C" w:rsidRPr="00DD1DFA" w:rsidRDefault="00DE4B84" w:rsidP="00DE4B84">
      <w:pPr>
        <w:pStyle w:val="Point1"/>
        <w:rPr>
          <w:noProof/>
        </w:rPr>
      </w:pPr>
      <w:r>
        <w:rPr>
          <w:noProof/>
        </w:rPr>
        <w:t>b)</w:t>
      </w:r>
      <w:r>
        <w:rPr>
          <w:noProof/>
        </w:rPr>
        <w:tab/>
      </w:r>
      <w:r w:rsidR="00F03E8C" w:rsidRPr="00DD1DFA">
        <w:rPr>
          <w:noProof/>
        </w:rPr>
        <w:t>kotłów, rur, zbiorników</w:t>
      </w:r>
      <w:r w:rsidR="00DD1DFA" w:rsidRPr="00DD1DFA">
        <w:rPr>
          <w:noProof/>
        </w:rPr>
        <w:t xml:space="preserve"> i</w:t>
      </w:r>
      <w:r w:rsidR="00DD1DFA">
        <w:rPr>
          <w:noProof/>
        </w:rPr>
        <w:t> </w:t>
      </w:r>
      <w:r w:rsidR="00DD1DFA" w:rsidRPr="00DD1DFA">
        <w:rPr>
          <w:noProof/>
        </w:rPr>
        <w:t>urz</w:t>
      </w:r>
      <w:r w:rsidR="00F03E8C" w:rsidRPr="00DD1DFA">
        <w:rPr>
          <w:noProof/>
        </w:rPr>
        <w:t>ądzeń pomocniczych oraz innych wyrobów mających styczność</w:t>
      </w:r>
      <w:r w:rsidR="00DD1DFA" w:rsidRPr="00DD1DFA">
        <w:rPr>
          <w:noProof/>
        </w:rPr>
        <w:t xml:space="preserve"> z</w:t>
      </w:r>
      <w:r w:rsidR="00DD1DFA">
        <w:rPr>
          <w:noProof/>
        </w:rPr>
        <w:t> </w:t>
      </w:r>
      <w:r w:rsidR="00DD1DFA" w:rsidRPr="00DD1DFA">
        <w:rPr>
          <w:noProof/>
        </w:rPr>
        <w:t>wod</w:t>
      </w:r>
      <w:r w:rsidR="00F03E8C" w:rsidRPr="00DD1DFA">
        <w:rPr>
          <w:noProof/>
        </w:rPr>
        <w:t>ą przeznaczoną do spożycia przez ludzi;</w:t>
      </w:r>
    </w:p>
    <w:p w14:paraId="41B8023F" w14:textId="6C7DB8D7" w:rsidR="00F03E8C" w:rsidRPr="00DD1DFA" w:rsidRDefault="00DE4B84" w:rsidP="00DE4B84">
      <w:pPr>
        <w:pStyle w:val="Point1"/>
        <w:rPr>
          <w:noProof/>
        </w:rPr>
      </w:pPr>
      <w:r>
        <w:rPr>
          <w:noProof/>
        </w:rPr>
        <w:t>c)</w:t>
      </w:r>
      <w:r>
        <w:rPr>
          <w:noProof/>
        </w:rPr>
        <w:tab/>
      </w:r>
      <w:r w:rsidR="00F03E8C" w:rsidRPr="00DD1DFA">
        <w:rPr>
          <w:noProof/>
        </w:rPr>
        <w:t>systemów oczyszczania ścieków;</w:t>
      </w:r>
    </w:p>
    <w:p w14:paraId="4B3AF42B" w14:textId="05BCCD3B" w:rsidR="00F03E8C" w:rsidRPr="00DD1DFA" w:rsidRDefault="00DE4B84" w:rsidP="00DE4B84">
      <w:pPr>
        <w:pStyle w:val="Point1"/>
        <w:rPr>
          <w:noProof/>
        </w:rPr>
      </w:pPr>
      <w:r>
        <w:rPr>
          <w:noProof/>
        </w:rPr>
        <w:t>d)</w:t>
      </w:r>
      <w:r>
        <w:rPr>
          <w:noProof/>
        </w:rPr>
        <w:tab/>
      </w:r>
      <w:r w:rsidR="00F03E8C" w:rsidRPr="00DD1DFA">
        <w:rPr>
          <w:noProof/>
        </w:rPr>
        <w:t xml:space="preserve">urządzeń sanitarnych; </w:t>
      </w:r>
    </w:p>
    <w:p w14:paraId="2FB5E1D3" w14:textId="0A6124AD" w:rsidR="00BE35FF" w:rsidRPr="00DD1DFA" w:rsidRDefault="00DE4B84" w:rsidP="00DE4B84">
      <w:pPr>
        <w:pStyle w:val="Point1"/>
        <w:rPr>
          <w:noProof/>
        </w:rPr>
      </w:pPr>
      <w:r>
        <w:rPr>
          <w:noProof/>
        </w:rPr>
        <w:t>e)</w:t>
      </w:r>
      <w:r>
        <w:rPr>
          <w:noProof/>
        </w:rPr>
        <w:tab/>
      </w:r>
      <w:r w:rsidR="00F03E8C" w:rsidRPr="00DD1DFA">
        <w:rPr>
          <w:noProof/>
        </w:rPr>
        <w:t>wyrobów związanych</w:t>
      </w:r>
      <w:r w:rsidR="00DD1DFA" w:rsidRPr="00DD1DFA">
        <w:rPr>
          <w:noProof/>
        </w:rPr>
        <w:t xml:space="preserve"> z</w:t>
      </w:r>
      <w:r w:rsidR="00DD1DFA">
        <w:rPr>
          <w:noProof/>
        </w:rPr>
        <w:t> </w:t>
      </w:r>
      <w:r w:rsidR="00DD1DFA" w:rsidRPr="00DD1DFA">
        <w:rPr>
          <w:noProof/>
        </w:rPr>
        <w:t>syg</w:t>
      </w:r>
      <w:r w:rsidR="00F03E8C" w:rsidRPr="00DD1DFA">
        <w:rPr>
          <w:noProof/>
        </w:rPr>
        <w:t>nalizacją świetlną.</w:t>
      </w:r>
    </w:p>
    <w:p w14:paraId="6FA52B13" w14:textId="6FA4920C" w:rsidR="00F03E8C" w:rsidRPr="00DD1DFA" w:rsidRDefault="005F7EFA" w:rsidP="005F7EFA">
      <w:pPr>
        <w:pStyle w:val="ManualNumPar1"/>
        <w:rPr>
          <w:noProof/>
        </w:rPr>
      </w:pPr>
      <w:r w:rsidRPr="005F7EFA">
        <w:t>4.</w:t>
      </w:r>
      <w:r w:rsidRPr="005F7EFA">
        <w:tab/>
      </w:r>
      <w:r w:rsidR="00F03E8C" w:rsidRPr="00DD1DFA">
        <w:rPr>
          <w:noProof/>
        </w:rPr>
        <w:t>Niniejsze rozporządzenie ma również zastosowanie do usług drukowania przestrzennego wyrobów budowlanych</w:t>
      </w:r>
      <w:r w:rsidR="00DD1DFA" w:rsidRPr="00DD1DFA">
        <w:rPr>
          <w:noProof/>
        </w:rPr>
        <w:t xml:space="preserve"> i</w:t>
      </w:r>
      <w:r w:rsidR="00DD1DFA">
        <w:rPr>
          <w:noProof/>
        </w:rPr>
        <w:t> </w:t>
      </w:r>
      <w:r w:rsidR="00DD1DFA" w:rsidRPr="00DD1DFA">
        <w:rPr>
          <w:noProof/>
        </w:rPr>
        <w:t>ele</w:t>
      </w:r>
      <w:r w:rsidR="00F03E8C" w:rsidRPr="00DD1DFA">
        <w:rPr>
          <w:noProof/>
        </w:rPr>
        <w:t>mentów objętych niniejszym rozporządzeniem. Usługi drukowania przestrzennego obejmują wynajem maszyn do drukowania przestrzennego, które mogą być wykorzystywane do produkcji wyrobów budowlanych</w:t>
      </w:r>
      <w:r w:rsidR="00DD1DFA" w:rsidRPr="00DD1DFA">
        <w:rPr>
          <w:noProof/>
        </w:rPr>
        <w:t xml:space="preserve"> i</w:t>
      </w:r>
      <w:r w:rsidR="00DD1DFA">
        <w:rPr>
          <w:noProof/>
        </w:rPr>
        <w:t> </w:t>
      </w:r>
      <w:r w:rsidR="00DD1DFA" w:rsidRPr="00DD1DFA">
        <w:rPr>
          <w:noProof/>
        </w:rPr>
        <w:t>ele</w:t>
      </w:r>
      <w:r w:rsidR="00F03E8C" w:rsidRPr="00DD1DFA">
        <w:rPr>
          <w:noProof/>
        </w:rPr>
        <w:t>mentów objętych niniejszym rozporządzeniem.</w:t>
      </w:r>
    </w:p>
    <w:p w14:paraId="2E72666C" w14:textId="77777777" w:rsidR="00F03E8C" w:rsidRPr="00DD1DFA" w:rsidRDefault="00F03E8C" w:rsidP="00300D3C">
      <w:pPr>
        <w:pStyle w:val="Text1"/>
        <w:rPr>
          <w:noProof/>
        </w:rPr>
      </w:pPr>
      <w:r w:rsidRPr="00DD1DFA">
        <w:rPr>
          <w:noProof/>
        </w:rPr>
        <w:t>Niniejsze rozporządzenie ma również zastosowanie do usług związanych z:</w:t>
      </w:r>
    </w:p>
    <w:p w14:paraId="75D01413" w14:textId="5549CE2C" w:rsidR="00F03E8C" w:rsidRPr="00DD1DFA" w:rsidRDefault="00F03E8C" w:rsidP="00F03E8C">
      <w:pPr>
        <w:pStyle w:val="Tiret1"/>
        <w:rPr>
          <w:noProof/>
        </w:rPr>
      </w:pPr>
      <w:r w:rsidRPr="00DD1DFA">
        <w:rPr>
          <w:noProof/>
        </w:rPr>
        <w:t>produkcją</w:t>
      </w:r>
      <w:r w:rsidR="00DD1DFA" w:rsidRPr="00DD1DFA">
        <w:rPr>
          <w:noProof/>
        </w:rPr>
        <w:t xml:space="preserve"> i</w:t>
      </w:r>
      <w:r w:rsidR="00DD1DFA">
        <w:rPr>
          <w:noProof/>
        </w:rPr>
        <w:t> </w:t>
      </w:r>
      <w:r w:rsidR="00DD1DFA" w:rsidRPr="00DD1DFA">
        <w:rPr>
          <w:noProof/>
        </w:rPr>
        <w:t>kom</w:t>
      </w:r>
      <w:r w:rsidRPr="00DD1DFA">
        <w:rPr>
          <w:noProof/>
        </w:rPr>
        <w:t xml:space="preserve">ercjalizacją wyrobów budowlanych lub elementów objętych niniejszym rozporządzeniem, oraz </w:t>
      </w:r>
    </w:p>
    <w:p w14:paraId="4A9F0ABF" w14:textId="61097580" w:rsidR="00F03E8C" w:rsidRPr="00DD1DFA" w:rsidRDefault="00F03E8C" w:rsidP="00F03E8C">
      <w:pPr>
        <w:pStyle w:val="Tiret1"/>
        <w:rPr>
          <w:noProof/>
        </w:rPr>
      </w:pPr>
      <w:r w:rsidRPr="00DD1DFA">
        <w:rPr>
          <w:noProof/>
        </w:rPr>
        <w:t>z demontażem, przygotowaniem do ponownego użycia, regeneracją wyrobów</w:t>
      </w:r>
      <w:r w:rsidR="00DD1DFA" w:rsidRPr="00DD1DFA">
        <w:rPr>
          <w:noProof/>
        </w:rPr>
        <w:t xml:space="preserve"> i</w:t>
      </w:r>
      <w:r w:rsidR="00DD1DFA">
        <w:rPr>
          <w:noProof/>
        </w:rPr>
        <w:t> </w:t>
      </w:r>
      <w:r w:rsidR="00DD1DFA" w:rsidRPr="00DD1DFA">
        <w:rPr>
          <w:noProof/>
        </w:rPr>
        <w:t>han</w:t>
      </w:r>
      <w:r w:rsidRPr="00DD1DFA">
        <w:rPr>
          <w:noProof/>
        </w:rPr>
        <w:t>dlem używanymi wyrobami budowlanymi lub elementami objętymi niniejszym rozporządzeniem.</w:t>
      </w:r>
    </w:p>
    <w:p w14:paraId="526C2650" w14:textId="4D7A809B" w:rsidR="00C61705" w:rsidRPr="00DD1DFA" w:rsidRDefault="005F7EFA" w:rsidP="005F7EFA">
      <w:pPr>
        <w:pStyle w:val="ManualNumPar1"/>
        <w:rPr>
          <w:noProof/>
        </w:rPr>
      </w:pPr>
      <w:r w:rsidRPr="005F7EFA">
        <w:t>5.</w:t>
      </w:r>
      <w:r w:rsidRPr="005F7EFA">
        <w:tab/>
      </w:r>
      <w:r w:rsidR="00F03E8C" w:rsidRPr="00DD1DFA">
        <w:rPr>
          <w:noProof/>
        </w:rPr>
        <w:t>Państwa członkowskie mogą wyłączyć ze stosowania niniejszego rozporządzenia wyroby budowlane</w:t>
      </w:r>
      <w:r w:rsidR="00DD1DFA" w:rsidRPr="00DD1DFA">
        <w:rPr>
          <w:noProof/>
        </w:rPr>
        <w:t xml:space="preserve"> i</w:t>
      </w:r>
      <w:r w:rsidR="00DD1DFA">
        <w:rPr>
          <w:noProof/>
        </w:rPr>
        <w:t> </w:t>
      </w:r>
      <w:r w:rsidR="00DD1DFA" w:rsidRPr="00DD1DFA">
        <w:rPr>
          <w:noProof/>
        </w:rPr>
        <w:t>ele</w:t>
      </w:r>
      <w:r w:rsidR="00F03E8C" w:rsidRPr="00DD1DFA">
        <w:rPr>
          <w:noProof/>
        </w:rPr>
        <w:t>menty objęte niniejszym rozporządzeniem, które są wprowadzane do obrotu lub bezpośrednio instalowane</w:t>
      </w:r>
      <w:r w:rsidR="00DD1DFA" w:rsidRPr="00DD1DFA">
        <w:rPr>
          <w:noProof/>
        </w:rPr>
        <w:t xml:space="preserve"> w</w:t>
      </w:r>
      <w:r w:rsidR="00DD1DFA">
        <w:rPr>
          <w:noProof/>
        </w:rPr>
        <w:t> </w:t>
      </w:r>
      <w:r w:rsidR="00DD1DFA" w:rsidRPr="00DD1DFA">
        <w:rPr>
          <w:noProof/>
        </w:rPr>
        <w:t>reg</w:t>
      </w:r>
      <w:r w:rsidR="00F03E8C" w:rsidRPr="00DD1DFA">
        <w:rPr>
          <w:noProof/>
        </w:rPr>
        <w:t>ionach najbardziej oddalonych Unii Europejskiej</w:t>
      </w:r>
      <w:r w:rsidR="00DD1DFA" w:rsidRPr="00DD1DFA">
        <w:rPr>
          <w:noProof/>
        </w:rPr>
        <w:t xml:space="preserve"> w</w:t>
      </w:r>
      <w:r w:rsidR="00DD1DFA">
        <w:rPr>
          <w:noProof/>
        </w:rPr>
        <w:t> </w:t>
      </w:r>
      <w:r w:rsidR="00DD1DFA" w:rsidRPr="00DD1DFA">
        <w:rPr>
          <w:noProof/>
        </w:rPr>
        <w:t>roz</w:t>
      </w:r>
      <w:r w:rsidR="00F03E8C" w:rsidRPr="00DD1DFA">
        <w:rPr>
          <w:noProof/>
        </w:rPr>
        <w:t>umieniu art.</w:t>
      </w:r>
      <w:r w:rsidR="00DD1DFA" w:rsidRPr="00DD1DFA">
        <w:rPr>
          <w:noProof/>
        </w:rPr>
        <w:t> </w:t>
      </w:r>
      <w:r w:rsidR="00F03E8C" w:rsidRPr="00DD1DFA">
        <w:rPr>
          <w:noProof/>
        </w:rPr>
        <w:t>349 Traktatu</w:t>
      </w:r>
      <w:r w:rsidR="00DD1DFA" w:rsidRPr="00DD1DFA">
        <w:rPr>
          <w:noProof/>
        </w:rPr>
        <w:t xml:space="preserve"> o</w:t>
      </w:r>
      <w:r w:rsidR="00DD1DFA">
        <w:rPr>
          <w:noProof/>
        </w:rPr>
        <w:t> </w:t>
      </w:r>
      <w:r w:rsidR="00DD1DFA" w:rsidRPr="00DD1DFA">
        <w:rPr>
          <w:noProof/>
        </w:rPr>
        <w:t>fun</w:t>
      </w:r>
      <w:r w:rsidR="00F03E8C" w:rsidRPr="00DD1DFA">
        <w:rPr>
          <w:noProof/>
        </w:rPr>
        <w:t>kcjonowaniu Unii Europejskiej. Państwa członkowskie powiadamiają Komisję Europejską</w:t>
      </w:r>
      <w:r w:rsidR="00DD1DFA" w:rsidRPr="00DD1DFA">
        <w:rPr>
          <w:noProof/>
        </w:rPr>
        <w:t xml:space="preserve"> i</w:t>
      </w:r>
      <w:r w:rsidR="00DD1DFA">
        <w:rPr>
          <w:noProof/>
        </w:rPr>
        <w:t> </w:t>
      </w:r>
      <w:r w:rsidR="00DD1DFA" w:rsidRPr="00DD1DFA">
        <w:rPr>
          <w:noProof/>
        </w:rPr>
        <w:t>poz</w:t>
      </w:r>
      <w:r w:rsidR="00F03E8C" w:rsidRPr="00DD1DFA">
        <w:rPr>
          <w:noProof/>
        </w:rPr>
        <w:t>ostałe państwa członkowskie</w:t>
      </w:r>
      <w:r w:rsidR="00DD1DFA" w:rsidRPr="00DD1DFA">
        <w:rPr>
          <w:noProof/>
        </w:rPr>
        <w:t xml:space="preserve"> o</w:t>
      </w:r>
      <w:r w:rsidR="00DD1DFA">
        <w:rPr>
          <w:noProof/>
        </w:rPr>
        <w:t> </w:t>
      </w:r>
      <w:r w:rsidR="00DD1DFA" w:rsidRPr="00DD1DFA">
        <w:rPr>
          <w:noProof/>
        </w:rPr>
        <w:t>prz</w:t>
      </w:r>
      <w:r w:rsidR="00F03E8C" w:rsidRPr="00DD1DFA">
        <w:rPr>
          <w:noProof/>
        </w:rPr>
        <w:t>episach,</w:t>
      </w:r>
      <w:r w:rsidR="00DD1DFA" w:rsidRPr="00DD1DFA">
        <w:rPr>
          <w:noProof/>
        </w:rPr>
        <w:t xml:space="preserve"> w</w:t>
      </w:r>
      <w:r w:rsidR="00DD1DFA">
        <w:rPr>
          <w:noProof/>
        </w:rPr>
        <w:t> </w:t>
      </w:r>
      <w:r w:rsidR="00DD1DFA" w:rsidRPr="00DD1DFA">
        <w:rPr>
          <w:noProof/>
        </w:rPr>
        <w:t>któ</w:t>
      </w:r>
      <w:r w:rsidR="00F03E8C" w:rsidRPr="00DD1DFA">
        <w:rPr>
          <w:noProof/>
        </w:rPr>
        <w:t>rych przewidziano takie wyłączenia. Państwa członkowskie zapewniają, aby wyroby lub elementy budowlane podlegające wyłączeniu nie były opatrzone oznakowaniem CE zgodnie</w:t>
      </w:r>
      <w:r w:rsidR="00DD1DFA" w:rsidRPr="00DD1DFA">
        <w:rPr>
          <w:noProof/>
        </w:rPr>
        <w:t xml:space="preserve"> z</w:t>
      </w:r>
      <w:r w:rsidR="00DD1DFA">
        <w:rPr>
          <w:noProof/>
        </w:rPr>
        <w:t> </w:t>
      </w:r>
      <w:r w:rsidR="00DD1DFA" w:rsidRPr="00DD1DFA">
        <w:rPr>
          <w:noProof/>
        </w:rPr>
        <w:t>art</w:t>
      </w:r>
      <w:r w:rsidR="00F03E8C" w:rsidRPr="00DD1DFA">
        <w:rPr>
          <w:noProof/>
        </w:rPr>
        <w:t>.</w:t>
      </w:r>
      <w:r w:rsidR="00DD1DFA" w:rsidRPr="00DD1DFA">
        <w:rPr>
          <w:noProof/>
        </w:rPr>
        <w:t> </w:t>
      </w:r>
      <w:r w:rsidR="00F03E8C" w:rsidRPr="00DD1DFA">
        <w:rPr>
          <w:noProof/>
        </w:rPr>
        <w:t>16. Wyrobów lub elementów budowlanych wprowadzonych do obrotu lub bezpośrednio wbudowanych na podstawie takiego wyłączenia nie uznaje się za wprowadzone do obrotu lub bezpośrednio wbudowane</w:t>
      </w:r>
      <w:r w:rsidR="00DD1DFA" w:rsidRPr="00DD1DFA">
        <w:rPr>
          <w:noProof/>
        </w:rPr>
        <w:t xml:space="preserve"> w</w:t>
      </w:r>
      <w:r w:rsidR="00DD1DFA">
        <w:rPr>
          <w:noProof/>
        </w:rPr>
        <w:t> </w:t>
      </w:r>
      <w:r w:rsidR="00DD1DFA" w:rsidRPr="00DD1DFA">
        <w:rPr>
          <w:noProof/>
        </w:rPr>
        <w:t>Uni</w:t>
      </w:r>
      <w:r w:rsidR="00F03E8C" w:rsidRPr="00DD1DFA">
        <w:rPr>
          <w:noProof/>
        </w:rPr>
        <w:t>i</w:t>
      </w:r>
      <w:r w:rsidR="00DD1DFA" w:rsidRPr="00DD1DFA">
        <w:rPr>
          <w:noProof/>
        </w:rPr>
        <w:t xml:space="preserve"> w</w:t>
      </w:r>
      <w:r w:rsidR="00DD1DFA">
        <w:rPr>
          <w:noProof/>
        </w:rPr>
        <w:t> </w:t>
      </w:r>
      <w:r w:rsidR="00DD1DFA" w:rsidRPr="00DD1DFA">
        <w:rPr>
          <w:noProof/>
        </w:rPr>
        <w:t>roz</w:t>
      </w:r>
      <w:r w:rsidR="00F03E8C" w:rsidRPr="00DD1DFA">
        <w:rPr>
          <w:noProof/>
        </w:rPr>
        <w:t>umieniu niniejszego rozporządzenia.</w:t>
      </w:r>
    </w:p>
    <w:p w14:paraId="1A06BE9B" w14:textId="77777777" w:rsidR="0029037E" w:rsidRPr="00DD1DFA" w:rsidRDefault="0029037E" w:rsidP="0029037E">
      <w:pPr>
        <w:pStyle w:val="Titrearticle"/>
        <w:rPr>
          <w:noProof/>
        </w:rPr>
      </w:pPr>
      <w:r w:rsidRPr="00DD1DFA">
        <w:rPr>
          <w:noProof/>
        </w:rPr>
        <w:t>Artykuł 3</w:t>
      </w:r>
    </w:p>
    <w:p w14:paraId="0FCAF73C" w14:textId="77777777" w:rsidR="0029037E" w:rsidRPr="00DD1DFA" w:rsidRDefault="00677F50" w:rsidP="0029037E">
      <w:pPr>
        <w:pStyle w:val="Titrearticle"/>
        <w:rPr>
          <w:b/>
          <w:noProof/>
        </w:rPr>
      </w:pPr>
      <w:r w:rsidRPr="00DD1DFA">
        <w:rPr>
          <w:b/>
          <w:noProof/>
        </w:rPr>
        <w:t>Definicje</w:t>
      </w:r>
    </w:p>
    <w:p w14:paraId="787B71BD" w14:textId="77777777" w:rsidR="0029037E" w:rsidRPr="00DD1DFA" w:rsidRDefault="00677F50" w:rsidP="00677F50">
      <w:pPr>
        <w:rPr>
          <w:noProof/>
        </w:rPr>
      </w:pPr>
      <w:r w:rsidRPr="00DD1DFA">
        <w:rPr>
          <w:noProof/>
        </w:rPr>
        <w:t>Do celów niniejszego rozporządzenia stosuje się następujące definicje:</w:t>
      </w:r>
    </w:p>
    <w:p w14:paraId="32C761A9" w14:textId="033EFA23" w:rsidR="00045DDF" w:rsidRPr="00DD1DFA" w:rsidRDefault="00986673" w:rsidP="00986673">
      <w:pPr>
        <w:pStyle w:val="Point0"/>
        <w:rPr>
          <w:noProof/>
        </w:rPr>
      </w:pPr>
      <w:r w:rsidRPr="00986673">
        <w:rPr>
          <w:noProof/>
        </w:rPr>
        <w:t>1)</w:t>
      </w:r>
      <w:r w:rsidRPr="00986673">
        <w:rPr>
          <w:noProof/>
        </w:rPr>
        <w:tab/>
      </w:r>
      <w:r w:rsidR="00045DDF" w:rsidRPr="00DD1DFA">
        <w:rPr>
          <w:noProof/>
        </w:rPr>
        <w:t>„wyrób budowlany” oznacza każdy uformowany lub bezkształtny element fizyczny, łącznie</w:t>
      </w:r>
      <w:r w:rsidR="00DD1DFA" w:rsidRPr="00DD1DFA">
        <w:rPr>
          <w:noProof/>
        </w:rPr>
        <w:t xml:space="preserve"> z</w:t>
      </w:r>
      <w:r w:rsidR="00DD1DFA">
        <w:rPr>
          <w:noProof/>
        </w:rPr>
        <w:t> </w:t>
      </w:r>
      <w:r w:rsidR="00DD1DFA" w:rsidRPr="00DD1DFA">
        <w:rPr>
          <w:noProof/>
        </w:rPr>
        <w:t>jeg</w:t>
      </w:r>
      <w:r w:rsidR="00045DDF" w:rsidRPr="00DD1DFA">
        <w:rPr>
          <w:noProof/>
        </w:rPr>
        <w:t>o opakowaniem</w:t>
      </w:r>
      <w:r w:rsidR="00DD1DFA" w:rsidRPr="00DD1DFA">
        <w:rPr>
          <w:noProof/>
        </w:rPr>
        <w:t xml:space="preserve"> i</w:t>
      </w:r>
      <w:r w:rsidR="00DD1DFA">
        <w:rPr>
          <w:noProof/>
        </w:rPr>
        <w:t> </w:t>
      </w:r>
      <w:r w:rsidR="00DD1DFA" w:rsidRPr="00DD1DFA">
        <w:rPr>
          <w:noProof/>
        </w:rPr>
        <w:t>ins</w:t>
      </w:r>
      <w:r w:rsidR="00045DDF" w:rsidRPr="00DD1DFA">
        <w:rPr>
          <w:noProof/>
        </w:rPr>
        <w:t>trukcją obsługi, lub zestaw bądź zespół łączący takie elementy, który jest wprowadzany do obrotu lub produkowany</w:t>
      </w:r>
      <w:r w:rsidR="00DD1DFA" w:rsidRPr="00DD1DFA">
        <w:rPr>
          <w:noProof/>
        </w:rPr>
        <w:t xml:space="preserve"> w</w:t>
      </w:r>
      <w:r w:rsidR="00DD1DFA">
        <w:rPr>
          <w:noProof/>
        </w:rPr>
        <w:t> </w:t>
      </w:r>
      <w:r w:rsidR="00DD1DFA" w:rsidRPr="00DD1DFA">
        <w:rPr>
          <w:noProof/>
        </w:rPr>
        <w:t>cel</w:t>
      </w:r>
      <w:r w:rsidR="00045DDF" w:rsidRPr="00DD1DFA">
        <w:rPr>
          <w:noProof/>
        </w:rPr>
        <w:t>u trwałego wbudowania</w:t>
      </w:r>
      <w:r w:rsidR="00DD1DFA" w:rsidRPr="00DD1DFA">
        <w:rPr>
          <w:noProof/>
        </w:rPr>
        <w:t xml:space="preserve"> w</w:t>
      </w:r>
      <w:r w:rsidR="00DD1DFA">
        <w:rPr>
          <w:noProof/>
        </w:rPr>
        <w:t> </w:t>
      </w:r>
      <w:r w:rsidR="00DD1DFA" w:rsidRPr="00DD1DFA">
        <w:rPr>
          <w:noProof/>
        </w:rPr>
        <w:t>obi</w:t>
      </w:r>
      <w:r w:rsidR="00045DDF" w:rsidRPr="00DD1DFA">
        <w:rPr>
          <w:noProof/>
        </w:rPr>
        <w:t>ekty budowlane lub ich części na terenie Unii,</w:t>
      </w:r>
      <w:r w:rsidR="00DD1DFA" w:rsidRPr="00DD1DFA">
        <w:rPr>
          <w:noProof/>
        </w:rPr>
        <w:t xml:space="preserve"> z</w:t>
      </w:r>
      <w:r w:rsidR="00DD1DFA">
        <w:rPr>
          <w:noProof/>
        </w:rPr>
        <w:t> </w:t>
      </w:r>
      <w:r w:rsidR="00DD1DFA" w:rsidRPr="00DD1DFA">
        <w:rPr>
          <w:noProof/>
        </w:rPr>
        <w:t>wyj</w:t>
      </w:r>
      <w:r w:rsidR="00045DDF" w:rsidRPr="00DD1DFA">
        <w:rPr>
          <w:noProof/>
        </w:rPr>
        <w:t>ątkiem elementów, które</w:t>
      </w:r>
      <w:r w:rsidR="00DD1DFA" w:rsidRPr="00DD1DFA">
        <w:rPr>
          <w:noProof/>
        </w:rPr>
        <w:t xml:space="preserve"> z</w:t>
      </w:r>
      <w:r w:rsidR="00DD1DFA">
        <w:rPr>
          <w:noProof/>
        </w:rPr>
        <w:t> </w:t>
      </w:r>
      <w:r w:rsidR="00DD1DFA" w:rsidRPr="00DD1DFA">
        <w:rPr>
          <w:noProof/>
        </w:rPr>
        <w:t>kon</w:t>
      </w:r>
      <w:r w:rsidR="00045DDF" w:rsidRPr="00DD1DFA">
        <w:rPr>
          <w:noProof/>
        </w:rPr>
        <w:t>ieczności najpierw zostają trwale połączone</w:t>
      </w:r>
      <w:r w:rsidR="00DD1DFA" w:rsidRPr="00DD1DFA">
        <w:rPr>
          <w:noProof/>
        </w:rPr>
        <w:t xml:space="preserve"> w</w:t>
      </w:r>
      <w:r w:rsidR="00DD1DFA">
        <w:rPr>
          <w:noProof/>
        </w:rPr>
        <w:t> </w:t>
      </w:r>
      <w:r w:rsidR="00DD1DFA" w:rsidRPr="00DD1DFA">
        <w:rPr>
          <w:noProof/>
        </w:rPr>
        <w:t>zes</w:t>
      </w:r>
      <w:r w:rsidR="00045DDF" w:rsidRPr="00DD1DFA">
        <w:rPr>
          <w:noProof/>
        </w:rPr>
        <w:t>pół, zestaw lub inny wyrób budowlany, zanim zostaną trwale wbudowane</w:t>
      </w:r>
      <w:r w:rsidR="00DD1DFA" w:rsidRPr="00DD1DFA">
        <w:rPr>
          <w:noProof/>
        </w:rPr>
        <w:t xml:space="preserve"> w</w:t>
      </w:r>
      <w:r w:rsidR="00DD1DFA">
        <w:rPr>
          <w:noProof/>
        </w:rPr>
        <w:t> </w:t>
      </w:r>
      <w:r w:rsidR="00DD1DFA" w:rsidRPr="00DD1DFA">
        <w:rPr>
          <w:noProof/>
        </w:rPr>
        <w:t>obi</w:t>
      </w:r>
      <w:r w:rsidR="00045DDF" w:rsidRPr="00DD1DFA">
        <w:rPr>
          <w:noProof/>
        </w:rPr>
        <w:t>ekty budowlane;</w:t>
      </w:r>
    </w:p>
    <w:p w14:paraId="25FA6FEE" w14:textId="7E80E851" w:rsidR="00045DDF" w:rsidRPr="00DD1DFA" w:rsidRDefault="00986673" w:rsidP="00986673">
      <w:pPr>
        <w:pStyle w:val="Point0"/>
        <w:rPr>
          <w:noProof/>
        </w:rPr>
      </w:pPr>
      <w:r w:rsidRPr="00986673">
        <w:rPr>
          <w:noProof/>
        </w:rPr>
        <w:t>2)</w:t>
      </w:r>
      <w:r w:rsidRPr="00986673">
        <w:rPr>
          <w:noProof/>
        </w:rPr>
        <w:tab/>
      </w:r>
      <w:r w:rsidR="00045DDF" w:rsidRPr="00DD1DFA">
        <w:rPr>
          <w:noProof/>
        </w:rPr>
        <w:t>„stały” oznacza trwający dwa lata lub dłużej;</w:t>
      </w:r>
    </w:p>
    <w:p w14:paraId="13A4C7A5" w14:textId="6BB14EE5" w:rsidR="00045DDF" w:rsidRPr="00DD1DFA" w:rsidRDefault="00986673" w:rsidP="00986673">
      <w:pPr>
        <w:pStyle w:val="Point0"/>
        <w:rPr>
          <w:noProof/>
        </w:rPr>
      </w:pPr>
      <w:r w:rsidRPr="00986673">
        <w:rPr>
          <w:noProof/>
        </w:rPr>
        <w:t>3)</w:t>
      </w:r>
      <w:r w:rsidRPr="00986673">
        <w:rPr>
          <w:noProof/>
        </w:rPr>
        <w:tab/>
      </w:r>
      <w:r w:rsidR="00045DDF" w:rsidRPr="00DD1DFA">
        <w:rPr>
          <w:noProof/>
        </w:rPr>
        <w:t>„wyrób” oznacza wyrób budowlany lub inny element objęty niniejszym rozporządzeniem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2 ust.</w:t>
      </w:r>
      <w:r w:rsidR="00DD1DFA" w:rsidRPr="00DD1DFA">
        <w:rPr>
          <w:noProof/>
        </w:rPr>
        <w:t> </w:t>
      </w:r>
      <w:r w:rsidR="00045DDF" w:rsidRPr="00DD1DFA">
        <w:rPr>
          <w:noProof/>
        </w:rPr>
        <w:t>1–3;</w:t>
      </w:r>
    </w:p>
    <w:p w14:paraId="338BB1AD" w14:textId="7B79DBED" w:rsidR="00045DDF" w:rsidRPr="00DD1DFA" w:rsidRDefault="00986673" w:rsidP="00986673">
      <w:pPr>
        <w:pStyle w:val="Point0"/>
        <w:rPr>
          <w:noProof/>
        </w:rPr>
      </w:pPr>
      <w:r w:rsidRPr="00986673">
        <w:rPr>
          <w:noProof/>
        </w:rPr>
        <w:t>4)</w:t>
      </w:r>
      <w:r w:rsidRPr="00986673">
        <w:rPr>
          <w:noProof/>
        </w:rPr>
        <w:tab/>
      </w:r>
      <w:r w:rsidR="00045DDF" w:rsidRPr="00DD1DFA">
        <w:rPr>
          <w:noProof/>
        </w:rPr>
        <w:t>„udostępnianie na rynku” oznacza każde dostarczanie wyrobu</w:t>
      </w:r>
      <w:r w:rsidR="00DD1DFA" w:rsidRPr="00DD1DFA">
        <w:rPr>
          <w:noProof/>
        </w:rPr>
        <w:t xml:space="preserve"> w</w:t>
      </w:r>
      <w:r w:rsidR="00DD1DFA">
        <w:rPr>
          <w:noProof/>
        </w:rPr>
        <w:t> </w:t>
      </w:r>
      <w:r w:rsidR="00DD1DFA" w:rsidRPr="00DD1DFA">
        <w:rPr>
          <w:noProof/>
        </w:rPr>
        <w:t>cel</w:t>
      </w:r>
      <w:r w:rsidR="00045DDF" w:rsidRPr="00DD1DFA">
        <w:rPr>
          <w:noProof/>
        </w:rPr>
        <w:t>u dystrybucji lub zastosowania na rynku unijnym</w:t>
      </w:r>
      <w:r w:rsidR="00DD1DFA" w:rsidRPr="00DD1DFA">
        <w:rPr>
          <w:noProof/>
        </w:rPr>
        <w:t xml:space="preserve"> w</w:t>
      </w:r>
      <w:r w:rsidR="00DD1DFA">
        <w:rPr>
          <w:noProof/>
        </w:rPr>
        <w:t> </w:t>
      </w:r>
      <w:r w:rsidR="00DD1DFA" w:rsidRPr="00DD1DFA">
        <w:rPr>
          <w:noProof/>
        </w:rPr>
        <w:t>ram</w:t>
      </w:r>
      <w:r w:rsidR="00045DDF" w:rsidRPr="00DD1DFA">
        <w:rPr>
          <w:noProof/>
        </w:rPr>
        <w:t>ach działalności handlowej, odpłatnie lub nieodpłatnie, niezależnie od tego, czy</w:t>
      </w:r>
      <w:r w:rsidR="00DD1DFA" w:rsidRPr="00DD1DFA">
        <w:rPr>
          <w:noProof/>
        </w:rPr>
        <w:t xml:space="preserve"> w</w:t>
      </w:r>
      <w:r w:rsidR="00DD1DFA">
        <w:rPr>
          <w:noProof/>
        </w:rPr>
        <w:t> </w:t>
      </w:r>
      <w:r w:rsidR="00DD1DFA" w:rsidRPr="00DD1DFA">
        <w:rPr>
          <w:noProof/>
        </w:rPr>
        <w:t>ram</w:t>
      </w:r>
      <w:r w:rsidR="00045DDF" w:rsidRPr="00DD1DFA">
        <w:rPr>
          <w:noProof/>
        </w:rPr>
        <w:t>ach świadczenia usługi;</w:t>
      </w:r>
    </w:p>
    <w:p w14:paraId="112BFE2F" w14:textId="36F5DD61" w:rsidR="00045DDF" w:rsidRPr="00DD1DFA" w:rsidRDefault="00986673" w:rsidP="00986673">
      <w:pPr>
        <w:pStyle w:val="Point0"/>
        <w:rPr>
          <w:noProof/>
        </w:rPr>
      </w:pPr>
      <w:r w:rsidRPr="00986673">
        <w:rPr>
          <w:noProof/>
        </w:rPr>
        <w:t>5)</w:t>
      </w:r>
      <w:r w:rsidRPr="00986673">
        <w:rPr>
          <w:noProof/>
        </w:rPr>
        <w:tab/>
      </w:r>
      <w:r w:rsidR="00045DDF" w:rsidRPr="00DD1DFA">
        <w:rPr>
          <w:noProof/>
        </w:rPr>
        <w:t>„bezpośredni montaż” oznacza montaż wyrobu</w:t>
      </w:r>
      <w:r w:rsidR="00DD1DFA" w:rsidRPr="00DD1DFA">
        <w:rPr>
          <w:noProof/>
        </w:rPr>
        <w:t xml:space="preserve"> w</w:t>
      </w:r>
      <w:r w:rsidR="00DD1DFA">
        <w:rPr>
          <w:noProof/>
        </w:rPr>
        <w:t> </w:t>
      </w:r>
      <w:r w:rsidR="00DD1DFA" w:rsidRPr="00DD1DFA">
        <w:rPr>
          <w:noProof/>
        </w:rPr>
        <w:t>obi</w:t>
      </w:r>
      <w:r w:rsidR="00045DDF" w:rsidRPr="00DD1DFA">
        <w:rPr>
          <w:noProof/>
        </w:rPr>
        <w:t>ekcie budowlanym klienta bez uprzedniego udostępnienia go na rynku lub montaż domu jednorodzinnego objętego niniejszym rozporządzeniem, niezależnie od tego, czy odbywa się on</w:t>
      </w:r>
      <w:r w:rsidR="00DD1DFA" w:rsidRPr="00DD1DFA">
        <w:rPr>
          <w:noProof/>
        </w:rPr>
        <w:t xml:space="preserve"> w</w:t>
      </w:r>
      <w:r w:rsidR="00DD1DFA">
        <w:rPr>
          <w:noProof/>
        </w:rPr>
        <w:t> </w:t>
      </w:r>
      <w:r w:rsidR="00DD1DFA" w:rsidRPr="00DD1DFA">
        <w:rPr>
          <w:noProof/>
        </w:rPr>
        <w:t>ram</w:t>
      </w:r>
      <w:r w:rsidR="00045DDF" w:rsidRPr="00DD1DFA">
        <w:rPr>
          <w:noProof/>
        </w:rPr>
        <w:t>ach świadczenia usługi;</w:t>
      </w:r>
    </w:p>
    <w:p w14:paraId="5FC31DB9" w14:textId="63AC99FF" w:rsidR="00045DDF" w:rsidRPr="00DD1DFA" w:rsidRDefault="00986673" w:rsidP="00986673">
      <w:pPr>
        <w:pStyle w:val="Point0"/>
        <w:rPr>
          <w:noProof/>
        </w:rPr>
      </w:pPr>
      <w:r w:rsidRPr="00986673">
        <w:rPr>
          <w:noProof/>
        </w:rPr>
        <w:t>6)</w:t>
      </w:r>
      <w:r w:rsidRPr="00986673">
        <w:rPr>
          <w:noProof/>
        </w:rPr>
        <w:tab/>
      </w:r>
      <w:r w:rsidR="00045DDF" w:rsidRPr="00DD1DFA">
        <w:rPr>
          <w:noProof/>
        </w:rPr>
        <w:t>„właściwości użytkowe” oznaczają stopień,</w:t>
      </w:r>
      <w:r w:rsidR="00DD1DFA" w:rsidRPr="00DD1DFA">
        <w:rPr>
          <w:noProof/>
        </w:rPr>
        <w:t xml:space="preserve"> w</w:t>
      </w:r>
      <w:r w:rsidR="00DD1DFA">
        <w:rPr>
          <w:noProof/>
        </w:rPr>
        <w:t> </w:t>
      </w:r>
      <w:r w:rsidR="00DD1DFA" w:rsidRPr="00DD1DFA">
        <w:rPr>
          <w:noProof/>
        </w:rPr>
        <w:t>jak</w:t>
      </w:r>
      <w:r w:rsidR="00045DDF" w:rsidRPr="00DD1DFA">
        <w:rPr>
          <w:noProof/>
        </w:rPr>
        <w:t>im wyrób odznacza się określonymi skalowalnymi, zasadniczymi charakterystykami;</w:t>
      </w:r>
    </w:p>
    <w:p w14:paraId="5B583B71" w14:textId="61A3BB4C" w:rsidR="00045DDF" w:rsidRPr="00DD1DFA" w:rsidRDefault="00986673" w:rsidP="00986673">
      <w:pPr>
        <w:pStyle w:val="Point0"/>
        <w:rPr>
          <w:noProof/>
        </w:rPr>
      </w:pPr>
      <w:r w:rsidRPr="00986673">
        <w:rPr>
          <w:noProof/>
        </w:rPr>
        <w:t>7)</w:t>
      </w:r>
      <w:r w:rsidRPr="00986673">
        <w:rPr>
          <w:noProof/>
        </w:rPr>
        <w:tab/>
      </w:r>
      <w:r w:rsidR="00045DDF" w:rsidRPr="00DD1DFA">
        <w:rPr>
          <w:noProof/>
        </w:rPr>
        <w:t>„zasadnicze charakterystyki” oznaczają te cechy wyrobu, które odnoszą się do podstawowych wymagań dotyczących obiektów budowlanych, określonych</w:t>
      </w:r>
      <w:r w:rsidR="00DD1DFA" w:rsidRPr="00DD1DFA">
        <w:rPr>
          <w:noProof/>
        </w:rPr>
        <w:t xml:space="preserve"> w</w:t>
      </w:r>
      <w:r w:rsidR="00DD1DFA">
        <w:rPr>
          <w:noProof/>
        </w:rPr>
        <w:t> </w:t>
      </w:r>
      <w:r w:rsidR="00DD1DFA" w:rsidRPr="00DD1DFA">
        <w:rPr>
          <w:noProof/>
        </w:rPr>
        <w:t>zał</w:t>
      </w:r>
      <w:r w:rsidR="00045DDF" w:rsidRPr="00DD1DFA">
        <w:rPr>
          <w:noProof/>
        </w:rPr>
        <w:t>ączniku I część A pkt</w:t>
      </w:r>
      <w:r w:rsidR="00DD1DFA" w:rsidRPr="00DD1DFA">
        <w:rPr>
          <w:noProof/>
        </w:rPr>
        <w:t> </w:t>
      </w:r>
      <w:r w:rsidR="00045DDF" w:rsidRPr="00DD1DFA">
        <w:rPr>
          <w:noProof/>
        </w:rPr>
        <w:t>1 lub które wymieniono</w:t>
      </w:r>
      <w:r w:rsidR="00DD1DFA" w:rsidRPr="00DD1DFA">
        <w:rPr>
          <w:noProof/>
        </w:rPr>
        <w:t xml:space="preserve"> w</w:t>
      </w:r>
      <w:r w:rsidR="00DD1DFA">
        <w:rPr>
          <w:noProof/>
        </w:rPr>
        <w:t> </w:t>
      </w:r>
      <w:r w:rsidR="00DD1DFA" w:rsidRPr="00DD1DFA">
        <w:rPr>
          <w:noProof/>
        </w:rPr>
        <w:t>zał</w:t>
      </w:r>
      <w:r w:rsidR="00045DDF" w:rsidRPr="00DD1DFA">
        <w:rPr>
          <w:noProof/>
        </w:rPr>
        <w:t>ączniku I część A pkt</w:t>
      </w:r>
      <w:r w:rsidR="00DD1DFA" w:rsidRPr="00DD1DFA">
        <w:rPr>
          <w:noProof/>
        </w:rPr>
        <w:t> </w:t>
      </w:r>
      <w:r w:rsidR="00045DDF" w:rsidRPr="00DD1DFA">
        <w:rPr>
          <w:noProof/>
        </w:rPr>
        <w:t>2;</w:t>
      </w:r>
    </w:p>
    <w:p w14:paraId="62ED33D8" w14:textId="1230DDA1" w:rsidR="00045DDF" w:rsidRPr="00DD1DFA" w:rsidRDefault="00986673" w:rsidP="00986673">
      <w:pPr>
        <w:pStyle w:val="Point0"/>
        <w:rPr>
          <w:noProof/>
        </w:rPr>
      </w:pPr>
      <w:r w:rsidRPr="00986673">
        <w:rPr>
          <w:noProof/>
        </w:rPr>
        <w:t>8)</w:t>
      </w:r>
      <w:r w:rsidRPr="00986673">
        <w:rPr>
          <w:noProof/>
        </w:rPr>
        <w:tab/>
      </w:r>
      <w:r w:rsidR="00045DDF" w:rsidRPr="00DD1DFA">
        <w:rPr>
          <w:noProof/>
        </w:rPr>
        <w:t>„wymogi dotyczące wyrobów” oznaczają wartość progową lub inną cechę, którą wyrób musi spełniać, zanim zostanie wprowadzony na rynek lub bezpośrednio zamontowany,</w:t>
      </w:r>
      <w:r w:rsidR="00DD1DFA" w:rsidRPr="00DD1DFA">
        <w:rPr>
          <w:noProof/>
        </w:rPr>
        <w:t xml:space="preserve"> w</w:t>
      </w:r>
      <w:r w:rsidR="00DD1DFA">
        <w:rPr>
          <w:noProof/>
        </w:rPr>
        <w:t> </w:t>
      </w:r>
      <w:r w:rsidR="00DD1DFA" w:rsidRPr="00DD1DFA">
        <w:rPr>
          <w:noProof/>
        </w:rPr>
        <w:t>tym</w:t>
      </w:r>
      <w:r w:rsidR="00045DDF" w:rsidRPr="00DD1DFA">
        <w:rPr>
          <w:noProof/>
        </w:rPr>
        <w:t xml:space="preserve"> wymogi dotyczące etykietowania</w:t>
      </w:r>
      <w:r w:rsidR="00DD1DFA" w:rsidRPr="00DD1DFA">
        <w:rPr>
          <w:noProof/>
        </w:rPr>
        <w:t xml:space="preserve"> i</w:t>
      </w:r>
      <w:r w:rsidR="00DD1DFA">
        <w:rPr>
          <w:noProof/>
        </w:rPr>
        <w:t> </w:t>
      </w:r>
      <w:r w:rsidR="00DD1DFA" w:rsidRPr="00DD1DFA">
        <w:rPr>
          <w:noProof/>
        </w:rPr>
        <w:t>ins</w:t>
      </w:r>
      <w:r w:rsidR="00045DDF" w:rsidRPr="00DD1DFA">
        <w:rPr>
          <w:noProof/>
        </w:rPr>
        <w:t>trukcji obsługi lub innych informacji, które należy przedstawić;</w:t>
      </w:r>
    </w:p>
    <w:p w14:paraId="40EABE7C" w14:textId="6E8ABA2C" w:rsidR="00045DDF" w:rsidRPr="00DD1DFA" w:rsidRDefault="00986673" w:rsidP="00986673">
      <w:pPr>
        <w:pStyle w:val="Point0"/>
        <w:rPr>
          <w:noProof/>
        </w:rPr>
      </w:pPr>
      <w:r w:rsidRPr="00986673">
        <w:rPr>
          <w:noProof/>
        </w:rPr>
        <w:t>9)</w:t>
      </w:r>
      <w:r w:rsidRPr="00986673">
        <w:rPr>
          <w:noProof/>
        </w:rPr>
        <w:tab/>
      </w:r>
      <w:r w:rsidR="00045DDF" w:rsidRPr="00DD1DFA">
        <w:rPr>
          <w:noProof/>
        </w:rPr>
        <w:t>„podmiot gospodarczy” oznacza producenta, upoważnionego przedstawiciela, importera, dystrybutora, dostawcę usług realizacji zamówień, dostawcę usług drukowania przestrzennego, producenta, importera lub dystrybutora materiałów przeznaczonych do drukowania przestrzennego wyrobów, sprzedawcę internetowego, brokera, dostawcę, usługodawcę, producenta OBL lub każdą inną osobę fizyczną lub prawną, inną niż organy, jednostki notyfikowane, jednostki ds. oceny technicznej</w:t>
      </w:r>
      <w:r w:rsidR="00DD1DFA" w:rsidRPr="00DD1DFA">
        <w:rPr>
          <w:noProof/>
        </w:rPr>
        <w:t xml:space="preserve"> i</w:t>
      </w:r>
      <w:r w:rsidR="00DD1DFA">
        <w:rPr>
          <w:noProof/>
        </w:rPr>
        <w:t> </w:t>
      </w:r>
      <w:r w:rsidR="00DD1DFA" w:rsidRPr="00DD1DFA">
        <w:rPr>
          <w:noProof/>
        </w:rPr>
        <w:t>pun</w:t>
      </w:r>
      <w:r w:rsidR="00045DDF" w:rsidRPr="00DD1DFA">
        <w:rPr>
          <w:noProof/>
        </w:rPr>
        <w:t>kty kontaktowe ds. wyrobów budowlanych, które podlegają niniejszemu rozporządzeniu</w:t>
      </w:r>
      <w:r w:rsidR="00DD1DFA" w:rsidRPr="00DD1DFA">
        <w:rPr>
          <w:noProof/>
        </w:rPr>
        <w:t xml:space="preserve"> w</w:t>
      </w:r>
      <w:r w:rsidR="00DD1DFA">
        <w:rPr>
          <w:noProof/>
        </w:rPr>
        <w:t> </w:t>
      </w:r>
      <w:r w:rsidR="00DD1DFA" w:rsidRPr="00DD1DFA">
        <w:rPr>
          <w:noProof/>
        </w:rPr>
        <w:t>odn</w:t>
      </w:r>
      <w:r w:rsidR="00045DDF" w:rsidRPr="00DD1DFA">
        <w:rPr>
          <w:noProof/>
        </w:rPr>
        <w:t>iesieniu do wytwarzania, demontażu</w:t>
      </w:r>
      <w:r w:rsidR="00DD1DFA" w:rsidRPr="00DD1DFA">
        <w:rPr>
          <w:noProof/>
        </w:rPr>
        <w:t xml:space="preserve"> w</w:t>
      </w:r>
      <w:r w:rsidR="00DD1DFA">
        <w:rPr>
          <w:noProof/>
        </w:rPr>
        <w:t> </w:t>
      </w:r>
      <w:r w:rsidR="00DD1DFA" w:rsidRPr="00DD1DFA">
        <w:rPr>
          <w:noProof/>
        </w:rPr>
        <w:t>cel</w:t>
      </w:r>
      <w:r w:rsidR="00045DDF" w:rsidRPr="00DD1DFA">
        <w:rPr>
          <w:noProof/>
        </w:rPr>
        <w:t>u ponownego użycia, regeneracji wyrobów lub przepakowywania wyrobów, lub udostępniania tych wyrobów na rynku, lub ich bezpośredniego montażu zgodnie</w:t>
      </w:r>
      <w:r w:rsidR="00DD1DFA" w:rsidRPr="00DD1DFA">
        <w:rPr>
          <w:noProof/>
        </w:rPr>
        <w:t xml:space="preserve"> z</w:t>
      </w:r>
      <w:r w:rsidR="00DD1DFA">
        <w:rPr>
          <w:noProof/>
        </w:rPr>
        <w:t> </w:t>
      </w:r>
      <w:r w:rsidR="00DD1DFA" w:rsidRPr="00DD1DFA">
        <w:rPr>
          <w:noProof/>
        </w:rPr>
        <w:t>nin</w:t>
      </w:r>
      <w:r w:rsidR="00045DDF" w:rsidRPr="00DD1DFA">
        <w:rPr>
          <w:noProof/>
        </w:rPr>
        <w:t>iejszym rozporządzeniem, oraz podmioty gospodarcze określone</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13 rozporządzenia Parlamentu Europejskiego</w:t>
      </w:r>
      <w:r w:rsidR="00DD1DFA" w:rsidRPr="00DD1DFA">
        <w:rPr>
          <w:noProof/>
        </w:rPr>
        <w:t xml:space="preserve"> i</w:t>
      </w:r>
      <w:r w:rsidR="00DD1DFA">
        <w:rPr>
          <w:noProof/>
        </w:rPr>
        <w:t> </w:t>
      </w:r>
      <w:r w:rsidR="00DD1DFA" w:rsidRPr="00DD1DFA">
        <w:rPr>
          <w:noProof/>
        </w:rPr>
        <w:t>Rad</w:t>
      </w:r>
      <w:r w:rsidR="00045DDF" w:rsidRPr="00DD1DFA">
        <w:rPr>
          <w:noProof/>
        </w:rPr>
        <w:t>y (UE) 2019/1020</w:t>
      </w:r>
      <w:r w:rsidR="00045DDF" w:rsidRPr="00DD1DFA">
        <w:rPr>
          <w:rStyle w:val="Odwoanieprzypisudolnego"/>
          <w:noProof/>
        </w:rPr>
        <w:footnoteReference w:id="44"/>
      </w:r>
      <w:r w:rsidR="00045DDF" w:rsidRPr="00DD1DFA">
        <w:rPr>
          <w:noProof/>
        </w:rPr>
        <w:t>;</w:t>
      </w:r>
    </w:p>
    <w:p w14:paraId="089A6CCC" w14:textId="3A1DAAA4" w:rsidR="00045DDF" w:rsidRPr="00DD1DFA" w:rsidRDefault="00986673" w:rsidP="00986673">
      <w:pPr>
        <w:pStyle w:val="Point0"/>
        <w:rPr>
          <w:noProof/>
        </w:rPr>
      </w:pPr>
      <w:r w:rsidRPr="00986673">
        <w:rPr>
          <w:noProof/>
        </w:rPr>
        <w:t>10)</w:t>
      </w:r>
      <w:r w:rsidRPr="00986673">
        <w:rPr>
          <w:noProof/>
        </w:rPr>
        <w:tab/>
      </w:r>
      <w:r w:rsidR="00045DDF" w:rsidRPr="00DD1DFA">
        <w:rPr>
          <w:noProof/>
        </w:rPr>
        <w:t>„dostawca usług drukowania przestrzennego” oznacza każdą osobę fizyczną lub prawną, która świadczy,</w:t>
      </w:r>
      <w:r w:rsidR="00DD1DFA" w:rsidRPr="00DD1DFA">
        <w:rPr>
          <w:noProof/>
        </w:rPr>
        <w:t xml:space="preserve"> w</w:t>
      </w:r>
      <w:r w:rsidR="00DD1DFA">
        <w:rPr>
          <w:noProof/>
        </w:rPr>
        <w:t> </w:t>
      </w:r>
      <w:r w:rsidR="00DD1DFA" w:rsidRPr="00DD1DFA">
        <w:rPr>
          <w:noProof/>
        </w:rPr>
        <w:t>ram</w:t>
      </w:r>
      <w:r w:rsidR="00045DDF" w:rsidRPr="00DD1DFA">
        <w:rPr>
          <w:noProof/>
        </w:rPr>
        <w:t>ach działalności handlowej, jedną</w:t>
      </w:r>
      <w:r w:rsidR="00DD1DFA" w:rsidRPr="00DD1DFA">
        <w:rPr>
          <w:noProof/>
        </w:rPr>
        <w:t xml:space="preserve"> z</w:t>
      </w:r>
      <w:r w:rsidR="00DD1DFA">
        <w:rPr>
          <w:noProof/>
        </w:rPr>
        <w:t> </w:t>
      </w:r>
      <w:r w:rsidR="00DD1DFA" w:rsidRPr="00DD1DFA">
        <w:rPr>
          <w:noProof/>
        </w:rPr>
        <w:t>nas</w:t>
      </w:r>
      <w:r w:rsidR="00045DDF" w:rsidRPr="00DD1DFA">
        <w:rPr>
          <w:noProof/>
        </w:rPr>
        <w:t>tępujących usług: wynajem lub leasing drukarek 3D, drukowanie zbiorów danych do drukowania przestrzennego lub pośrednictwo</w:t>
      </w:r>
      <w:r w:rsidR="00DD1DFA" w:rsidRPr="00DD1DFA">
        <w:rPr>
          <w:noProof/>
        </w:rPr>
        <w:t xml:space="preserve"> w</w:t>
      </w:r>
      <w:r w:rsidR="00DD1DFA">
        <w:rPr>
          <w:noProof/>
        </w:rPr>
        <w:t> </w:t>
      </w:r>
      <w:r w:rsidR="00DD1DFA" w:rsidRPr="00DD1DFA">
        <w:rPr>
          <w:noProof/>
        </w:rPr>
        <w:t>świ</w:t>
      </w:r>
      <w:r w:rsidR="00045DDF" w:rsidRPr="00DD1DFA">
        <w:rPr>
          <w:noProof/>
        </w:rPr>
        <w:t>adczeniu jednej</w:t>
      </w:r>
      <w:r w:rsidR="00DD1DFA" w:rsidRPr="00DD1DFA">
        <w:rPr>
          <w:noProof/>
        </w:rPr>
        <w:t xml:space="preserve"> z</w:t>
      </w:r>
      <w:r w:rsidR="00DD1DFA">
        <w:rPr>
          <w:noProof/>
        </w:rPr>
        <w:t> </w:t>
      </w:r>
      <w:r w:rsidR="00DD1DFA" w:rsidRPr="00DD1DFA">
        <w:rPr>
          <w:noProof/>
        </w:rPr>
        <w:t>tyc</w:t>
      </w:r>
      <w:r w:rsidR="00045DDF" w:rsidRPr="00DD1DFA">
        <w:rPr>
          <w:noProof/>
        </w:rPr>
        <w:t>h usług, niezależnie od tego, czy materiał do drukowania jest dostarczany przez tę osobę;</w:t>
      </w:r>
    </w:p>
    <w:p w14:paraId="274C881B" w14:textId="2D9C44BA" w:rsidR="00045DDF" w:rsidRPr="00DD1DFA" w:rsidRDefault="00986673" w:rsidP="00986673">
      <w:pPr>
        <w:pStyle w:val="Point0"/>
        <w:rPr>
          <w:noProof/>
        </w:rPr>
      </w:pPr>
      <w:r w:rsidRPr="00986673">
        <w:rPr>
          <w:noProof/>
        </w:rPr>
        <w:t>11)</w:t>
      </w:r>
      <w:r w:rsidRPr="00986673">
        <w:rPr>
          <w:noProof/>
        </w:rPr>
        <w:tab/>
      </w:r>
      <w:r w:rsidR="00045DDF" w:rsidRPr="00DD1DFA">
        <w:rPr>
          <w:noProof/>
        </w:rPr>
        <w:t>„materiały przeznaczone do drukowania przestrzennego wyrobów” oznaczają wszelkie materiały przeznaczone do drukowania przestrzennego wyrobów,</w:t>
      </w:r>
      <w:r w:rsidR="00DD1DFA" w:rsidRPr="00DD1DFA">
        <w:rPr>
          <w:noProof/>
        </w:rPr>
        <w:t xml:space="preserve"> w</w:t>
      </w:r>
      <w:r w:rsidR="00DD1DFA">
        <w:rPr>
          <w:noProof/>
        </w:rPr>
        <w:t> </w:t>
      </w:r>
      <w:r w:rsidR="00DD1DFA" w:rsidRPr="00DD1DFA">
        <w:rPr>
          <w:noProof/>
        </w:rPr>
        <w:t>prz</w:t>
      </w:r>
      <w:r w:rsidR="00045DDF" w:rsidRPr="00DD1DFA">
        <w:rPr>
          <w:noProof/>
        </w:rPr>
        <w:t>ypadku których odpowiednie podmioty gospodarcze nie wykluczyły wyraźnie</w:t>
      </w:r>
      <w:r w:rsidR="00DD1DFA" w:rsidRPr="00DD1DFA">
        <w:rPr>
          <w:noProof/>
        </w:rPr>
        <w:t xml:space="preserve"> i</w:t>
      </w:r>
      <w:r w:rsidR="00DD1DFA">
        <w:rPr>
          <w:noProof/>
        </w:rPr>
        <w:t> </w:t>
      </w:r>
      <w:r w:rsidR="00DD1DFA" w:rsidRPr="00DD1DFA">
        <w:rPr>
          <w:noProof/>
        </w:rPr>
        <w:t>kon</w:t>
      </w:r>
      <w:r w:rsidR="00045DDF" w:rsidRPr="00DD1DFA">
        <w:rPr>
          <w:noProof/>
        </w:rPr>
        <w:t>sekwentnie ich zastosowania jako materiałów do drukowania przestrzennego;</w:t>
      </w:r>
    </w:p>
    <w:p w14:paraId="3E0E3DEA" w14:textId="5AC13BDE" w:rsidR="00045DDF" w:rsidRPr="00DD1DFA" w:rsidRDefault="00986673" w:rsidP="00986673">
      <w:pPr>
        <w:pStyle w:val="Point0"/>
        <w:rPr>
          <w:noProof/>
        </w:rPr>
      </w:pPr>
      <w:r w:rsidRPr="00986673">
        <w:rPr>
          <w:noProof/>
        </w:rPr>
        <w:t>12)</w:t>
      </w:r>
      <w:r w:rsidRPr="00986673">
        <w:rPr>
          <w:noProof/>
        </w:rPr>
        <w:tab/>
      </w:r>
      <w:r w:rsidR="00045DDF" w:rsidRPr="00DD1DFA">
        <w:rPr>
          <w:noProof/>
        </w:rPr>
        <w:t>„producent” oznacza producenta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8 pkt</w:t>
      </w:r>
      <w:r w:rsidR="00DD1DFA" w:rsidRPr="00DD1DFA">
        <w:rPr>
          <w:noProof/>
        </w:rPr>
        <w:t> </w:t>
      </w:r>
      <w:r w:rsidR="00045DDF" w:rsidRPr="00DD1DFA">
        <w:rPr>
          <w:noProof/>
        </w:rPr>
        <w:t>3 rozporządzenia (UE) 2019/1020;</w:t>
      </w:r>
    </w:p>
    <w:p w14:paraId="436A0623" w14:textId="396F1FD6" w:rsidR="00045DDF" w:rsidRPr="00DD1DFA" w:rsidRDefault="00986673" w:rsidP="00986673">
      <w:pPr>
        <w:pStyle w:val="Point0"/>
        <w:rPr>
          <w:noProof/>
        </w:rPr>
      </w:pPr>
      <w:r w:rsidRPr="00986673">
        <w:rPr>
          <w:noProof/>
        </w:rPr>
        <w:t>13)</w:t>
      </w:r>
      <w:r w:rsidRPr="00986673">
        <w:rPr>
          <w:noProof/>
        </w:rPr>
        <w:tab/>
      </w:r>
      <w:r w:rsidR="00045DDF" w:rsidRPr="00DD1DFA">
        <w:rPr>
          <w:noProof/>
        </w:rPr>
        <w:t>„zbiory danych 3D” oznaczają zbiór danych liczbowych opisujących kształt obiektu poprzez jego wymiary zewnętrzne</w:t>
      </w:r>
      <w:r w:rsidR="00DD1DFA" w:rsidRPr="00DD1DFA">
        <w:rPr>
          <w:noProof/>
        </w:rPr>
        <w:t xml:space="preserve"> i</w:t>
      </w:r>
      <w:r w:rsidR="00DD1DFA">
        <w:rPr>
          <w:noProof/>
        </w:rPr>
        <w:t> </w:t>
      </w:r>
      <w:r w:rsidR="00DD1DFA" w:rsidRPr="00DD1DFA">
        <w:rPr>
          <w:noProof/>
        </w:rPr>
        <w:t>wgł</w:t>
      </w:r>
      <w:r w:rsidR="00045DDF" w:rsidRPr="00DD1DFA">
        <w:rPr>
          <w:noProof/>
        </w:rPr>
        <w:t>ębienia,</w:t>
      </w:r>
      <w:r w:rsidR="00DD1DFA" w:rsidRPr="00DD1DFA">
        <w:rPr>
          <w:noProof/>
        </w:rPr>
        <w:t xml:space="preserve"> w</w:t>
      </w:r>
      <w:r w:rsidR="00DD1DFA">
        <w:rPr>
          <w:noProof/>
        </w:rPr>
        <w:t> </w:t>
      </w:r>
      <w:r w:rsidR="00DD1DFA" w:rsidRPr="00DD1DFA">
        <w:rPr>
          <w:noProof/>
        </w:rPr>
        <w:t>cel</w:t>
      </w:r>
      <w:r w:rsidR="00045DDF" w:rsidRPr="00DD1DFA">
        <w:rPr>
          <w:noProof/>
        </w:rPr>
        <w:t>u umożliwienia drukowania przestrzennego tego obiektu;</w:t>
      </w:r>
    </w:p>
    <w:p w14:paraId="557A352B" w14:textId="7A3CEAFF" w:rsidR="00045DDF" w:rsidRPr="00DD1DFA" w:rsidRDefault="00986673" w:rsidP="00986673">
      <w:pPr>
        <w:pStyle w:val="Point0"/>
        <w:rPr>
          <w:noProof/>
        </w:rPr>
      </w:pPr>
      <w:r w:rsidRPr="00986673">
        <w:rPr>
          <w:noProof/>
        </w:rPr>
        <w:t>14)</w:t>
      </w:r>
      <w:r w:rsidRPr="00986673">
        <w:rPr>
          <w:noProof/>
        </w:rPr>
        <w:tab/>
      </w:r>
      <w:r w:rsidR="00045DDF" w:rsidRPr="00DD1DFA">
        <w:rPr>
          <w:noProof/>
        </w:rPr>
        <w:t>„obiekty budowlane” oznaczają budynki</w:t>
      </w:r>
      <w:r w:rsidR="00DD1DFA" w:rsidRPr="00DD1DFA">
        <w:rPr>
          <w:noProof/>
        </w:rPr>
        <w:t xml:space="preserve"> i</w:t>
      </w:r>
      <w:r w:rsidR="00DD1DFA">
        <w:rPr>
          <w:noProof/>
        </w:rPr>
        <w:t> </w:t>
      </w:r>
      <w:r w:rsidR="00DD1DFA" w:rsidRPr="00DD1DFA">
        <w:rPr>
          <w:noProof/>
        </w:rPr>
        <w:t>bud</w:t>
      </w:r>
      <w:r w:rsidR="00045DDF" w:rsidRPr="00DD1DFA">
        <w:rPr>
          <w:noProof/>
        </w:rPr>
        <w:t>owle, które mogą znajdować się zarówno nad ziemią, jak</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wod</w:t>
      </w:r>
      <w:r w:rsidR="00045DDF" w:rsidRPr="00DD1DFA">
        <w:rPr>
          <w:noProof/>
        </w:rPr>
        <w:t>zie,</w:t>
      </w:r>
      <w:r w:rsidR="00DD1DFA" w:rsidRPr="00DD1DFA">
        <w:rPr>
          <w:noProof/>
        </w:rPr>
        <w:t xml:space="preserve"> w</w:t>
      </w:r>
      <w:r w:rsidR="00DD1DFA">
        <w:rPr>
          <w:noProof/>
        </w:rPr>
        <w:t> </w:t>
      </w:r>
      <w:r w:rsidR="00DD1DFA" w:rsidRPr="00DD1DFA">
        <w:rPr>
          <w:noProof/>
        </w:rPr>
        <w:t>tym</w:t>
      </w:r>
      <w:r w:rsidR="00045DDF" w:rsidRPr="00DD1DFA">
        <w:rPr>
          <w:noProof/>
        </w:rPr>
        <w:t xml:space="preserve"> mosty, tunele, pylony</w:t>
      </w:r>
      <w:r w:rsidR="00DD1DFA" w:rsidRPr="00DD1DFA">
        <w:rPr>
          <w:noProof/>
        </w:rPr>
        <w:t xml:space="preserve"> i</w:t>
      </w:r>
      <w:r w:rsidR="00DD1DFA">
        <w:rPr>
          <w:noProof/>
        </w:rPr>
        <w:t> </w:t>
      </w:r>
      <w:r w:rsidR="00DD1DFA" w:rsidRPr="00DD1DFA">
        <w:rPr>
          <w:noProof/>
        </w:rPr>
        <w:t>inn</w:t>
      </w:r>
      <w:r w:rsidR="00045DDF" w:rsidRPr="00DD1DFA">
        <w:rPr>
          <w:noProof/>
        </w:rPr>
        <w:t>e urządzenia do przesyłu energii elektrycznej, kable komunikacyjne, rurociągi, akwedukty, tamy, porty lotnicze, porty, drogi wodne oraz instalacje, które stanowią podstawę torów kolejowych, ale</w:t>
      </w:r>
      <w:r w:rsidR="00DD1DFA" w:rsidRPr="00DD1DFA">
        <w:rPr>
          <w:noProof/>
        </w:rPr>
        <w:t xml:space="preserve"> z</w:t>
      </w:r>
      <w:r w:rsidR="00DD1DFA">
        <w:rPr>
          <w:noProof/>
        </w:rPr>
        <w:t> </w:t>
      </w:r>
      <w:r w:rsidR="00DD1DFA" w:rsidRPr="00DD1DFA">
        <w:rPr>
          <w:noProof/>
        </w:rPr>
        <w:t>wył</w:t>
      </w:r>
      <w:r w:rsidR="00045DDF" w:rsidRPr="00DD1DFA">
        <w:rPr>
          <w:noProof/>
        </w:rPr>
        <w:t>ączeniem wiatraków, platform wiertniczych lub zakładów chemicznych, przemysłowych instalacji produkcyjnych, instalacji rolniczych, instalacji do wytwarzania energii elektrycznej, instalacji wojskowych, przy czym ich schronieniami mogą być budynkami;</w:t>
      </w:r>
    </w:p>
    <w:p w14:paraId="4C56A543" w14:textId="29E522F2" w:rsidR="00045DDF" w:rsidRPr="00DD1DFA" w:rsidRDefault="00986673" w:rsidP="00986673">
      <w:pPr>
        <w:pStyle w:val="Point0"/>
        <w:rPr>
          <w:noProof/>
        </w:rPr>
      </w:pPr>
      <w:r w:rsidRPr="00986673">
        <w:rPr>
          <w:noProof/>
        </w:rPr>
        <w:t>15)</w:t>
      </w:r>
      <w:r w:rsidRPr="00986673">
        <w:rPr>
          <w:noProof/>
        </w:rPr>
        <w:tab/>
      </w:r>
      <w:r w:rsidR="00045DDF" w:rsidRPr="00DD1DFA">
        <w:rPr>
          <w:noProof/>
        </w:rPr>
        <w:t>„budynki” oznaczają obiekty, inne niż kontenery, dające schronienie ludziom, zwierzętom lub przedmiotom, które są trwale przytwierdzone do podłoża albo mogą być transportowane wyłącznie za pomocą specjalnego sprzętu, przy czym ich powierzchnia użytkowa wynosi co najmniej 20 m</w:t>
      </w:r>
      <w:r w:rsidR="00045DDF" w:rsidRPr="00DD1DFA">
        <w:rPr>
          <w:noProof/>
          <w:vertAlign w:val="superscript"/>
        </w:rPr>
        <w:t>2</w:t>
      </w:r>
      <w:r w:rsidR="00045DDF" w:rsidRPr="00DD1DFA">
        <w:rPr>
          <w:noProof/>
        </w:rPr>
        <w:t xml:space="preserve"> na jednej lub kilku kondygnacjach;</w:t>
      </w:r>
    </w:p>
    <w:p w14:paraId="330ED1BC" w14:textId="2DDB8EF6" w:rsidR="00045DDF" w:rsidRPr="00DD1DFA" w:rsidRDefault="00986673" w:rsidP="00986673">
      <w:pPr>
        <w:pStyle w:val="Point0"/>
        <w:rPr>
          <w:noProof/>
        </w:rPr>
      </w:pPr>
      <w:r w:rsidRPr="00986673">
        <w:rPr>
          <w:noProof/>
        </w:rPr>
        <w:t>16)</w:t>
      </w:r>
      <w:r w:rsidRPr="00986673">
        <w:rPr>
          <w:noProof/>
        </w:rPr>
        <w:tab/>
      </w:r>
      <w:r w:rsidR="00045DDF" w:rsidRPr="00DD1DFA">
        <w:rPr>
          <w:noProof/>
        </w:rPr>
        <w:t>„poziom” oznacza wynik oceny właściwości użytkowych wyrobu</w:t>
      </w:r>
      <w:r w:rsidR="00DD1DFA" w:rsidRPr="00DD1DFA">
        <w:rPr>
          <w:noProof/>
        </w:rPr>
        <w:t xml:space="preserve"> w</w:t>
      </w:r>
      <w:r w:rsidR="00DD1DFA">
        <w:rPr>
          <w:noProof/>
        </w:rPr>
        <w:t> </w:t>
      </w:r>
      <w:r w:rsidR="00DD1DFA" w:rsidRPr="00DD1DFA">
        <w:rPr>
          <w:noProof/>
        </w:rPr>
        <w:t>odn</w:t>
      </w:r>
      <w:r w:rsidR="00045DDF" w:rsidRPr="00DD1DFA">
        <w:rPr>
          <w:noProof/>
        </w:rPr>
        <w:t>iesieniu do jego zasadniczych charakterystyk, wyrażony jako wartość liczbowa;</w:t>
      </w:r>
    </w:p>
    <w:p w14:paraId="5A90DD55" w14:textId="1D7FA4C5" w:rsidR="00045DDF" w:rsidRPr="00DD1DFA" w:rsidRDefault="00986673" w:rsidP="00986673">
      <w:pPr>
        <w:pStyle w:val="Point0"/>
        <w:rPr>
          <w:noProof/>
        </w:rPr>
      </w:pPr>
      <w:r w:rsidRPr="00986673">
        <w:rPr>
          <w:noProof/>
        </w:rPr>
        <w:t>17)</w:t>
      </w:r>
      <w:r w:rsidRPr="00986673">
        <w:rPr>
          <w:noProof/>
        </w:rPr>
        <w:tab/>
      </w:r>
      <w:r w:rsidR="00045DDF" w:rsidRPr="00DD1DFA">
        <w:rPr>
          <w:noProof/>
        </w:rPr>
        <w:t>„klasa” oznacza zakres poziomów właściwości użytkowych wyrobu ograniczony wartością minimalną</w:t>
      </w:r>
      <w:r w:rsidR="00DD1DFA" w:rsidRPr="00DD1DFA">
        <w:rPr>
          <w:noProof/>
        </w:rPr>
        <w:t xml:space="preserve"> i</w:t>
      </w:r>
      <w:r w:rsidR="00DD1DFA">
        <w:rPr>
          <w:noProof/>
        </w:rPr>
        <w:t> </w:t>
      </w:r>
      <w:r w:rsidR="00DD1DFA" w:rsidRPr="00DD1DFA">
        <w:rPr>
          <w:noProof/>
        </w:rPr>
        <w:t>mak</w:t>
      </w:r>
      <w:r w:rsidR="00045DDF" w:rsidRPr="00DD1DFA">
        <w:rPr>
          <w:noProof/>
        </w:rPr>
        <w:t>symalną;</w:t>
      </w:r>
    </w:p>
    <w:p w14:paraId="0287DD06" w14:textId="4F301349" w:rsidR="00045DDF" w:rsidRPr="00DD1DFA" w:rsidRDefault="00986673" w:rsidP="00986673">
      <w:pPr>
        <w:pStyle w:val="Point0"/>
        <w:rPr>
          <w:noProof/>
        </w:rPr>
      </w:pPr>
      <w:r w:rsidRPr="00986673">
        <w:rPr>
          <w:noProof/>
        </w:rPr>
        <w:t>18)</w:t>
      </w:r>
      <w:r w:rsidRPr="00986673">
        <w:rPr>
          <w:noProof/>
        </w:rPr>
        <w:tab/>
      </w:r>
      <w:r w:rsidR="00045DDF" w:rsidRPr="00DD1DFA">
        <w:rPr>
          <w:noProof/>
        </w:rPr>
        <w:t>„wartość progowa” oznacza obowiązkowy minimalny lub maksymalny poziom właściwości użytkowych wyrobu</w:t>
      </w:r>
      <w:r w:rsidR="00DD1DFA" w:rsidRPr="00DD1DFA">
        <w:rPr>
          <w:noProof/>
        </w:rPr>
        <w:t xml:space="preserve"> w</w:t>
      </w:r>
      <w:r w:rsidR="00DD1DFA">
        <w:rPr>
          <w:noProof/>
        </w:rPr>
        <w:t> </w:t>
      </w:r>
      <w:r w:rsidR="00DD1DFA" w:rsidRPr="00DD1DFA">
        <w:rPr>
          <w:noProof/>
        </w:rPr>
        <w:t>odn</w:t>
      </w:r>
      <w:r w:rsidR="00045DDF" w:rsidRPr="00DD1DFA">
        <w:rPr>
          <w:noProof/>
        </w:rPr>
        <w:t>iesieniu do określonych zasadniczych charakterystyk;</w:t>
      </w:r>
    </w:p>
    <w:p w14:paraId="3136EC2C" w14:textId="20D9E48E" w:rsidR="00045DDF" w:rsidRPr="00DD1DFA" w:rsidRDefault="00986673" w:rsidP="00986673">
      <w:pPr>
        <w:pStyle w:val="Point0"/>
        <w:rPr>
          <w:noProof/>
        </w:rPr>
      </w:pPr>
      <w:r w:rsidRPr="00986673">
        <w:rPr>
          <w:noProof/>
        </w:rPr>
        <w:t>19)</w:t>
      </w:r>
      <w:r w:rsidRPr="00986673">
        <w:rPr>
          <w:noProof/>
        </w:rPr>
        <w:tab/>
      </w:r>
      <w:r w:rsidR="00045DDF" w:rsidRPr="00DD1DFA">
        <w:rPr>
          <w:noProof/>
        </w:rPr>
        <w:t>„wprowadzenie do obrotu” oznacza udostępnienie po raz pierwszy wyrobu na rynku unijnym lub udostępnienie po raz pierwszy wyrobu używanego, jeżeli spełniony jest którykolwiek</w:t>
      </w:r>
      <w:r w:rsidR="00DD1DFA" w:rsidRPr="00DD1DFA">
        <w:rPr>
          <w:noProof/>
        </w:rPr>
        <w:t xml:space="preserve"> z</w:t>
      </w:r>
      <w:r w:rsidR="00DD1DFA">
        <w:rPr>
          <w:noProof/>
        </w:rPr>
        <w:t> </w:t>
      </w:r>
      <w:r w:rsidR="00DD1DFA" w:rsidRPr="00DD1DFA">
        <w:rPr>
          <w:noProof/>
        </w:rPr>
        <w:t>war</w:t>
      </w:r>
      <w:r w:rsidR="00045DDF" w:rsidRPr="00DD1DFA">
        <w:rPr>
          <w:noProof/>
        </w:rPr>
        <w:t>unków określonych</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2 ust.</w:t>
      </w:r>
      <w:r w:rsidR="00DD1DFA" w:rsidRPr="00DD1DFA">
        <w:rPr>
          <w:noProof/>
        </w:rPr>
        <w:t> </w:t>
      </w:r>
      <w:r w:rsidR="00045DDF" w:rsidRPr="00DD1DFA">
        <w:rPr>
          <w:noProof/>
        </w:rPr>
        <w:t>2, lub wyrobu poddanego regeneracji;</w:t>
      </w:r>
    </w:p>
    <w:p w14:paraId="230F2848" w14:textId="5FDA8B01" w:rsidR="00045DDF" w:rsidRPr="00DD1DFA" w:rsidRDefault="00986673" w:rsidP="00986673">
      <w:pPr>
        <w:pStyle w:val="Point0"/>
        <w:rPr>
          <w:noProof/>
        </w:rPr>
      </w:pPr>
      <w:r w:rsidRPr="00986673">
        <w:rPr>
          <w:noProof/>
        </w:rPr>
        <w:t>20)</w:t>
      </w:r>
      <w:r w:rsidRPr="00986673">
        <w:rPr>
          <w:noProof/>
        </w:rPr>
        <w:tab/>
      </w:r>
      <w:r w:rsidR="00045DDF" w:rsidRPr="00DD1DFA">
        <w:rPr>
          <w:noProof/>
        </w:rPr>
        <w:t>„część kluczowa” oznacza część wyrobu, którą zgodnie</w:t>
      </w:r>
      <w:r w:rsidR="00DD1DFA" w:rsidRPr="00DD1DFA">
        <w:rPr>
          <w:noProof/>
        </w:rPr>
        <w:t xml:space="preserve"> z</w:t>
      </w:r>
      <w:r w:rsidR="00DD1DFA">
        <w:rPr>
          <w:noProof/>
        </w:rPr>
        <w:t> </w:t>
      </w:r>
      <w:r w:rsidR="00DD1DFA" w:rsidRPr="00DD1DFA">
        <w:rPr>
          <w:noProof/>
        </w:rPr>
        <w:t>prz</w:t>
      </w:r>
      <w:r w:rsidR="00045DDF" w:rsidRPr="00DD1DFA">
        <w:rPr>
          <w:noProof/>
        </w:rPr>
        <w:t>eznaczeniem określonym przez jego producenta lub podmiot gospodarczy, stosuje się jako część składową lub część zamienną wyrobu,</w:t>
      </w:r>
      <w:r w:rsidR="00DD1DFA" w:rsidRPr="00DD1DFA">
        <w:rPr>
          <w:noProof/>
        </w:rPr>
        <w:t xml:space="preserve"> i</w:t>
      </w:r>
      <w:r w:rsidR="00DD1DFA">
        <w:rPr>
          <w:noProof/>
        </w:rPr>
        <w:t> </w:t>
      </w:r>
      <w:r w:rsidR="00DD1DFA" w:rsidRPr="00DD1DFA">
        <w:rPr>
          <w:noProof/>
        </w:rPr>
        <w:t>któ</w:t>
      </w:r>
      <w:r w:rsidR="00045DDF" w:rsidRPr="00DD1DFA">
        <w:rPr>
          <w:noProof/>
        </w:rPr>
        <w:t>rą określono</w:t>
      </w:r>
      <w:r w:rsidR="00DD1DFA" w:rsidRPr="00DD1DFA">
        <w:rPr>
          <w:noProof/>
        </w:rPr>
        <w:t xml:space="preserve"> w</w:t>
      </w:r>
      <w:r w:rsidR="00DD1DFA">
        <w:rPr>
          <w:noProof/>
        </w:rPr>
        <w:t> </w:t>
      </w:r>
      <w:r w:rsidR="00DD1DFA" w:rsidRPr="00DD1DFA">
        <w:rPr>
          <w:noProof/>
        </w:rPr>
        <w:t>zha</w:t>
      </w:r>
      <w:r w:rsidR="00045DDF" w:rsidRPr="00DD1DFA">
        <w:rPr>
          <w:noProof/>
        </w:rPr>
        <w:t>rmonizowanych specyfikacjach technicznych jako istotną dla charakterystyki, bezpieczeństwa lub właściwości użytkowych wyrobu;</w:t>
      </w:r>
    </w:p>
    <w:p w14:paraId="178929E6" w14:textId="1E825608" w:rsidR="00045DDF" w:rsidRPr="00DD1DFA" w:rsidRDefault="00986673" w:rsidP="00986673">
      <w:pPr>
        <w:pStyle w:val="Point0"/>
        <w:rPr>
          <w:noProof/>
        </w:rPr>
      </w:pPr>
      <w:r w:rsidRPr="00986673">
        <w:rPr>
          <w:noProof/>
        </w:rPr>
        <w:t>21)</w:t>
      </w:r>
      <w:r w:rsidRPr="00986673">
        <w:rPr>
          <w:noProof/>
        </w:rPr>
        <w:tab/>
      </w:r>
      <w:r w:rsidR="00045DDF" w:rsidRPr="00DD1DFA">
        <w:rPr>
          <w:noProof/>
        </w:rPr>
        <w:t>„zestaw” oznacza wyrób wprowadzony do obrotu przez jeden podmiot gospodarczy jako zestaw co najmniej dwóch odrębnych elementów,</w:t>
      </w:r>
      <w:r w:rsidR="00DD1DFA" w:rsidRPr="00DD1DFA">
        <w:rPr>
          <w:noProof/>
        </w:rPr>
        <w:t xml:space="preserve"> z</w:t>
      </w:r>
      <w:r w:rsidR="00DD1DFA">
        <w:rPr>
          <w:noProof/>
        </w:rPr>
        <w:t> </w:t>
      </w:r>
      <w:r w:rsidR="00DD1DFA" w:rsidRPr="00DD1DFA">
        <w:rPr>
          <w:noProof/>
        </w:rPr>
        <w:t>któ</w:t>
      </w:r>
      <w:r w:rsidR="00045DDF" w:rsidRPr="00DD1DFA">
        <w:rPr>
          <w:noProof/>
        </w:rPr>
        <w:t>rych żaden nie musi być wyrobem, przeznaczony do łącznego wbudowania</w:t>
      </w:r>
      <w:r w:rsidR="00DD1DFA" w:rsidRPr="00DD1DFA">
        <w:rPr>
          <w:noProof/>
        </w:rPr>
        <w:t xml:space="preserve"> w</w:t>
      </w:r>
      <w:r w:rsidR="00DD1DFA">
        <w:rPr>
          <w:noProof/>
        </w:rPr>
        <w:t> </w:t>
      </w:r>
      <w:r w:rsidR="00DD1DFA" w:rsidRPr="00DD1DFA">
        <w:rPr>
          <w:noProof/>
        </w:rPr>
        <w:t>obi</w:t>
      </w:r>
      <w:r w:rsidR="00045DDF" w:rsidRPr="00DD1DFA">
        <w:rPr>
          <w:noProof/>
        </w:rPr>
        <w:t>ekty budowlane;</w:t>
      </w:r>
    </w:p>
    <w:p w14:paraId="04192AEF" w14:textId="7EF9FB22" w:rsidR="00045DDF" w:rsidRPr="00DD1DFA" w:rsidRDefault="00986673" w:rsidP="00986673">
      <w:pPr>
        <w:pStyle w:val="Point0"/>
        <w:rPr>
          <w:noProof/>
        </w:rPr>
      </w:pPr>
      <w:r w:rsidRPr="00986673">
        <w:rPr>
          <w:noProof/>
        </w:rPr>
        <w:t>22)</w:t>
      </w:r>
      <w:r w:rsidRPr="00986673">
        <w:rPr>
          <w:noProof/>
        </w:rPr>
        <w:tab/>
      </w:r>
      <w:r w:rsidR="00045DDF" w:rsidRPr="00DD1DFA">
        <w:rPr>
          <w:noProof/>
        </w:rPr>
        <w:t>„zespół” oznacza zestaw co najmniej dwóch odrębnych elementów,</w:t>
      </w:r>
      <w:r w:rsidR="00DD1DFA" w:rsidRPr="00DD1DFA">
        <w:rPr>
          <w:noProof/>
        </w:rPr>
        <w:t xml:space="preserve"> z</w:t>
      </w:r>
      <w:r w:rsidR="00DD1DFA">
        <w:rPr>
          <w:noProof/>
        </w:rPr>
        <w:t> </w:t>
      </w:r>
      <w:r w:rsidR="00DD1DFA" w:rsidRPr="00DD1DFA">
        <w:rPr>
          <w:noProof/>
        </w:rPr>
        <w:t>któ</w:t>
      </w:r>
      <w:r w:rsidR="00045DDF" w:rsidRPr="00DD1DFA">
        <w:rPr>
          <w:noProof/>
        </w:rPr>
        <w:t>rych jeden jest wyrobem;</w:t>
      </w:r>
    </w:p>
    <w:p w14:paraId="5490C626" w14:textId="550B6159" w:rsidR="00045DDF" w:rsidRPr="00DD1DFA" w:rsidRDefault="00986673" w:rsidP="00986673">
      <w:pPr>
        <w:pStyle w:val="Point0"/>
        <w:rPr>
          <w:noProof/>
        </w:rPr>
      </w:pPr>
      <w:r w:rsidRPr="00986673">
        <w:rPr>
          <w:noProof/>
        </w:rPr>
        <w:t>23)</w:t>
      </w:r>
      <w:r w:rsidRPr="00986673">
        <w:rPr>
          <w:noProof/>
        </w:rPr>
        <w:tab/>
      </w:r>
      <w:r w:rsidR="00045DDF" w:rsidRPr="00DD1DFA">
        <w:rPr>
          <w:noProof/>
        </w:rPr>
        <w:t>„europejski dokument oceny” oznacza dokument przyjęty przez organizację jednostek ds. oceny technicznej do celów wydawania europejskich ocen technicznych;</w:t>
      </w:r>
    </w:p>
    <w:p w14:paraId="510E89E7" w14:textId="7DE9E1E6" w:rsidR="00045DDF" w:rsidRPr="00DD1DFA" w:rsidRDefault="00986673" w:rsidP="00986673">
      <w:pPr>
        <w:pStyle w:val="Point0"/>
        <w:rPr>
          <w:noProof/>
        </w:rPr>
      </w:pPr>
      <w:r w:rsidRPr="00986673">
        <w:rPr>
          <w:noProof/>
        </w:rPr>
        <w:t>24)</w:t>
      </w:r>
      <w:r w:rsidRPr="00986673">
        <w:rPr>
          <w:noProof/>
        </w:rPr>
        <w:tab/>
      </w:r>
      <w:r w:rsidR="00045DDF" w:rsidRPr="00DD1DFA">
        <w:rPr>
          <w:noProof/>
        </w:rPr>
        <w:t>„wyrób używany” oznacza wyrób, który nie jest odpadem</w:t>
      </w:r>
      <w:r w:rsidR="00DD1DFA" w:rsidRPr="00DD1DFA">
        <w:rPr>
          <w:noProof/>
        </w:rPr>
        <w:t xml:space="preserve"> w</w:t>
      </w:r>
      <w:r w:rsidR="00DD1DFA">
        <w:rPr>
          <w:noProof/>
        </w:rPr>
        <w:t> </w:t>
      </w:r>
      <w:r w:rsidR="00DD1DFA" w:rsidRPr="00DD1DFA">
        <w:rPr>
          <w:noProof/>
        </w:rPr>
        <w:t>roz</w:t>
      </w:r>
      <w:r w:rsidR="00045DDF" w:rsidRPr="00DD1DFA">
        <w:rPr>
          <w:noProof/>
        </w:rPr>
        <w:t>umieniu art.</w:t>
      </w:r>
      <w:r w:rsidR="00DD1DFA" w:rsidRPr="00DD1DFA">
        <w:rPr>
          <w:noProof/>
        </w:rPr>
        <w:t> </w:t>
      </w:r>
      <w:r w:rsidR="00045DDF" w:rsidRPr="00DD1DFA">
        <w:rPr>
          <w:noProof/>
        </w:rPr>
        <w:t>3 pkt</w:t>
      </w:r>
      <w:r w:rsidR="00DD1DFA" w:rsidRPr="00DD1DFA">
        <w:rPr>
          <w:noProof/>
        </w:rPr>
        <w:t> </w:t>
      </w:r>
      <w:r w:rsidR="00045DDF" w:rsidRPr="00DD1DFA">
        <w:rPr>
          <w:noProof/>
        </w:rPr>
        <w:t>1 dyrektywy Parlamentu Europejskiego</w:t>
      </w:r>
      <w:r w:rsidR="00DD1DFA" w:rsidRPr="00DD1DFA">
        <w:rPr>
          <w:noProof/>
        </w:rPr>
        <w:t xml:space="preserve"> i</w:t>
      </w:r>
      <w:r w:rsidR="00DD1DFA">
        <w:rPr>
          <w:noProof/>
        </w:rPr>
        <w:t> </w:t>
      </w:r>
      <w:r w:rsidR="00DD1DFA" w:rsidRPr="00DD1DFA">
        <w:rPr>
          <w:noProof/>
        </w:rPr>
        <w:t>Rad</w:t>
      </w:r>
      <w:r w:rsidR="00045DDF" w:rsidRPr="00DD1DFA">
        <w:rPr>
          <w:noProof/>
        </w:rPr>
        <w:t>y 2008/98/WE</w:t>
      </w:r>
      <w:r w:rsidR="00DD1DFA" w:rsidRPr="00DD1DFA">
        <w:rPr>
          <w:noProof/>
        </w:rPr>
        <w:t xml:space="preserve"> i</w:t>
      </w:r>
      <w:r w:rsidR="00DD1DFA">
        <w:rPr>
          <w:noProof/>
        </w:rPr>
        <w:t> </w:t>
      </w:r>
      <w:r w:rsidR="00DD1DFA" w:rsidRPr="00DD1DFA">
        <w:rPr>
          <w:noProof/>
        </w:rPr>
        <w:t>któ</w:t>
      </w:r>
      <w:r w:rsidR="00045DDF" w:rsidRPr="00DD1DFA">
        <w:rPr>
          <w:noProof/>
        </w:rPr>
        <w:t>ry został wbudowany co najmniej raz</w:t>
      </w:r>
      <w:r w:rsidR="00DD1DFA" w:rsidRPr="00DD1DFA">
        <w:rPr>
          <w:noProof/>
        </w:rPr>
        <w:t xml:space="preserve"> w</w:t>
      </w:r>
      <w:r w:rsidR="00DD1DFA">
        <w:rPr>
          <w:noProof/>
        </w:rPr>
        <w:t> </w:t>
      </w:r>
      <w:r w:rsidR="00DD1DFA" w:rsidRPr="00DD1DFA">
        <w:rPr>
          <w:noProof/>
        </w:rPr>
        <w:t>dan</w:t>
      </w:r>
      <w:r w:rsidR="00045DDF" w:rsidRPr="00DD1DFA">
        <w:rPr>
          <w:noProof/>
        </w:rPr>
        <w:t>y obiekt budowlany oraz</w:t>
      </w:r>
    </w:p>
    <w:p w14:paraId="35CD448D" w14:textId="3F030954" w:rsidR="00045DDF" w:rsidRPr="00DD1DFA" w:rsidRDefault="00986673" w:rsidP="00986673">
      <w:pPr>
        <w:pStyle w:val="Point1"/>
        <w:rPr>
          <w:noProof/>
        </w:rPr>
      </w:pPr>
      <w:r w:rsidRPr="00986673">
        <w:rPr>
          <w:noProof/>
        </w:rPr>
        <w:t>a)</w:t>
      </w:r>
      <w:r w:rsidRPr="00986673">
        <w:rPr>
          <w:noProof/>
        </w:rPr>
        <w:tab/>
      </w:r>
      <w:r w:rsidR="00045DDF" w:rsidRPr="00DD1DFA">
        <w:rPr>
          <w:noProof/>
        </w:rPr>
        <w:t>nie został poddany procesowi wykraczającemu poza naprawę, czyszczenie lub regularną konserwację, określonemu przez pierwotnego producenta</w:t>
      </w:r>
      <w:r w:rsidR="00DD1DFA" w:rsidRPr="00DD1DFA">
        <w:rPr>
          <w:noProof/>
        </w:rPr>
        <w:t xml:space="preserve"> w</w:t>
      </w:r>
      <w:r w:rsidR="00DD1DFA">
        <w:rPr>
          <w:noProof/>
        </w:rPr>
        <w:t> </w:t>
      </w:r>
      <w:r w:rsidR="00DD1DFA" w:rsidRPr="00DD1DFA">
        <w:rPr>
          <w:noProof/>
        </w:rPr>
        <w:t>ins</w:t>
      </w:r>
      <w:r w:rsidR="00045DDF" w:rsidRPr="00DD1DFA">
        <w:rPr>
          <w:noProof/>
        </w:rPr>
        <w:t>trukcji obsługi lub uznanemu za konieczny zgodnie</w:t>
      </w:r>
      <w:r w:rsidR="00DD1DFA" w:rsidRPr="00DD1DFA">
        <w:rPr>
          <w:noProof/>
        </w:rPr>
        <w:t xml:space="preserve"> z</w:t>
      </w:r>
      <w:r w:rsidR="00DD1DFA">
        <w:rPr>
          <w:noProof/>
        </w:rPr>
        <w:t> </w:t>
      </w:r>
      <w:r w:rsidR="00DD1DFA" w:rsidRPr="00DD1DFA">
        <w:rPr>
          <w:noProof/>
        </w:rPr>
        <w:t>pow</w:t>
      </w:r>
      <w:r w:rsidR="00045DDF" w:rsidRPr="00DD1DFA">
        <w:rPr>
          <w:noProof/>
        </w:rPr>
        <w:t>szechną wiedzą</w:t>
      </w:r>
      <w:r w:rsidR="00DD1DFA" w:rsidRPr="00DD1DFA">
        <w:rPr>
          <w:noProof/>
        </w:rPr>
        <w:t xml:space="preserve"> z</w:t>
      </w:r>
      <w:r w:rsidR="00DD1DFA">
        <w:rPr>
          <w:noProof/>
        </w:rPr>
        <w:t> </w:t>
      </w:r>
      <w:r w:rsidR="00DD1DFA" w:rsidRPr="00DD1DFA">
        <w:rPr>
          <w:noProof/>
        </w:rPr>
        <w:t>zak</w:t>
      </w:r>
      <w:r w:rsidR="00045DDF" w:rsidRPr="00DD1DFA">
        <w:rPr>
          <w:noProof/>
        </w:rPr>
        <w:t>resu inżynierii lądowej;</w:t>
      </w:r>
    </w:p>
    <w:p w14:paraId="1ECBA2B3" w14:textId="34ECD28B" w:rsidR="00045DDF" w:rsidRPr="00DD1DFA" w:rsidRDefault="00986673" w:rsidP="00986673">
      <w:pPr>
        <w:pStyle w:val="Point1"/>
        <w:rPr>
          <w:noProof/>
        </w:rPr>
      </w:pPr>
      <w:r w:rsidRPr="00986673">
        <w:rPr>
          <w:noProof/>
        </w:rPr>
        <w:t>b)</w:t>
      </w:r>
      <w:r w:rsidRPr="00986673">
        <w:rPr>
          <w:noProof/>
        </w:rPr>
        <w:tab/>
      </w:r>
      <w:r w:rsidR="00045DDF" w:rsidRPr="00DD1DFA">
        <w:rPr>
          <w:noProof/>
        </w:rPr>
        <w:t>nie został poddany procesowi wykraczającemu poza naprawę, czyszczenie</w:t>
      </w:r>
      <w:r w:rsidR="00DD1DFA" w:rsidRPr="00DD1DFA">
        <w:rPr>
          <w:noProof/>
        </w:rPr>
        <w:t xml:space="preserve"> i</w:t>
      </w:r>
      <w:r w:rsidR="00DD1DFA">
        <w:rPr>
          <w:noProof/>
        </w:rPr>
        <w:t> </w:t>
      </w:r>
      <w:r w:rsidR="00DD1DFA" w:rsidRPr="00DD1DFA">
        <w:rPr>
          <w:noProof/>
        </w:rPr>
        <w:t>reg</w:t>
      </w:r>
      <w:r w:rsidR="00045DDF" w:rsidRPr="00DD1DFA">
        <w:rPr>
          <w:noProof/>
        </w:rPr>
        <w:t>ularną konserwację lub „przygotowanie do ponownego użycia”</w:t>
      </w:r>
      <w:r w:rsidR="00DD1DFA" w:rsidRPr="00DD1DFA">
        <w:rPr>
          <w:noProof/>
        </w:rPr>
        <w:t xml:space="preserve"> w</w:t>
      </w:r>
      <w:r w:rsidR="00DD1DFA">
        <w:rPr>
          <w:noProof/>
        </w:rPr>
        <w:t> </w:t>
      </w:r>
      <w:r w:rsidR="00DD1DFA" w:rsidRPr="00DD1DFA">
        <w:rPr>
          <w:noProof/>
        </w:rPr>
        <w:t>roz</w:t>
      </w:r>
      <w:r w:rsidR="00045DDF" w:rsidRPr="00DD1DFA">
        <w:rPr>
          <w:noProof/>
        </w:rPr>
        <w:t>umieniu art.</w:t>
      </w:r>
      <w:r w:rsidR="00DD1DFA" w:rsidRPr="00DD1DFA">
        <w:rPr>
          <w:noProof/>
        </w:rPr>
        <w:t> </w:t>
      </w:r>
      <w:r w:rsidR="00045DDF" w:rsidRPr="00DD1DFA">
        <w:rPr>
          <w:noProof/>
        </w:rPr>
        <w:t>3 pkt</w:t>
      </w:r>
      <w:r w:rsidR="00DD1DFA" w:rsidRPr="00DD1DFA">
        <w:rPr>
          <w:noProof/>
        </w:rPr>
        <w:t> </w:t>
      </w:r>
      <w:r w:rsidR="00045DDF" w:rsidRPr="00DD1DFA">
        <w:rPr>
          <w:noProof/>
        </w:rPr>
        <w:t>16 dyrektywy 2008/98/WE po jego zdemontowaniu;</w:t>
      </w:r>
    </w:p>
    <w:p w14:paraId="052D7FD4" w14:textId="43150EC1" w:rsidR="00045DDF" w:rsidRPr="00DD1DFA" w:rsidRDefault="00986673" w:rsidP="00986673">
      <w:pPr>
        <w:pStyle w:val="Point0"/>
        <w:rPr>
          <w:noProof/>
        </w:rPr>
      </w:pPr>
      <w:r w:rsidRPr="00986673">
        <w:rPr>
          <w:noProof/>
        </w:rPr>
        <w:t>25)</w:t>
      </w:r>
      <w:r w:rsidRPr="00986673">
        <w:rPr>
          <w:noProof/>
        </w:rPr>
        <w:tab/>
      </w:r>
      <w:r w:rsidR="00045DDF" w:rsidRPr="00DD1DFA">
        <w:rPr>
          <w:noProof/>
        </w:rPr>
        <w:t>„zamierzone zastosowanie” oznacza zastosowanie przewidziane przez producenta,</w:t>
      </w:r>
      <w:r w:rsidR="00DD1DFA" w:rsidRPr="00DD1DFA">
        <w:rPr>
          <w:noProof/>
        </w:rPr>
        <w:t xml:space="preserve"> w</w:t>
      </w:r>
      <w:r w:rsidR="00DD1DFA">
        <w:rPr>
          <w:noProof/>
        </w:rPr>
        <w:t> </w:t>
      </w:r>
      <w:r w:rsidR="00DD1DFA" w:rsidRPr="00DD1DFA">
        <w:rPr>
          <w:noProof/>
        </w:rPr>
        <w:t>tym</w:t>
      </w:r>
      <w:r w:rsidR="00045DDF" w:rsidRPr="00DD1DFA">
        <w:rPr>
          <w:noProof/>
        </w:rPr>
        <w:t xml:space="preserve"> warunki użytkowania określone</w:t>
      </w:r>
      <w:r w:rsidR="00DD1DFA" w:rsidRPr="00DD1DFA">
        <w:rPr>
          <w:noProof/>
        </w:rPr>
        <w:t xml:space="preserve"> w</w:t>
      </w:r>
      <w:r w:rsidR="00DD1DFA">
        <w:rPr>
          <w:noProof/>
        </w:rPr>
        <w:t> </w:t>
      </w:r>
      <w:r w:rsidR="00DD1DFA" w:rsidRPr="00DD1DFA">
        <w:rPr>
          <w:noProof/>
        </w:rPr>
        <w:t>dok</w:t>
      </w:r>
      <w:r w:rsidR="00045DDF" w:rsidRPr="00DD1DFA">
        <w:rPr>
          <w:noProof/>
        </w:rPr>
        <w:t>umentacji technicznej, na etykietach,</w:t>
      </w:r>
      <w:r w:rsidR="00DD1DFA" w:rsidRPr="00DD1DFA">
        <w:rPr>
          <w:noProof/>
        </w:rPr>
        <w:t xml:space="preserve"> w</w:t>
      </w:r>
      <w:r w:rsidR="00DD1DFA">
        <w:rPr>
          <w:noProof/>
        </w:rPr>
        <w:t> </w:t>
      </w:r>
      <w:r w:rsidR="00DD1DFA" w:rsidRPr="00DD1DFA">
        <w:rPr>
          <w:noProof/>
        </w:rPr>
        <w:t>ins</w:t>
      </w:r>
      <w:r w:rsidR="00045DDF" w:rsidRPr="00DD1DFA">
        <w:rPr>
          <w:noProof/>
        </w:rPr>
        <w:t>trukcjach obsługi lub</w:t>
      </w:r>
      <w:r w:rsidR="00DD1DFA" w:rsidRPr="00DD1DFA">
        <w:rPr>
          <w:noProof/>
        </w:rPr>
        <w:t xml:space="preserve"> w</w:t>
      </w:r>
      <w:r w:rsidR="00DD1DFA">
        <w:rPr>
          <w:noProof/>
        </w:rPr>
        <w:t> </w:t>
      </w:r>
      <w:r w:rsidR="00DD1DFA" w:rsidRPr="00DD1DFA">
        <w:rPr>
          <w:noProof/>
        </w:rPr>
        <w:t>mat</w:t>
      </w:r>
      <w:r w:rsidR="00045DDF" w:rsidRPr="00DD1DFA">
        <w:rPr>
          <w:noProof/>
        </w:rPr>
        <w:t>eriałach reklamowych, przy czym zastosowania wymienione tylko</w:t>
      </w:r>
      <w:r w:rsidR="00DD1DFA" w:rsidRPr="00DD1DFA">
        <w:rPr>
          <w:noProof/>
        </w:rPr>
        <w:t xml:space="preserve"> w</w:t>
      </w:r>
      <w:r w:rsidR="00DD1DFA">
        <w:rPr>
          <w:noProof/>
        </w:rPr>
        <w:t> </w:t>
      </w:r>
      <w:r w:rsidR="00DD1DFA" w:rsidRPr="00DD1DFA">
        <w:rPr>
          <w:noProof/>
        </w:rPr>
        <w:t>jed</w:t>
      </w:r>
      <w:r w:rsidR="00045DDF" w:rsidRPr="00DD1DFA">
        <w:rPr>
          <w:noProof/>
        </w:rPr>
        <w:t>nym</w:t>
      </w:r>
      <w:r w:rsidR="00DD1DFA" w:rsidRPr="00DD1DFA">
        <w:rPr>
          <w:noProof/>
        </w:rPr>
        <w:t xml:space="preserve"> z</w:t>
      </w:r>
      <w:r w:rsidR="00DD1DFA">
        <w:rPr>
          <w:noProof/>
        </w:rPr>
        <w:t> </w:t>
      </w:r>
      <w:r w:rsidR="00DD1DFA" w:rsidRPr="00DD1DFA">
        <w:rPr>
          <w:noProof/>
        </w:rPr>
        <w:t>tyc</w:t>
      </w:r>
      <w:r w:rsidR="00045DDF" w:rsidRPr="00DD1DFA">
        <w:rPr>
          <w:noProof/>
        </w:rPr>
        <w:t>h dokumentów wchodzą już</w:t>
      </w:r>
      <w:r w:rsidR="00DD1DFA" w:rsidRPr="00DD1DFA">
        <w:rPr>
          <w:noProof/>
        </w:rPr>
        <w:t xml:space="preserve"> w</w:t>
      </w:r>
      <w:r w:rsidR="00DD1DFA">
        <w:rPr>
          <w:noProof/>
        </w:rPr>
        <w:t> </w:t>
      </w:r>
      <w:r w:rsidR="00DD1DFA" w:rsidRPr="00DD1DFA">
        <w:rPr>
          <w:noProof/>
        </w:rPr>
        <w:t>zak</w:t>
      </w:r>
      <w:r w:rsidR="00045DDF" w:rsidRPr="00DD1DFA">
        <w:rPr>
          <w:noProof/>
        </w:rPr>
        <w:t>res „zamierzonego zastosowania”;</w:t>
      </w:r>
    </w:p>
    <w:p w14:paraId="3D8D907A" w14:textId="295D0896" w:rsidR="00045DDF" w:rsidRPr="00DD1DFA" w:rsidRDefault="00986673" w:rsidP="00986673">
      <w:pPr>
        <w:pStyle w:val="Point0"/>
        <w:rPr>
          <w:noProof/>
        </w:rPr>
      </w:pPr>
      <w:r w:rsidRPr="00986673">
        <w:rPr>
          <w:noProof/>
        </w:rPr>
        <w:t>26)</w:t>
      </w:r>
      <w:r w:rsidRPr="00986673">
        <w:rPr>
          <w:noProof/>
        </w:rPr>
        <w:tab/>
      </w:r>
      <w:r w:rsidR="00045DDF" w:rsidRPr="00DD1DFA">
        <w:rPr>
          <w:noProof/>
        </w:rPr>
        <w:t>„naprawa” oznacza proces przywracania wadliwego wyrobu do stanu,</w:t>
      </w:r>
      <w:r w:rsidR="00DD1DFA" w:rsidRPr="00DD1DFA">
        <w:rPr>
          <w:noProof/>
        </w:rPr>
        <w:t xml:space="preserve"> w</w:t>
      </w:r>
      <w:r w:rsidR="00DD1DFA">
        <w:rPr>
          <w:noProof/>
        </w:rPr>
        <w:t> </w:t>
      </w:r>
      <w:r w:rsidR="00DD1DFA" w:rsidRPr="00DD1DFA">
        <w:rPr>
          <w:noProof/>
        </w:rPr>
        <w:t>któ</w:t>
      </w:r>
      <w:r w:rsidR="00045DDF" w:rsidRPr="00DD1DFA">
        <w:rPr>
          <w:noProof/>
        </w:rPr>
        <w:t>rym może on spełniać swoją funkcję zgodnie</w:t>
      </w:r>
      <w:r w:rsidR="00DD1DFA" w:rsidRPr="00DD1DFA">
        <w:rPr>
          <w:noProof/>
        </w:rPr>
        <w:t xml:space="preserve"> z</w:t>
      </w:r>
      <w:r w:rsidR="00DD1DFA">
        <w:rPr>
          <w:noProof/>
        </w:rPr>
        <w:t> </w:t>
      </w:r>
      <w:r w:rsidR="00DD1DFA" w:rsidRPr="00DD1DFA">
        <w:rPr>
          <w:noProof/>
        </w:rPr>
        <w:t>zam</w:t>
      </w:r>
      <w:r w:rsidR="00045DDF" w:rsidRPr="00DD1DFA">
        <w:rPr>
          <w:noProof/>
        </w:rPr>
        <w:t>ierzonym zastosowaniem;</w:t>
      </w:r>
    </w:p>
    <w:p w14:paraId="7AEC7574" w14:textId="1ADF91F6" w:rsidR="00045DDF" w:rsidRPr="00DD1DFA" w:rsidRDefault="00986673" w:rsidP="00986673">
      <w:pPr>
        <w:pStyle w:val="Point0"/>
        <w:rPr>
          <w:noProof/>
        </w:rPr>
      </w:pPr>
      <w:r w:rsidRPr="00986673">
        <w:rPr>
          <w:noProof/>
        </w:rPr>
        <w:t>27)</w:t>
      </w:r>
      <w:r w:rsidRPr="00986673">
        <w:rPr>
          <w:noProof/>
        </w:rPr>
        <w:tab/>
      </w:r>
      <w:r w:rsidR="00045DDF" w:rsidRPr="00DD1DFA">
        <w:rPr>
          <w:noProof/>
        </w:rPr>
        <w:t>„konserwacja” oznacza czynność wykonywaną</w:t>
      </w:r>
      <w:r w:rsidR="00DD1DFA" w:rsidRPr="00DD1DFA">
        <w:rPr>
          <w:noProof/>
        </w:rPr>
        <w:t xml:space="preserve"> w</w:t>
      </w:r>
      <w:r w:rsidR="00DD1DFA">
        <w:rPr>
          <w:noProof/>
        </w:rPr>
        <w:t> </w:t>
      </w:r>
      <w:r w:rsidR="00DD1DFA" w:rsidRPr="00DD1DFA">
        <w:rPr>
          <w:noProof/>
        </w:rPr>
        <w:t>cel</w:t>
      </w:r>
      <w:r w:rsidR="00045DDF" w:rsidRPr="00DD1DFA">
        <w:rPr>
          <w:noProof/>
        </w:rPr>
        <w:t>u utrzymania wyrobu</w:t>
      </w:r>
      <w:r w:rsidR="00DD1DFA" w:rsidRPr="00DD1DFA">
        <w:rPr>
          <w:noProof/>
        </w:rPr>
        <w:t xml:space="preserve"> w</w:t>
      </w:r>
      <w:r w:rsidR="00DD1DFA">
        <w:rPr>
          <w:noProof/>
        </w:rPr>
        <w:t> </w:t>
      </w:r>
      <w:r w:rsidR="00DD1DFA" w:rsidRPr="00DD1DFA">
        <w:rPr>
          <w:noProof/>
        </w:rPr>
        <w:t>sta</w:t>
      </w:r>
      <w:r w:rsidR="00045DDF" w:rsidRPr="00DD1DFA">
        <w:rPr>
          <w:noProof/>
        </w:rPr>
        <w:t>nie,</w:t>
      </w:r>
      <w:r w:rsidR="00DD1DFA" w:rsidRPr="00DD1DFA">
        <w:rPr>
          <w:noProof/>
        </w:rPr>
        <w:t xml:space="preserve"> w</w:t>
      </w:r>
      <w:r w:rsidR="00DD1DFA">
        <w:rPr>
          <w:noProof/>
        </w:rPr>
        <w:t> </w:t>
      </w:r>
      <w:r w:rsidR="00DD1DFA" w:rsidRPr="00DD1DFA">
        <w:rPr>
          <w:noProof/>
        </w:rPr>
        <w:t>któ</w:t>
      </w:r>
      <w:r w:rsidR="00045DDF" w:rsidRPr="00DD1DFA">
        <w:rPr>
          <w:noProof/>
        </w:rPr>
        <w:t>rym może on funkcjonować zgodnie</w:t>
      </w:r>
      <w:r w:rsidR="00DD1DFA" w:rsidRPr="00DD1DFA">
        <w:rPr>
          <w:noProof/>
        </w:rPr>
        <w:t xml:space="preserve"> z</w:t>
      </w:r>
      <w:r w:rsidR="00DD1DFA">
        <w:rPr>
          <w:noProof/>
        </w:rPr>
        <w:t> </w:t>
      </w:r>
      <w:r w:rsidR="00DD1DFA" w:rsidRPr="00DD1DFA">
        <w:rPr>
          <w:noProof/>
        </w:rPr>
        <w:t>wym</w:t>
      </w:r>
      <w:r w:rsidR="00045DDF" w:rsidRPr="00DD1DFA">
        <w:rPr>
          <w:noProof/>
        </w:rPr>
        <w:t>ogami;</w:t>
      </w:r>
    </w:p>
    <w:p w14:paraId="5C62DAE0" w14:textId="446F81ED" w:rsidR="00045DDF" w:rsidRPr="00DD1DFA" w:rsidRDefault="00986673" w:rsidP="00986673">
      <w:pPr>
        <w:pStyle w:val="Point0"/>
        <w:rPr>
          <w:noProof/>
        </w:rPr>
      </w:pPr>
      <w:r w:rsidRPr="00986673">
        <w:rPr>
          <w:noProof/>
        </w:rPr>
        <w:t>28)</w:t>
      </w:r>
      <w:r w:rsidRPr="00986673">
        <w:rPr>
          <w:noProof/>
        </w:rPr>
        <w:tab/>
      </w:r>
      <w:r w:rsidR="00045DDF" w:rsidRPr="00DD1DFA">
        <w:rPr>
          <w:noProof/>
        </w:rPr>
        <w:t>„wyrób poddany regeneracji” oznacza wyrób, który nie jest odpadem zgodnie</w:t>
      </w:r>
      <w:r w:rsidR="00DD1DFA" w:rsidRPr="00DD1DFA">
        <w:rPr>
          <w:noProof/>
        </w:rPr>
        <w:t xml:space="preserve"> z</w:t>
      </w:r>
      <w:r w:rsidR="00DD1DFA">
        <w:rPr>
          <w:noProof/>
        </w:rPr>
        <w:t> </w:t>
      </w:r>
      <w:r w:rsidR="00DD1DFA" w:rsidRPr="00DD1DFA">
        <w:rPr>
          <w:noProof/>
        </w:rPr>
        <w:t>def</w:t>
      </w:r>
      <w:r w:rsidR="00045DDF" w:rsidRPr="00DD1DFA">
        <w:rPr>
          <w:noProof/>
        </w:rPr>
        <w:t>inicją zawartą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1 dyrektywy 2008/98/WE, ale który wbudowano co najmniej raz</w:t>
      </w:r>
      <w:r w:rsidR="00DD1DFA" w:rsidRPr="00DD1DFA">
        <w:rPr>
          <w:noProof/>
        </w:rPr>
        <w:t xml:space="preserve"> w</w:t>
      </w:r>
      <w:r w:rsidR="00DD1DFA">
        <w:rPr>
          <w:noProof/>
        </w:rPr>
        <w:t> </w:t>
      </w:r>
      <w:r w:rsidR="00DD1DFA" w:rsidRPr="00DD1DFA">
        <w:rPr>
          <w:noProof/>
        </w:rPr>
        <w:t>dan</w:t>
      </w:r>
      <w:r w:rsidR="00045DDF" w:rsidRPr="00DD1DFA">
        <w:rPr>
          <w:noProof/>
        </w:rPr>
        <w:t>y obiekt budowlany</w:t>
      </w:r>
      <w:r w:rsidR="00DD1DFA" w:rsidRPr="00DD1DFA">
        <w:rPr>
          <w:noProof/>
        </w:rPr>
        <w:t xml:space="preserve"> i</w:t>
      </w:r>
      <w:r w:rsidR="00DD1DFA">
        <w:rPr>
          <w:noProof/>
        </w:rPr>
        <w:t> </w:t>
      </w:r>
      <w:r w:rsidR="00DD1DFA" w:rsidRPr="00DD1DFA">
        <w:rPr>
          <w:noProof/>
        </w:rPr>
        <w:t>któ</w:t>
      </w:r>
      <w:r w:rsidR="00045DDF" w:rsidRPr="00DD1DFA">
        <w:rPr>
          <w:noProof/>
        </w:rPr>
        <w:t>ry poddano procesowi przekształcenia wykraczającemu poza naprawę, czyszczenie</w:t>
      </w:r>
      <w:r w:rsidR="00DD1DFA" w:rsidRPr="00DD1DFA">
        <w:rPr>
          <w:noProof/>
        </w:rPr>
        <w:t xml:space="preserve"> i</w:t>
      </w:r>
      <w:r w:rsidR="00DD1DFA">
        <w:rPr>
          <w:noProof/>
        </w:rPr>
        <w:t> </w:t>
      </w:r>
      <w:r w:rsidR="00DD1DFA" w:rsidRPr="00DD1DFA">
        <w:rPr>
          <w:noProof/>
        </w:rPr>
        <w:t>reg</w:t>
      </w:r>
      <w:r w:rsidR="00045DDF" w:rsidRPr="00DD1DFA">
        <w:rPr>
          <w:noProof/>
        </w:rPr>
        <w:t>ularną konserwację;</w:t>
      </w:r>
    </w:p>
    <w:p w14:paraId="5773A767" w14:textId="1F241971" w:rsidR="00045DDF" w:rsidRPr="00DD1DFA" w:rsidRDefault="00986673" w:rsidP="00986673">
      <w:pPr>
        <w:pStyle w:val="Point0"/>
        <w:rPr>
          <w:noProof/>
        </w:rPr>
      </w:pPr>
      <w:r w:rsidRPr="00986673">
        <w:rPr>
          <w:noProof/>
        </w:rPr>
        <w:t>29)</w:t>
      </w:r>
      <w:r w:rsidRPr="00986673">
        <w:rPr>
          <w:noProof/>
        </w:rPr>
        <w:tab/>
      </w:r>
      <w:r w:rsidR="00045DDF" w:rsidRPr="00DD1DFA">
        <w:rPr>
          <w:noProof/>
        </w:rPr>
        <w:t>„ryzyko” oznacza ryzyko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18 rozporządzenia (UE) 2019/1020;</w:t>
      </w:r>
    </w:p>
    <w:p w14:paraId="0AEA0711" w14:textId="0518820D" w:rsidR="00045DDF" w:rsidRPr="00DD1DFA" w:rsidRDefault="00986673" w:rsidP="00986673">
      <w:pPr>
        <w:pStyle w:val="Point0"/>
        <w:rPr>
          <w:noProof/>
        </w:rPr>
      </w:pPr>
      <w:r w:rsidRPr="00986673">
        <w:rPr>
          <w:noProof/>
        </w:rPr>
        <w:t>30)</w:t>
      </w:r>
      <w:r w:rsidRPr="00986673">
        <w:rPr>
          <w:noProof/>
        </w:rPr>
        <w:tab/>
      </w:r>
      <w:r w:rsidR="00045DDF" w:rsidRPr="00DD1DFA">
        <w:rPr>
          <w:noProof/>
        </w:rPr>
        <w:t>„przygotowanie do ponownego użycia” oznacza procesy odzysku polegające na sprawdzeniu, czyszczeniu lub naprawie,</w:t>
      </w:r>
      <w:r w:rsidR="00DD1DFA" w:rsidRPr="00DD1DFA">
        <w:rPr>
          <w:noProof/>
        </w:rPr>
        <w:t xml:space="preserve"> w</w:t>
      </w:r>
      <w:r w:rsidR="00DD1DFA">
        <w:rPr>
          <w:noProof/>
        </w:rPr>
        <w:t> </w:t>
      </w:r>
      <w:r w:rsidR="00DD1DFA" w:rsidRPr="00DD1DFA">
        <w:rPr>
          <w:noProof/>
        </w:rPr>
        <w:t>ram</w:t>
      </w:r>
      <w:r w:rsidR="00045DDF" w:rsidRPr="00DD1DFA">
        <w:rPr>
          <w:noProof/>
        </w:rPr>
        <w:t>ach których wyroby lub ich części składowe są przygotowywane do tego, by mogły być ponownie wykorzystywane bez jakichkolwiek innych czynności przetwarzania wstępnego;</w:t>
      </w:r>
    </w:p>
    <w:p w14:paraId="4F1DD930" w14:textId="4A3C6134" w:rsidR="00045DDF" w:rsidRPr="00DD1DFA" w:rsidRDefault="00986673" w:rsidP="00986673">
      <w:pPr>
        <w:pStyle w:val="Point0"/>
        <w:rPr>
          <w:noProof/>
        </w:rPr>
      </w:pPr>
      <w:r w:rsidRPr="00986673">
        <w:rPr>
          <w:noProof/>
        </w:rPr>
        <w:t>31)</w:t>
      </w:r>
      <w:r w:rsidRPr="00986673">
        <w:rPr>
          <w:noProof/>
        </w:rPr>
        <w:tab/>
      </w:r>
      <w:r w:rsidR="00045DDF" w:rsidRPr="00DD1DFA">
        <w:rPr>
          <w:noProof/>
        </w:rPr>
        <w:t>„typ wyrobu” oznacza abstrakcyjny model poszczególnych wyrobów, określony</w:t>
      </w:r>
      <w:r w:rsidR="00DD1DFA" w:rsidRPr="00DD1DFA">
        <w:rPr>
          <w:noProof/>
        </w:rPr>
        <w:t xml:space="preserve"> w</w:t>
      </w:r>
      <w:r w:rsidR="00DD1DFA">
        <w:rPr>
          <w:noProof/>
        </w:rPr>
        <w:t> </w:t>
      </w:r>
      <w:r w:rsidR="00DD1DFA" w:rsidRPr="00DD1DFA">
        <w:rPr>
          <w:noProof/>
        </w:rPr>
        <w:t>ram</w:t>
      </w:r>
      <w:r w:rsidR="00045DDF" w:rsidRPr="00DD1DFA">
        <w:rPr>
          <w:noProof/>
        </w:rPr>
        <w:t>ach zamierzonego zastosowania oraz zestaw charakterystyk, które wykluczają wszelkie różnice</w:t>
      </w:r>
      <w:r w:rsidR="00DD1DFA" w:rsidRPr="00DD1DFA">
        <w:rPr>
          <w:noProof/>
        </w:rPr>
        <w:t xml:space="preserve"> w</w:t>
      </w:r>
      <w:r w:rsidR="00DD1DFA">
        <w:rPr>
          <w:noProof/>
        </w:rPr>
        <w:t> </w:t>
      </w:r>
      <w:r w:rsidR="00DD1DFA" w:rsidRPr="00DD1DFA">
        <w:rPr>
          <w:noProof/>
        </w:rPr>
        <w:t>odn</w:t>
      </w:r>
      <w:r w:rsidR="00045DDF" w:rsidRPr="00DD1DFA">
        <w:rPr>
          <w:noProof/>
        </w:rPr>
        <w:t>iesieniu do właściwości użytkowych lub spełnienia wymogów dotyczących wyrobów, określonych</w:t>
      </w:r>
      <w:r w:rsidR="00DD1DFA" w:rsidRPr="00DD1DFA">
        <w:rPr>
          <w:noProof/>
        </w:rPr>
        <w:t xml:space="preserve"> w</w:t>
      </w:r>
      <w:r w:rsidR="00DD1DFA">
        <w:rPr>
          <w:noProof/>
        </w:rPr>
        <w:t> </w:t>
      </w:r>
      <w:r w:rsidR="00DD1DFA" w:rsidRPr="00DD1DFA">
        <w:rPr>
          <w:noProof/>
        </w:rPr>
        <w:t>nin</w:t>
      </w:r>
      <w:r w:rsidR="00045DDF" w:rsidRPr="00DD1DFA">
        <w:rPr>
          <w:noProof/>
        </w:rPr>
        <w:t>iejszym rozporządzeniu lub na jego podstawie, wytworzonych</w:t>
      </w:r>
      <w:r w:rsidR="00DD1DFA" w:rsidRPr="00DD1DFA">
        <w:rPr>
          <w:noProof/>
        </w:rPr>
        <w:t xml:space="preserve"> w</w:t>
      </w:r>
      <w:r w:rsidR="00DD1DFA">
        <w:rPr>
          <w:noProof/>
        </w:rPr>
        <w:t> </w:t>
      </w:r>
      <w:r w:rsidR="00DD1DFA" w:rsidRPr="00DD1DFA">
        <w:rPr>
          <w:noProof/>
        </w:rPr>
        <w:t>okr</w:t>
      </w:r>
      <w:r w:rsidR="00045DDF" w:rsidRPr="00DD1DFA">
        <w:rPr>
          <w:noProof/>
        </w:rPr>
        <w:t>eślonym procesie produkcyjnym przy użyciu danej kombinacji surowców lub części składowych, przy czym identyczne elementy różnych producentów również należą do różnych typów wyrobów;</w:t>
      </w:r>
    </w:p>
    <w:p w14:paraId="49D7958C" w14:textId="717FE9AB" w:rsidR="006562E7" w:rsidRPr="00DD1DFA" w:rsidRDefault="00986673" w:rsidP="00986673">
      <w:pPr>
        <w:pStyle w:val="Point0"/>
        <w:rPr>
          <w:noProof/>
        </w:rPr>
      </w:pPr>
      <w:r w:rsidRPr="00986673">
        <w:rPr>
          <w:noProof/>
        </w:rPr>
        <w:t>32)</w:t>
      </w:r>
      <w:r w:rsidRPr="00986673">
        <w:rPr>
          <w:noProof/>
        </w:rPr>
        <w:tab/>
      </w:r>
      <w:r w:rsidR="00045DDF" w:rsidRPr="00DD1DFA">
        <w:rPr>
          <w:noProof/>
        </w:rPr>
        <w:t>„stan wiedzy naukowej</w:t>
      </w:r>
      <w:r w:rsidR="00DD1DFA" w:rsidRPr="00DD1DFA">
        <w:rPr>
          <w:noProof/>
        </w:rPr>
        <w:t xml:space="preserve"> i</w:t>
      </w:r>
      <w:r w:rsidR="00DD1DFA">
        <w:rPr>
          <w:noProof/>
        </w:rPr>
        <w:t> </w:t>
      </w:r>
      <w:r w:rsidR="00DD1DFA" w:rsidRPr="00DD1DFA">
        <w:rPr>
          <w:noProof/>
        </w:rPr>
        <w:t>tec</w:t>
      </w:r>
      <w:r w:rsidR="00045DDF" w:rsidRPr="00DD1DFA">
        <w:rPr>
          <w:noProof/>
        </w:rPr>
        <w:t>hnicznej” oznacza sposób osiągnięcia określonego celu, który jest najbardziej efektywny</w:t>
      </w:r>
      <w:r w:rsidR="00DD1DFA" w:rsidRPr="00DD1DFA">
        <w:rPr>
          <w:noProof/>
        </w:rPr>
        <w:t xml:space="preserve"> i</w:t>
      </w:r>
      <w:r w:rsidR="00DD1DFA">
        <w:rPr>
          <w:noProof/>
        </w:rPr>
        <w:t> </w:t>
      </w:r>
      <w:r w:rsidR="00DD1DFA" w:rsidRPr="00DD1DFA">
        <w:rPr>
          <w:noProof/>
        </w:rPr>
        <w:t>zaa</w:t>
      </w:r>
      <w:r w:rsidR="00045DDF" w:rsidRPr="00DD1DFA">
        <w:rPr>
          <w:noProof/>
        </w:rPr>
        <w:t>wansowany albo zbliżony do niego,</w:t>
      </w:r>
      <w:r w:rsidR="00DD1DFA" w:rsidRPr="00DD1DFA">
        <w:rPr>
          <w:noProof/>
        </w:rPr>
        <w:t xml:space="preserve"> a</w:t>
      </w:r>
      <w:r w:rsidR="00DD1DFA">
        <w:rPr>
          <w:noProof/>
        </w:rPr>
        <w:t> </w:t>
      </w:r>
      <w:r w:rsidR="00DD1DFA" w:rsidRPr="00DD1DFA">
        <w:rPr>
          <w:noProof/>
        </w:rPr>
        <w:t>wię</w:t>
      </w:r>
      <w:r w:rsidR="00045DDF" w:rsidRPr="00DD1DFA">
        <w:rPr>
          <w:noProof/>
        </w:rPr>
        <w:t xml:space="preserve">c wykracza poza przeciętne sposoby, które można wybrać; </w:t>
      </w:r>
    </w:p>
    <w:p w14:paraId="4721E140" w14:textId="38C61F6A" w:rsidR="00045DDF" w:rsidRPr="00DD1DFA" w:rsidRDefault="00986673" w:rsidP="00986673">
      <w:pPr>
        <w:pStyle w:val="Point0"/>
        <w:rPr>
          <w:noProof/>
        </w:rPr>
      </w:pPr>
      <w:r w:rsidRPr="00986673">
        <w:rPr>
          <w:noProof/>
        </w:rPr>
        <w:t>33)</w:t>
      </w:r>
      <w:r w:rsidRPr="00986673">
        <w:rPr>
          <w:noProof/>
        </w:rPr>
        <w:tab/>
      </w:r>
      <w:r w:rsidR="00045DDF" w:rsidRPr="00DD1DFA">
        <w:rPr>
          <w:noProof/>
        </w:rPr>
        <w:t>„recykling” oznacza recykling zdefiniowany</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17 dyrektywy 2008/98/WE;</w:t>
      </w:r>
    </w:p>
    <w:p w14:paraId="79CB33C8" w14:textId="4C678B9A" w:rsidR="00045DDF" w:rsidRPr="00DD1DFA" w:rsidRDefault="00986673" w:rsidP="00986673">
      <w:pPr>
        <w:pStyle w:val="Point0"/>
        <w:rPr>
          <w:noProof/>
        </w:rPr>
      </w:pPr>
      <w:r w:rsidRPr="00986673">
        <w:rPr>
          <w:noProof/>
        </w:rPr>
        <w:t>34)</w:t>
      </w:r>
      <w:r w:rsidRPr="00986673">
        <w:rPr>
          <w:noProof/>
        </w:rPr>
        <w:tab/>
      </w:r>
      <w:r w:rsidR="00045DDF" w:rsidRPr="00DD1DFA">
        <w:rPr>
          <w:noProof/>
        </w:rPr>
        <w:t>„dostawca usług realizacji zamówień” oznacza dostawcę usług realizacji zamówień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11 rozporządzenia (UE) 2019/1020;</w:t>
      </w:r>
    </w:p>
    <w:p w14:paraId="038E7034" w14:textId="1EEA99ED" w:rsidR="00045DDF" w:rsidRPr="00DD1DFA" w:rsidRDefault="00986673" w:rsidP="00986673">
      <w:pPr>
        <w:pStyle w:val="Point0"/>
        <w:rPr>
          <w:noProof/>
        </w:rPr>
      </w:pPr>
      <w:r w:rsidRPr="00986673">
        <w:rPr>
          <w:noProof/>
        </w:rPr>
        <w:t>35)</w:t>
      </w:r>
      <w:r w:rsidRPr="00986673">
        <w:rPr>
          <w:noProof/>
        </w:rPr>
        <w:tab/>
      </w:r>
      <w:r w:rsidR="00045DDF" w:rsidRPr="00DD1DFA">
        <w:rPr>
          <w:noProof/>
        </w:rPr>
        <w:t>„rodzina wyrobów” oznacza wszystkie typy wyrobów należące do grup wyrobów wymienionych</w:t>
      </w:r>
      <w:r w:rsidR="00DD1DFA" w:rsidRPr="00DD1DFA">
        <w:rPr>
          <w:noProof/>
        </w:rPr>
        <w:t xml:space="preserve"> w</w:t>
      </w:r>
      <w:r w:rsidR="00DD1DFA">
        <w:rPr>
          <w:noProof/>
        </w:rPr>
        <w:t> </w:t>
      </w:r>
      <w:r w:rsidR="00DD1DFA" w:rsidRPr="00DD1DFA">
        <w:rPr>
          <w:noProof/>
        </w:rPr>
        <w:t>zał</w:t>
      </w:r>
      <w:r w:rsidR="00045DDF" w:rsidRPr="00DD1DFA">
        <w:rPr>
          <w:noProof/>
        </w:rPr>
        <w:t>ączniku IV tabela 1;</w:t>
      </w:r>
    </w:p>
    <w:p w14:paraId="0A7327C7" w14:textId="4DA50666" w:rsidR="00045DDF" w:rsidRPr="00DD1DFA" w:rsidRDefault="00986673" w:rsidP="00986673">
      <w:pPr>
        <w:pStyle w:val="Point0"/>
        <w:rPr>
          <w:noProof/>
        </w:rPr>
      </w:pPr>
      <w:r w:rsidRPr="00986673">
        <w:rPr>
          <w:noProof/>
        </w:rPr>
        <w:t>36)</w:t>
      </w:r>
      <w:r w:rsidRPr="00986673">
        <w:rPr>
          <w:noProof/>
        </w:rPr>
        <w:tab/>
      </w:r>
      <w:r w:rsidR="00045DDF" w:rsidRPr="00DD1DFA">
        <w:rPr>
          <w:noProof/>
        </w:rPr>
        <w:t>„kategoria wyrobów” oznacza podzbiór typów wyrobów należących do określonej rodziny wyrobów, obejmujący te typy wyrobów, które łączy ich wspólne zamierzone zastosowanie zgodnie ze zharmonizowanymi specyfikacjami technicznymi lub europejskimi dokumentami oceny;</w:t>
      </w:r>
    </w:p>
    <w:p w14:paraId="7EC9A933" w14:textId="17B09BB5" w:rsidR="00045DDF" w:rsidRPr="00DD1DFA" w:rsidRDefault="00986673" w:rsidP="00986673">
      <w:pPr>
        <w:pStyle w:val="Point0"/>
        <w:rPr>
          <w:noProof/>
        </w:rPr>
      </w:pPr>
      <w:r w:rsidRPr="00986673">
        <w:rPr>
          <w:noProof/>
        </w:rPr>
        <w:t>37)</w:t>
      </w:r>
      <w:r w:rsidRPr="00986673">
        <w:rPr>
          <w:noProof/>
        </w:rPr>
        <w:tab/>
      </w:r>
      <w:r w:rsidR="00045DDF" w:rsidRPr="00DD1DFA">
        <w:rPr>
          <w:noProof/>
        </w:rPr>
        <w:t>„zakładowa kontrola produkcji” oznacza udokumentowaną, stałą</w:t>
      </w:r>
      <w:r w:rsidR="00DD1DFA" w:rsidRPr="00DD1DFA">
        <w:rPr>
          <w:noProof/>
        </w:rPr>
        <w:t xml:space="preserve"> i</w:t>
      </w:r>
      <w:r w:rsidR="00DD1DFA">
        <w:rPr>
          <w:noProof/>
        </w:rPr>
        <w:t> </w:t>
      </w:r>
      <w:r w:rsidR="00DD1DFA" w:rsidRPr="00DD1DFA">
        <w:rPr>
          <w:noProof/>
        </w:rPr>
        <w:t>wew</w:t>
      </w:r>
      <w:r w:rsidR="00045DDF" w:rsidRPr="00DD1DFA">
        <w:rPr>
          <w:noProof/>
        </w:rPr>
        <w:t>nętrzną kontrolę produkcji</w:t>
      </w:r>
      <w:r w:rsidR="00DD1DFA" w:rsidRPr="00DD1DFA">
        <w:rPr>
          <w:noProof/>
        </w:rPr>
        <w:t xml:space="preserve"> w</w:t>
      </w:r>
      <w:r w:rsidR="00DD1DFA">
        <w:rPr>
          <w:noProof/>
        </w:rPr>
        <w:t> </w:t>
      </w:r>
      <w:r w:rsidR="00DD1DFA" w:rsidRPr="00DD1DFA">
        <w:rPr>
          <w:noProof/>
        </w:rPr>
        <w:t>zak</w:t>
      </w:r>
      <w:r w:rsidR="00045DDF" w:rsidRPr="00DD1DFA">
        <w:rPr>
          <w:noProof/>
        </w:rPr>
        <w:t>ładzie produkcyjnym</w:t>
      </w:r>
      <w:r w:rsidR="00DD1DFA" w:rsidRPr="00DD1DFA">
        <w:rPr>
          <w:noProof/>
        </w:rPr>
        <w:t xml:space="preserve"> w</w:t>
      </w:r>
      <w:r w:rsidR="00DD1DFA">
        <w:rPr>
          <w:noProof/>
        </w:rPr>
        <w:t> </w:t>
      </w:r>
      <w:r w:rsidR="00DD1DFA" w:rsidRPr="00DD1DFA">
        <w:rPr>
          <w:noProof/>
        </w:rPr>
        <w:t>odn</w:t>
      </w:r>
      <w:r w:rsidR="00045DDF" w:rsidRPr="00DD1DFA">
        <w:rPr>
          <w:noProof/>
        </w:rPr>
        <w:t>iesieniu do niektórych parametrów lub aspektów jakościowych, odzwierciedlających specyfikę danej rodziny wyrobów lub grupy</w:t>
      </w:r>
      <w:r w:rsidR="00DD1DFA" w:rsidRPr="00DD1DFA">
        <w:rPr>
          <w:noProof/>
        </w:rPr>
        <w:t xml:space="preserve"> i</w:t>
      </w:r>
      <w:r w:rsidR="00DD1DFA">
        <w:rPr>
          <w:noProof/>
        </w:rPr>
        <w:t> </w:t>
      </w:r>
      <w:r w:rsidR="00DD1DFA" w:rsidRPr="00DD1DFA">
        <w:rPr>
          <w:noProof/>
        </w:rPr>
        <w:t>pro</w:t>
      </w:r>
      <w:r w:rsidR="00045DDF" w:rsidRPr="00DD1DFA">
        <w:rPr>
          <w:noProof/>
        </w:rPr>
        <w:t>cesów produkcyjnych, której celem jest zapewnienie stałości właściwości użytkowych lub ciągłego spełniania wymogów dotyczących wyrobów, prowadzoną zgodnie</w:t>
      </w:r>
      <w:r w:rsidR="00DD1DFA" w:rsidRPr="00DD1DFA">
        <w:rPr>
          <w:noProof/>
        </w:rPr>
        <w:t xml:space="preserve"> z</w:t>
      </w:r>
      <w:r w:rsidR="00DD1DFA">
        <w:rPr>
          <w:noProof/>
        </w:rPr>
        <w:t> </w:t>
      </w:r>
      <w:r w:rsidR="00DD1DFA" w:rsidRPr="00DD1DFA">
        <w:rPr>
          <w:noProof/>
        </w:rPr>
        <w:t>zał</w:t>
      </w:r>
      <w:r w:rsidR="00045DDF" w:rsidRPr="00DD1DFA">
        <w:rPr>
          <w:noProof/>
        </w:rPr>
        <w:t>ącznikiem V;</w:t>
      </w:r>
    </w:p>
    <w:p w14:paraId="196CF44E" w14:textId="65114350" w:rsidR="00045DDF" w:rsidRPr="00DD1DFA" w:rsidRDefault="00986673" w:rsidP="00986673">
      <w:pPr>
        <w:pStyle w:val="Point0"/>
        <w:rPr>
          <w:noProof/>
        </w:rPr>
      </w:pPr>
      <w:r w:rsidRPr="00986673">
        <w:rPr>
          <w:noProof/>
        </w:rPr>
        <w:t>38)</w:t>
      </w:r>
      <w:r w:rsidRPr="00986673">
        <w:rPr>
          <w:noProof/>
        </w:rPr>
        <w:tab/>
      </w:r>
      <w:r w:rsidR="00045DDF" w:rsidRPr="00DD1DFA">
        <w:rPr>
          <w:noProof/>
        </w:rPr>
        <w:t>„strefa zharmonizowana” oznacza sferę objętą wspólnie niniejszym rozporządzeniem, zharmonizowanymi specyfikacjami technicznymi oraz aktami Komisji</w:t>
      </w:r>
      <w:r w:rsidR="00DD1DFA" w:rsidRPr="00DD1DFA">
        <w:rPr>
          <w:noProof/>
        </w:rPr>
        <w:t xml:space="preserve"> o</w:t>
      </w:r>
      <w:r w:rsidR="00DD1DFA">
        <w:rPr>
          <w:noProof/>
        </w:rPr>
        <w:t> </w:t>
      </w:r>
      <w:r w:rsidR="00DD1DFA" w:rsidRPr="00DD1DFA">
        <w:rPr>
          <w:noProof/>
        </w:rPr>
        <w:t>zas</w:t>
      </w:r>
      <w:r w:rsidR="00045DDF" w:rsidRPr="00DD1DFA">
        <w:rPr>
          <w:noProof/>
        </w:rPr>
        <w:t>ięgu ogólnym przyjętymi na podstawie niniejszego rozporządzenia;</w:t>
      </w:r>
    </w:p>
    <w:p w14:paraId="03E501AC" w14:textId="38E90284" w:rsidR="00F8345A" w:rsidRPr="00DD1DFA" w:rsidRDefault="00986673" w:rsidP="00986673">
      <w:pPr>
        <w:pStyle w:val="Point0"/>
        <w:rPr>
          <w:noProof/>
        </w:rPr>
      </w:pPr>
      <w:r w:rsidRPr="00986673">
        <w:rPr>
          <w:noProof/>
        </w:rPr>
        <w:t>39)</w:t>
      </w:r>
      <w:r w:rsidRPr="00986673">
        <w:rPr>
          <w:noProof/>
        </w:rPr>
        <w:tab/>
      </w:r>
      <w:r w:rsidR="00045DDF" w:rsidRPr="00DD1DFA">
        <w:rPr>
          <w:noProof/>
        </w:rPr>
        <w:t>„prawo Unii” oznacza Traktat</w:t>
      </w:r>
      <w:r w:rsidR="00DD1DFA" w:rsidRPr="00DD1DFA">
        <w:rPr>
          <w:noProof/>
        </w:rPr>
        <w:t xml:space="preserve"> o</w:t>
      </w:r>
      <w:r w:rsidR="00DD1DFA">
        <w:rPr>
          <w:noProof/>
        </w:rPr>
        <w:t> </w:t>
      </w:r>
      <w:r w:rsidR="00DD1DFA" w:rsidRPr="00DD1DFA">
        <w:rPr>
          <w:noProof/>
        </w:rPr>
        <w:t>Uni</w:t>
      </w:r>
      <w:r w:rsidR="00045DDF" w:rsidRPr="00DD1DFA">
        <w:rPr>
          <w:noProof/>
        </w:rPr>
        <w:t>i Europejskiej, Traktat</w:t>
      </w:r>
      <w:r w:rsidR="00DD1DFA" w:rsidRPr="00DD1DFA">
        <w:rPr>
          <w:noProof/>
        </w:rPr>
        <w:t xml:space="preserve"> o</w:t>
      </w:r>
      <w:r w:rsidR="00DD1DFA">
        <w:rPr>
          <w:noProof/>
        </w:rPr>
        <w:t> </w:t>
      </w:r>
      <w:r w:rsidR="00DD1DFA" w:rsidRPr="00DD1DFA">
        <w:rPr>
          <w:noProof/>
        </w:rPr>
        <w:t>fun</w:t>
      </w:r>
      <w:r w:rsidR="00045DDF" w:rsidRPr="00DD1DFA">
        <w:rPr>
          <w:noProof/>
        </w:rPr>
        <w:t>kcjonowaniu Unii Europejskiej, ogólne zasady prawa, akty</w:t>
      </w:r>
      <w:r w:rsidR="00DD1DFA" w:rsidRPr="00DD1DFA">
        <w:rPr>
          <w:noProof/>
        </w:rPr>
        <w:t xml:space="preserve"> o</w:t>
      </w:r>
      <w:r w:rsidR="00DD1DFA">
        <w:rPr>
          <w:noProof/>
        </w:rPr>
        <w:t> </w:t>
      </w:r>
      <w:r w:rsidR="00DD1DFA" w:rsidRPr="00DD1DFA">
        <w:rPr>
          <w:noProof/>
        </w:rPr>
        <w:t>zas</w:t>
      </w:r>
      <w:r w:rsidR="00045DDF" w:rsidRPr="00DD1DFA">
        <w:rPr>
          <w:noProof/>
        </w:rPr>
        <w:t>ięgu ogólnym,</w:t>
      </w:r>
      <w:r w:rsidR="00DD1DFA" w:rsidRPr="00DD1DFA">
        <w:rPr>
          <w:noProof/>
        </w:rPr>
        <w:t xml:space="preserve"> o</w:t>
      </w:r>
      <w:r w:rsidR="00DD1DFA">
        <w:rPr>
          <w:noProof/>
        </w:rPr>
        <w:t> </w:t>
      </w:r>
      <w:r w:rsidR="00DD1DFA" w:rsidRPr="00DD1DFA">
        <w:rPr>
          <w:noProof/>
        </w:rPr>
        <w:t>któ</w:t>
      </w:r>
      <w:r w:rsidR="00045DDF" w:rsidRPr="00DD1DFA">
        <w:rPr>
          <w:noProof/>
        </w:rPr>
        <w:t>rym mowa</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288 akapit drugi, trzeci</w:t>
      </w:r>
      <w:r w:rsidR="00DD1DFA" w:rsidRPr="00DD1DFA">
        <w:rPr>
          <w:noProof/>
        </w:rPr>
        <w:t xml:space="preserve"> i</w:t>
      </w:r>
      <w:r w:rsidR="00DD1DFA">
        <w:rPr>
          <w:noProof/>
        </w:rPr>
        <w:t> </w:t>
      </w:r>
      <w:r w:rsidR="00DD1DFA" w:rsidRPr="00DD1DFA">
        <w:rPr>
          <w:noProof/>
        </w:rPr>
        <w:t>czw</w:t>
      </w:r>
      <w:r w:rsidR="00045DDF" w:rsidRPr="00DD1DFA">
        <w:rPr>
          <w:noProof/>
        </w:rPr>
        <w:t>arty TFUE, oraz wszelkie umowy międzynarodowe, których Unia jest stroną lub których stronami są Unia</w:t>
      </w:r>
      <w:r w:rsidR="00DD1DFA" w:rsidRPr="00DD1DFA">
        <w:rPr>
          <w:noProof/>
        </w:rPr>
        <w:t xml:space="preserve"> i</w:t>
      </w:r>
      <w:r w:rsidR="00DD1DFA">
        <w:rPr>
          <w:noProof/>
        </w:rPr>
        <w:t> </w:t>
      </w:r>
      <w:r w:rsidR="00DD1DFA" w:rsidRPr="00DD1DFA">
        <w:rPr>
          <w:noProof/>
        </w:rPr>
        <w:t>jej</w:t>
      </w:r>
      <w:r w:rsidR="00045DDF" w:rsidRPr="00DD1DFA">
        <w:rPr>
          <w:noProof/>
        </w:rPr>
        <w:t xml:space="preserve"> państwa członkowskie; </w:t>
      </w:r>
    </w:p>
    <w:p w14:paraId="037DD2D8" w14:textId="3F58C098" w:rsidR="00045DDF" w:rsidRPr="00DD1DFA" w:rsidRDefault="00986673" w:rsidP="00986673">
      <w:pPr>
        <w:pStyle w:val="Point0"/>
        <w:rPr>
          <w:noProof/>
        </w:rPr>
      </w:pPr>
      <w:r w:rsidRPr="00986673">
        <w:rPr>
          <w:noProof/>
        </w:rPr>
        <w:t>40)</w:t>
      </w:r>
      <w:r w:rsidRPr="00986673">
        <w:rPr>
          <w:noProof/>
        </w:rPr>
        <w:tab/>
      </w:r>
      <w:r w:rsidR="00045DDF" w:rsidRPr="00DD1DFA">
        <w:rPr>
          <w:noProof/>
        </w:rPr>
        <w:t>„importer” oznacza importera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9 rozporządzenia (UE) 2019/1020;</w:t>
      </w:r>
    </w:p>
    <w:p w14:paraId="0D0E5428" w14:textId="72297EF4" w:rsidR="00045DDF" w:rsidRPr="00DD1DFA" w:rsidRDefault="00986673" w:rsidP="00986673">
      <w:pPr>
        <w:pStyle w:val="Point0"/>
        <w:rPr>
          <w:noProof/>
        </w:rPr>
      </w:pPr>
      <w:r w:rsidRPr="00986673">
        <w:rPr>
          <w:noProof/>
        </w:rPr>
        <w:t>41)</w:t>
      </w:r>
      <w:r w:rsidRPr="00986673">
        <w:rPr>
          <w:noProof/>
        </w:rPr>
        <w:tab/>
      </w:r>
      <w:r w:rsidR="00045DDF" w:rsidRPr="00DD1DFA">
        <w:rPr>
          <w:noProof/>
        </w:rPr>
        <w:t>„dystrybutor” oznacza dystrybutora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10 rozporządzenia (UE) 2019/1020;</w:t>
      </w:r>
    </w:p>
    <w:p w14:paraId="79BF3208" w14:textId="786D7F2F" w:rsidR="00045DDF" w:rsidRPr="00DD1DFA" w:rsidRDefault="00986673" w:rsidP="00986673">
      <w:pPr>
        <w:pStyle w:val="Point0"/>
        <w:rPr>
          <w:noProof/>
        </w:rPr>
      </w:pPr>
      <w:r w:rsidRPr="00986673">
        <w:rPr>
          <w:noProof/>
        </w:rPr>
        <w:t>42)</w:t>
      </w:r>
      <w:r w:rsidRPr="00986673">
        <w:rPr>
          <w:noProof/>
        </w:rPr>
        <w:tab/>
      </w:r>
      <w:r w:rsidR="00045DDF" w:rsidRPr="00DD1DFA">
        <w:rPr>
          <w:noProof/>
        </w:rPr>
        <w:t>„produkowany jednostkowo” oznacza, że ze względu na specyfikacje klienta występuje różnica dotycząca metody produkcji</w:t>
      </w:r>
      <w:r w:rsidR="00DD1DFA" w:rsidRPr="00DD1DFA">
        <w:rPr>
          <w:noProof/>
        </w:rPr>
        <w:t xml:space="preserve"> w</w:t>
      </w:r>
      <w:r w:rsidR="00DD1DFA">
        <w:rPr>
          <w:noProof/>
        </w:rPr>
        <w:t> </w:t>
      </w:r>
      <w:r w:rsidR="00DD1DFA" w:rsidRPr="00DD1DFA">
        <w:rPr>
          <w:noProof/>
        </w:rPr>
        <w:t>por</w:t>
      </w:r>
      <w:r w:rsidR="00045DDF" w:rsidRPr="00DD1DFA">
        <w:rPr>
          <w:noProof/>
        </w:rPr>
        <w:t>ównaniu</w:t>
      </w:r>
      <w:r w:rsidR="00DD1DFA" w:rsidRPr="00DD1DFA">
        <w:rPr>
          <w:noProof/>
        </w:rPr>
        <w:t xml:space="preserve"> z</w:t>
      </w:r>
      <w:r w:rsidR="00DD1DFA">
        <w:rPr>
          <w:noProof/>
        </w:rPr>
        <w:t> </w:t>
      </w:r>
      <w:r w:rsidR="00DD1DFA" w:rsidRPr="00DD1DFA">
        <w:rPr>
          <w:noProof/>
        </w:rPr>
        <w:t>wsz</w:t>
      </w:r>
      <w:r w:rsidR="00045DDF" w:rsidRPr="00DD1DFA">
        <w:rPr>
          <w:noProof/>
        </w:rPr>
        <w:t>ystkimi innymi wyrobami wytwarzanymi dla innych klientów przez dany podmiot gospodarczy;</w:t>
      </w:r>
    </w:p>
    <w:p w14:paraId="36EF6341" w14:textId="0DF27161" w:rsidR="00045DDF" w:rsidRPr="00DD1DFA" w:rsidRDefault="00986673" w:rsidP="00986673">
      <w:pPr>
        <w:pStyle w:val="Point0"/>
        <w:rPr>
          <w:noProof/>
        </w:rPr>
      </w:pPr>
      <w:r w:rsidRPr="00986673">
        <w:rPr>
          <w:noProof/>
        </w:rPr>
        <w:t>43)</w:t>
      </w:r>
      <w:r w:rsidRPr="00986673">
        <w:rPr>
          <w:noProof/>
        </w:rPr>
        <w:tab/>
      </w:r>
      <w:r w:rsidR="00045DDF" w:rsidRPr="00DD1DFA">
        <w:rPr>
          <w:noProof/>
        </w:rPr>
        <w:t>„mikroprzedsiębiorstwo” oznacza mikroprzedsiębiorstwo.</w:t>
      </w:r>
      <w:r w:rsidR="00DD1DFA" w:rsidRPr="00DD1DFA">
        <w:rPr>
          <w:noProof/>
        </w:rPr>
        <w:t xml:space="preserve"> o</w:t>
      </w:r>
      <w:r w:rsidR="00DD1DFA">
        <w:rPr>
          <w:noProof/>
        </w:rPr>
        <w:t> </w:t>
      </w:r>
      <w:r w:rsidR="00DD1DFA" w:rsidRPr="00DD1DFA">
        <w:rPr>
          <w:noProof/>
        </w:rPr>
        <w:t>któ</w:t>
      </w:r>
      <w:r w:rsidR="00045DDF" w:rsidRPr="00DD1DFA">
        <w:rPr>
          <w:noProof/>
        </w:rPr>
        <w:t>rym mowa</w:t>
      </w:r>
      <w:r w:rsidR="00DD1DFA" w:rsidRPr="00DD1DFA">
        <w:rPr>
          <w:noProof/>
        </w:rPr>
        <w:t xml:space="preserve"> w</w:t>
      </w:r>
      <w:r w:rsidR="00DD1DFA">
        <w:rPr>
          <w:noProof/>
        </w:rPr>
        <w:t> </w:t>
      </w:r>
      <w:r w:rsidR="00DD1DFA" w:rsidRPr="00DD1DFA">
        <w:rPr>
          <w:noProof/>
        </w:rPr>
        <w:t>zał</w:t>
      </w:r>
      <w:r w:rsidR="00045DDF" w:rsidRPr="00DD1DFA">
        <w:rPr>
          <w:noProof/>
        </w:rPr>
        <w:t>ączniku do zalecenia Komisji</w:t>
      </w:r>
      <w:r w:rsidR="00DD1DFA" w:rsidRPr="00DD1DFA">
        <w:rPr>
          <w:noProof/>
        </w:rPr>
        <w:t xml:space="preserve"> z</w:t>
      </w:r>
      <w:r w:rsidR="00DD1DFA">
        <w:rPr>
          <w:noProof/>
        </w:rPr>
        <w:t> </w:t>
      </w:r>
      <w:r w:rsidR="00DD1DFA" w:rsidRPr="00DD1DFA">
        <w:rPr>
          <w:noProof/>
        </w:rPr>
        <w:t>dni</w:t>
      </w:r>
      <w:r w:rsidR="00045DDF" w:rsidRPr="00DD1DFA">
        <w:rPr>
          <w:noProof/>
        </w:rPr>
        <w:t>a 6 maja 2003</w:t>
      </w:r>
      <w:r w:rsidR="00DD1DFA" w:rsidRPr="00DD1DFA">
        <w:rPr>
          <w:noProof/>
        </w:rPr>
        <w:t> </w:t>
      </w:r>
      <w:r w:rsidR="00045DDF" w:rsidRPr="00DD1DFA">
        <w:rPr>
          <w:noProof/>
        </w:rPr>
        <w:t>r. dotyczącym definicji przedsiębiorstw mikro, małych</w:t>
      </w:r>
      <w:r w:rsidR="00DD1DFA" w:rsidRPr="00DD1DFA">
        <w:rPr>
          <w:noProof/>
        </w:rPr>
        <w:t xml:space="preserve"> i</w:t>
      </w:r>
      <w:r w:rsidR="00DD1DFA">
        <w:rPr>
          <w:noProof/>
        </w:rPr>
        <w:t> </w:t>
      </w:r>
      <w:r w:rsidR="00DD1DFA" w:rsidRPr="00DD1DFA">
        <w:rPr>
          <w:noProof/>
        </w:rPr>
        <w:t>śre</w:t>
      </w:r>
      <w:r w:rsidR="00045DDF" w:rsidRPr="00DD1DFA">
        <w:rPr>
          <w:noProof/>
        </w:rPr>
        <w:t>dnich;</w:t>
      </w:r>
    </w:p>
    <w:p w14:paraId="18BF8251" w14:textId="0D1C0FEB" w:rsidR="00045DDF" w:rsidRPr="00DD1DFA" w:rsidRDefault="00986673" w:rsidP="00986673">
      <w:pPr>
        <w:pStyle w:val="Point0"/>
        <w:rPr>
          <w:noProof/>
        </w:rPr>
      </w:pPr>
      <w:r w:rsidRPr="00986673">
        <w:rPr>
          <w:noProof/>
        </w:rPr>
        <w:t>44)</w:t>
      </w:r>
      <w:r w:rsidRPr="00986673">
        <w:rPr>
          <w:noProof/>
        </w:rPr>
        <w:tab/>
      </w:r>
      <w:r w:rsidR="00045DDF" w:rsidRPr="00DD1DFA">
        <w:rPr>
          <w:noProof/>
        </w:rPr>
        <w:t>„wykonywany na zamówienie” oznacza, że ze względu na specyfikacje klienta występują różnice pod względem rozmiaru lub materiału</w:t>
      </w:r>
      <w:r w:rsidR="00DD1DFA" w:rsidRPr="00DD1DFA">
        <w:rPr>
          <w:noProof/>
        </w:rPr>
        <w:t xml:space="preserve"> w</w:t>
      </w:r>
      <w:r w:rsidR="00DD1DFA">
        <w:rPr>
          <w:noProof/>
        </w:rPr>
        <w:t> </w:t>
      </w:r>
      <w:r w:rsidR="00DD1DFA" w:rsidRPr="00DD1DFA">
        <w:rPr>
          <w:noProof/>
        </w:rPr>
        <w:t>por</w:t>
      </w:r>
      <w:r w:rsidR="00045DDF" w:rsidRPr="00DD1DFA">
        <w:rPr>
          <w:noProof/>
        </w:rPr>
        <w:t>ównaniu</w:t>
      </w:r>
      <w:r w:rsidR="00DD1DFA" w:rsidRPr="00DD1DFA">
        <w:rPr>
          <w:noProof/>
        </w:rPr>
        <w:t xml:space="preserve"> z</w:t>
      </w:r>
      <w:r w:rsidR="00DD1DFA">
        <w:rPr>
          <w:noProof/>
        </w:rPr>
        <w:t> </w:t>
      </w:r>
      <w:r w:rsidR="00DD1DFA" w:rsidRPr="00DD1DFA">
        <w:rPr>
          <w:noProof/>
        </w:rPr>
        <w:t>wsz</w:t>
      </w:r>
      <w:r w:rsidR="00045DDF" w:rsidRPr="00DD1DFA">
        <w:rPr>
          <w:noProof/>
        </w:rPr>
        <w:t>ystkimi innymi wyrobami wytwarzanymi dla innych klientów przez dany podmiot gospodarczy</w:t>
      </w:r>
      <w:r w:rsidR="004B5A11" w:rsidRPr="00DD1DFA">
        <w:rPr>
          <w:noProof/>
        </w:rPr>
        <w:t>;</w:t>
      </w:r>
    </w:p>
    <w:p w14:paraId="05F71EC4" w14:textId="1AF08309" w:rsidR="00045DDF" w:rsidRPr="00DD1DFA" w:rsidRDefault="00986673" w:rsidP="00986673">
      <w:pPr>
        <w:pStyle w:val="Point0"/>
        <w:rPr>
          <w:noProof/>
        </w:rPr>
      </w:pPr>
      <w:r w:rsidRPr="00986673">
        <w:rPr>
          <w:noProof/>
        </w:rPr>
        <w:t>45)</w:t>
      </w:r>
      <w:r w:rsidRPr="00986673">
        <w:rPr>
          <w:noProof/>
        </w:rPr>
        <w:tab/>
      </w:r>
      <w:r w:rsidR="00045DDF" w:rsidRPr="00DD1DFA">
        <w:rPr>
          <w:noProof/>
        </w:rPr>
        <w:t>„odnośnik bezpośredni” oznacza łącze internetowe do strony internetowej, które jest stałe zarówno ze względu na swoją treść, jak</w:t>
      </w:r>
      <w:r w:rsidR="00DD1DFA" w:rsidRPr="00DD1DFA">
        <w:rPr>
          <w:noProof/>
        </w:rPr>
        <w:t xml:space="preserve"> i</w:t>
      </w:r>
      <w:r w:rsidR="00DD1DFA">
        <w:rPr>
          <w:noProof/>
        </w:rPr>
        <w:t> </w:t>
      </w:r>
      <w:r w:rsidR="00DD1DFA" w:rsidRPr="00DD1DFA">
        <w:rPr>
          <w:noProof/>
        </w:rPr>
        <w:t>adr</w:t>
      </w:r>
      <w:r w:rsidR="00045DDF" w:rsidRPr="00DD1DFA">
        <w:rPr>
          <w:noProof/>
        </w:rPr>
        <w:t>es („URL”);</w:t>
      </w:r>
    </w:p>
    <w:p w14:paraId="746407A9" w14:textId="54B7B423" w:rsidR="00045DDF" w:rsidRPr="00DD1DFA" w:rsidRDefault="00986673" w:rsidP="00986673">
      <w:pPr>
        <w:pStyle w:val="Point0"/>
        <w:rPr>
          <w:noProof/>
        </w:rPr>
      </w:pPr>
      <w:r w:rsidRPr="00986673">
        <w:rPr>
          <w:noProof/>
        </w:rPr>
        <w:t>46)</w:t>
      </w:r>
      <w:r w:rsidRPr="00986673">
        <w:rPr>
          <w:noProof/>
        </w:rPr>
        <w:tab/>
      </w:r>
      <w:r w:rsidR="00045DDF" w:rsidRPr="00DD1DFA">
        <w:rPr>
          <w:noProof/>
        </w:rPr>
        <w:t>„zharmonizowane specyfikacje techniczne” oznaczają normy dotyczące wyrobów budowlanych ustanowione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4 ust.</w:t>
      </w:r>
      <w:r w:rsidR="00DD1DFA" w:rsidRPr="00DD1DFA">
        <w:rPr>
          <w:noProof/>
        </w:rPr>
        <w:t> </w:t>
      </w:r>
      <w:r w:rsidR="00045DDF" w:rsidRPr="00DD1DFA">
        <w:rPr>
          <w:noProof/>
        </w:rPr>
        <w:t>2, do których odniesienie opublikowano</w:t>
      </w:r>
      <w:r w:rsidR="00DD1DFA" w:rsidRPr="00DD1DFA">
        <w:rPr>
          <w:noProof/>
        </w:rPr>
        <w:t xml:space="preserve"> w</w:t>
      </w:r>
      <w:r w:rsidR="00DD1DFA">
        <w:rPr>
          <w:noProof/>
        </w:rPr>
        <w:t> </w:t>
      </w:r>
      <w:r w:rsidR="00DD1DFA" w:rsidRPr="00DD1DFA">
        <w:rPr>
          <w:noProof/>
        </w:rPr>
        <w:t>Dzi</w:t>
      </w:r>
      <w:r w:rsidR="00045DDF" w:rsidRPr="00DD1DFA">
        <w:rPr>
          <w:noProof/>
        </w:rPr>
        <w:t>enniku Urzędowym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34</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zwi</w:t>
      </w:r>
      <w:r w:rsidR="00045DDF" w:rsidRPr="00DD1DFA">
        <w:rPr>
          <w:noProof/>
        </w:rPr>
        <w:t>ązku</w:t>
      </w:r>
      <w:r w:rsidR="00DD1DFA" w:rsidRPr="00DD1DFA">
        <w:rPr>
          <w:noProof/>
        </w:rPr>
        <w:t xml:space="preserve"> z</w:t>
      </w:r>
      <w:r w:rsidR="00DD1DFA">
        <w:rPr>
          <w:noProof/>
        </w:rPr>
        <w:t> </w:t>
      </w:r>
      <w:r w:rsidR="00DD1DFA" w:rsidRPr="00DD1DFA">
        <w:rPr>
          <w:noProof/>
        </w:rPr>
        <w:t>tym</w:t>
      </w:r>
      <w:r w:rsidR="00045DDF" w:rsidRPr="00DD1DFA">
        <w:rPr>
          <w:noProof/>
        </w:rPr>
        <w:t xml:space="preserve"> stały się one obowiązkowe do celów stosowania niniejszego rozporządzenia, oraz akty delegowane przyjęte na podstawie art.</w:t>
      </w:r>
      <w:r w:rsidR="00DD1DFA" w:rsidRPr="00DD1DFA">
        <w:rPr>
          <w:noProof/>
        </w:rPr>
        <w:t> </w:t>
      </w:r>
      <w:r w:rsidR="00045DDF" w:rsidRPr="00DD1DFA">
        <w:rPr>
          <w:noProof/>
        </w:rPr>
        <w:t>4 ust.</w:t>
      </w:r>
      <w:r w:rsidR="00DD1DFA" w:rsidRPr="00DD1DFA">
        <w:rPr>
          <w:noProof/>
        </w:rPr>
        <w:t> </w:t>
      </w:r>
      <w:r w:rsidR="00045DDF" w:rsidRPr="00DD1DFA">
        <w:rPr>
          <w:noProof/>
        </w:rPr>
        <w:t>3</w:t>
      </w:r>
      <w:r w:rsidR="00DD1DFA" w:rsidRPr="00DD1DFA">
        <w:rPr>
          <w:noProof/>
        </w:rPr>
        <w:t xml:space="preserve"> i</w:t>
      </w:r>
      <w:r w:rsidR="00DD1DFA">
        <w:rPr>
          <w:noProof/>
        </w:rPr>
        <w:t> </w:t>
      </w:r>
      <w:r w:rsidR="00DD1DFA" w:rsidRPr="00DD1DFA">
        <w:rPr>
          <w:noProof/>
        </w:rPr>
        <w:t>4</w:t>
      </w:r>
      <w:r w:rsidR="00045DDF" w:rsidRPr="00DD1DFA">
        <w:rPr>
          <w:noProof/>
        </w:rPr>
        <w:t>, art.</w:t>
      </w:r>
      <w:r w:rsidR="00DD1DFA" w:rsidRPr="00DD1DFA">
        <w:rPr>
          <w:noProof/>
        </w:rPr>
        <w:t> </w:t>
      </w:r>
      <w:r w:rsidR="00045DDF" w:rsidRPr="00DD1DFA">
        <w:rPr>
          <w:noProof/>
        </w:rPr>
        <w:t>5 ust.</w:t>
      </w:r>
      <w:r w:rsidR="00DD1DFA" w:rsidRPr="00DD1DFA">
        <w:rPr>
          <w:noProof/>
        </w:rPr>
        <w:t> </w:t>
      </w:r>
      <w:r w:rsidR="00045DDF" w:rsidRPr="00DD1DFA">
        <w:rPr>
          <w:noProof/>
        </w:rPr>
        <w:t>2 lub art.</w:t>
      </w:r>
      <w:r w:rsidR="00DD1DFA" w:rsidRPr="00DD1DFA">
        <w:rPr>
          <w:noProof/>
        </w:rPr>
        <w:t> </w:t>
      </w:r>
      <w:r w:rsidR="00045DDF" w:rsidRPr="00DD1DFA">
        <w:rPr>
          <w:noProof/>
        </w:rPr>
        <w:t>22 ust.</w:t>
      </w:r>
      <w:r w:rsidR="00DD1DFA" w:rsidRPr="00DD1DFA">
        <w:rPr>
          <w:noProof/>
        </w:rPr>
        <w:t> </w:t>
      </w:r>
      <w:r w:rsidR="00045DDF" w:rsidRPr="00DD1DFA">
        <w:rPr>
          <w:noProof/>
        </w:rPr>
        <w:t>4,</w:t>
      </w:r>
      <w:r w:rsidR="00DD1DFA" w:rsidRPr="00DD1DFA">
        <w:rPr>
          <w:noProof/>
        </w:rPr>
        <w:t xml:space="preserve"> w</w:t>
      </w:r>
      <w:r w:rsidR="00DD1DFA">
        <w:rPr>
          <w:noProof/>
        </w:rPr>
        <w:t> </w:t>
      </w:r>
      <w:r w:rsidR="00DD1DFA" w:rsidRPr="00DD1DFA">
        <w:rPr>
          <w:noProof/>
        </w:rPr>
        <w:t>któ</w:t>
      </w:r>
      <w:r w:rsidR="00045DDF" w:rsidRPr="00DD1DFA">
        <w:rPr>
          <w:noProof/>
        </w:rPr>
        <w:t>rych zawarto zalecenia techniczne;</w:t>
      </w:r>
    </w:p>
    <w:p w14:paraId="3C86E305" w14:textId="6350D8C5" w:rsidR="00045DDF" w:rsidRPr="00DD1DFA" w:rsidRDefault="00986673" w:rsidP="00986673">
      <w:pPr>
        <w:pStyle w:val="Point0"/>
        <w:rPr>
          <w:noProof/>
        </w:rPr>
      </w:pPr>
      <w:r w:rsidRPr="00986673">
        <w:rPr>
          <w:noProof/>
        </w:rPr>
        <w:t>47)</w:t>
      </w:r>
      <w:r w:rsidRPr="00986673">
        <w:rPr>
          <w:noProof/>
        </w:rPr>
        <w:tab/>
      </w:r>
      <w:r w:rsidR="00045DDF" w:rsidRPr="00DD1DFA">
        <w:rPr>
          <w:noProof/>
        </w:rPr>
        <w:t>„norma dotycząca wyrobów budowlanych” oznacza normę przyjętą przez europejską organizację normalizacyjną na podstawie złożonego przez Komisję wniosku</w:t>
      </w:r>
      <w:r w:rsidR="00DD1DFA" w:rsidRPr="00DD1DFA">
        <w:rPr>
          <w:noProof/>
        </w:rPr>
        <w:t xml:space="preserve"> w</w:t>
      </w:r>
      <w:r w:rsidR="00DD1DFA">
        <w:rPr>
          <w:noProof/>
        </w:rPr>
        <w:t> </w:t>
      </w:r>
      <w:r w:rsidR="00DD1DFA" w:rsidRPr="00DD1DFA">
        <w:rPr>
          <w:noProof/>
        </w:rPr>
        <w:t>spr</w:t>
      </w:r>
      <w:r w:rsidR="00045DDF" w:rsidRPr="00DD1DFA">
        <w:rPr>
          <w:noProof/>
        </w:rPr>
        <w:t>awie stosowania niniejszego rozporządzenia, do której odniesienie opublikowano</w:t>
      </w:r>
      <w:r w:rsidR="00DD1DFA" w:rsidRPr="00DD1DFA">
        <w:rPr>
          <w:noProof/>
        </w:rPr>
        <w:t xml:space="preserve"> w</w:t>
      </w:r>
      <w:r w:rsidR="00DD1DFA">
        <w:rPr>
          <w:noProof/>
        </w:rPr>
        <w:t> </w:t>
      </w:r>
      <w:r w:rsidR="00DD1DFA" w:rsidRPr="00DD1DFA">
        <w:rPr>
          <w:noProof/>
        </w:rPr>
        <w:t>Dzi</w:t>
      </w:r>
      <w:r w:rsidR="00045DDF" w:rsidRPr="00DD1DFA">
        <w:rPr>
          <w:noProof/>
        </w:rPr>
        <w:t>enniku Urzędowym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34, niezależnie od tego, czy stosowanie takiej normy jest obowiązkowe do celów stosowania na mocy niniejszego rozporządzenia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4 ust.</w:t>
      </w:r>
      <w:r w:rsidR="00DD1DFA" w:rsidRPr="00DD1DFA">
        <w:rPr>
          <w:noProof/>
        </w:rPr>
        <w:t> </w:t>
      </w:r>
      <w:r w:rsidR="00045DDF" w:rsidRPr="00DD1DFA">
        <w:rPr>
          <w:noProof/>
        </w:rPr>
        <w:t>2</w:t>
      </w:r>
      <w:r w:rsidR="00DD1DFA" w:rsidRPr="00DD1DFA">
        <w:rPr>
          <w:noProof/>
        </w:rPr>
        <w:t xml:space="preserve"> i</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34 ust.</w:t>
      </w:r>
      <w:r w:rsidR="00DD1DFA" w:rsidRPr="00DD1DFA">
        <w:rPr>
          <w:noProof/>
        </w:rPr>
        <w:t> </w:t>
      </w:r>
      <w:r w:rsidR="00045DDF" w:rsidRPr="00DD1DFA">
        <w:rPr>
          <w:noProof/>
        </w:rPr>
        <w:t>2, czy też pozostaje dobrowolne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5 ust.</w:t>
      </w:r>
      <w:r w:rsidR="00DD1DFA" w:rsidRPr="00DD1DFA">
        <w:rPr>
          <w:noProof/>
        </w:rPr>
        <w:t> </w:t>
      </w:r>
      <w:r w:rsidR="00045DDF" w:rsidRPr="00DD1DFA">
        <w:rPr>
          <w:noProof/>
        </w:rPr>
        <w:t>2, art.</w:t>
      </w:r>
      <w:r w:rsidR="00DD1DFA" w:rsidRPr="00DD1DFA">
        <w:rPr>
          <w:noProof/>
        </w:rPr>
        <w:t> </w:t>
      </w:r>
      <w:r w:rsidR="00045DDF" w:rsidRPr="00DD1DFA">
        <w:rPr>
          <w:noProof/>
        </w:rPr>
        <w:t>22 ust.</w:t>
      </w:r>
      <w:r w:rsidR="00DD1DFA" w:rsidRPr="00DD1DFA">
        <w:rPr>
          <w:noProof/>
        </w:rPr>
        <w:t> </w:t>
      </w:r>
      <w:r w:rsidR="00045DDF" w:rsidRPr="00DD1DFA">
        <w:rPr>
          <w:noProof/>
        </w:rPr>
        <w:t>4</w:t>
      </w:r>
      <w:r w:rsidR="00DD1DFA" w:rsidRPr="00DD1DFA">
        <w:rPr>
          <w:noProof/>
        </w:rPr>
        <w:t xml:space="preserve"> i</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34 ust.</w:t>
      </w:r>
      <w:r w:rsidR="00DD1DFA" w:rsidRPr="00DD1DFA">
        <w:rPr>
          <w:noProof/>
        </w:rPr>
        <w:t> </w:t>
      </w:r>
      <w:r w:rsidR="00045DDF" w:rsidRPr="00DD1DFA">
        <w:rPr>
          <w:noProof/>
        </w:rPr>
        <w:t>3;</w:t>
      </w:r>
    </w:p>
    <w:p w14:paraId="1DBFFDC7" w14:textId="59C12C98" w:rsidR="00045DDF" w:rsidRPr="00DD1DFA" w:rsidRDefault="00986673" w:rsidP="00986673">
      <w:pPr>
        <w:pStyle w:val="Point0"/>
        <w:rPr>
          <w:noProof/>
        </w:rPr>
      </w:pPr>
      <w:r w:rsidRPr="00986673">
        <w:rPr>
          <w:noProof/>
        </w:rPr>
        <w:t>48)</w:t>
      </w:r>
      <w:r w:rsidRPr="00986673">
        <w:rPr>
          <w:noProof/>
        </w:rPr>
        <w:tab/>
      </w:r>
      <w:r w:rsidR="00045DDF" w:rsidRPr="00DD1DFA">
        <w:rPr>
          <w:noProof/>
        </w:rPr>
        <w:t>„wyrób podwójnego zastosowania” oznacza wyrób, który zgodnie</w:t>
      </w:r>
      <w:r w:rsidR="00DD1DFA" w:rsidRPr="00DD1DFA">
        <w:rPr>
          <w:noProof/>
        </w:rPr>
        <w:t xml:space="preserve"> z</w:t>
      </w:r>
      <w:r w:rsidR="00DD1DFA">
        <w:rPr>
          <w:noProof/>
        </w:rPr>
        <w:t> </w:t>
      </w:r>
      <w:r w:rsidR="00DD1DFA" w:rsidRPr="00DD1DFA">
        <w:rPr>
          <w:noProof/>
        </w:rPr>
        <w:t>prz</w:t>
      </w:r>
      <w:r w:rsidR="00045DDF" w:rsidRPr="00DD1DFA">
        <w:rPr>
          <w:noProof/>
        </w:rPr>
        <w:t>eznaczeniem określonym przez jego producenta stosuje się jako produkt oraz jako element</w:t>
      </w:r>
      <w:r w:rsidR="00DD1DFA" w:rsidRPr="00DD1DFA">
        <w:rPr>
          <w:noProof/>
        </w:rPr>
        <w:t xml:space="preserve"> o</w:t>
      </w:r>
      <w:r w:rsidR="00DD1DFA">
        <w:rPr>
          <w:noProof/>
        </w:rPr>
        <w:t> </w:t>
      </w:r>
      <w:r w:rsidR="00DD1DFA" w:rsidRPr="00DD1DFA">
        <w:rPr>
          <w:noProof/>
        </w:rPr>
        <w:t>inn</w:t>
      </w:r>
      <w:r w:rsidR="00045DDF" w:rsidRPr="00DD1DFA">
        <w:rPr>
          <w:noProof/>
        </w:rPr>
        <w:t>ym przeznaczeniu, który nie wchodziłby</w:t>
      </w:r>
      <w:r w:rsidR="00DD1DFA" w:rsidRPr="00DD1DFA">
        <w:rPr>
          <w:noProof/>
        </w:rPr>
        <w:t xml:space="preserve"> w</w:t>
      </w:r>
      <w:r w:rsidR="00DD1DFA">
        <w:rPr>
          <w:noProof/>
        </w:rPr>
        <w:t> </w:t>
      </w:r>
      <w:r w:rsidR="00DD1DFA" w:rsidRPr="00DD1DFA">
        <w:rPr>
          <w:noProof/>
        </w:rPr>
        <w:t>zak</w:t>
      </w:r>
      <w:r w:rsidR="00045DDF" w:rsidRPr="00DD1DFA">
        <w:rPr>
          <w:noProof/>
        </w:rPr>
        <w:t>res niniejszego rozporządzenia, gdyby miał to inne zamierzone zastosowanie;</w:t>
      </w:r>
    </w:p>
    <w:p w14:paraId="69776F4A" w14:textId="148FCB67" w:rsidR="00045DDF" w:rsidRPr="00DD1DFA" w:rsidRDefault="00986673" w:rsidP="00986673">
      <w:pPr>
        <w:pStyle w:val="Point0"/>
        <w:rPr>
          <w:noProof/>
        </w:rPr>
      </w:pPr>
      <w:r w:rsidRPr="00986673">
        <w:rPr>
          <w:noProof/>
        </w:rPr>
        <w:t>49)</w:t>
      </w:r>
      <w:r w:rsidRPr="00986673">
        <w:rPr>
          <w:noProof/>
        </w:rPr>
        <w:tab/>
      </w:r>
      <w:r w:rsidR="00045DDF" w:rsidRPr="00DD1DFA">
        <w:rPr>
          <w:noProof/>
        </w:rPr>
        <w:t>„europejska organizacja normalizacyjna” oznacza europejską organizację normalizacyjną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 2 pkt 8 rozporządzenia (UE) 1025/2012;</w:t>
      </w:r>
    </w:p>
    <w:p w14:paraId="25F56C56" w14:textId="487B8AF9" w:rsidR="00045DDF" w:rsidRPr="00DD1DFA" w:rsidRDefault="00986673" w:rsidP="00986673">
      <w:pPr>
        <w:pStyle w:val="Point0"/>
        <w:rPr>
          <w:noProof/>
        </w:rPr>
      </w:pPr>
      <w:r w:rsidRPr="00986673">
        <w:rPr>
          <w:noProof/>
        </w:rPr>
        <w:t>50)</w:t>
      </w:r>
      <w:r w:rsidRPr="00986673">
        <w:rPr>
          <w:noProof/>
        </w:rPr>
        <w:tab/>
      </w:r>
      <w:r w:rsidR="00045DDF" w:rsidRPr="00DD1DFA">
        <w:rPr>
          <w:noProof/>
        </w:rPr>
        <w:t>„europejska ocena techniczna” oznacza udokumentowaną ocenę właściwości użytkowych wyrobu</w:t>
      </w:r>
      <w:r w:rsidR="00DD1DFA" w:rsidRPr="00DD1DFA">
        <w:rPr>
          <w:noProof/>
        </w:rPr>
        <w:t xml:space="preserve"> w</w:t>
      </w:r>
      <w:r w:rsidR="00DD1DFA">
        <w:rPr>
          <w:noProof/>
        </w:rPr>
        <w:t> </w:t>
      </w:r>
      <w:r w:rsidR="00DD1DFA" w:rsidRPr="00DD1DFA">
        <w:rPr>
          <w:noProof/>
        </w:rPr>
        <w:t>odn</w:t>
      </w:r>
      <w:r w:rsidR="00045DDF" w:rsidRPr="00DD1DFA">
        <w:rPr>
          <w:noProof/>
        </w:rPr>
        <w:t>iesieniu do jego zasadniczych charakterystyk zgodnie</w:t>
      </w:r>
      <w:r w:rsidR="00DD1DFA" w:rsidRPr="00DD1DFA">
        <w:rPr>
          <w:noProof/>
        </w:rPr>
        <w:t xml:space="preserve"> z</w:t>
      </w:r>
      <w:r w:rsidR="00DD1DFA">
        <w:rPr>
          <w:noProof/>
        </w:rPr>
        <w:t> </w:t>
      </w:r>
      <w:r w:rsidR="00DD1DFA" w:rsidRPr="00DD1DFA">
        <w:rPr>
          <w:noProof/>
        </w:rPr>
        <w:t>odn</w:t>
      </w:r>
      <w:r w:rsidR="00045DDF" w:rsidRPr="00DD1DFA">
        <w:rPr>
          <w:noProof/>
        </w:rPr>
        <w:t>ośnym europejskim dokumentem oceny;</w:t>
      </w:r>
    </w:p>
    <w:p w14:paraId="5349DBC9" w14:textId="0D86F8A5" w:rsidR="00045DDF" w:rsidRPr="00DD1DFA" w:rsidRDefault="00986673" w:rsidP="00986673">
      <w:pPr>
        <w:pStyle w:val="Point0"/>
        <w:rPr>
          <w:noProof/>
        </w:rPr>
      </w:pPr>
      <w:r w:rsidRPr="00986673">
        <w:rPr>
          <w:noProof/>
        </w:rPr>
        <w:t>51)</w:t>
      </w:r>
      <w:r w:rsidRPr="00986673">
        <w:rPr>
          <w:noProof/>
        </w:rPr>
        <w:tab/>
      </w:r>
      <w:r w:rsidR="00045DDF" w:rsidRPr="00DD1DFA">
        <w:rPr>
          <w:noProof/>
        </w:rPr>
        <w:t>„ekwiwalent pełnego czasu pracy” oznacza siłę roboczą jednej osoby zatrudnionej</w:t>
      </w:r>
      <w:r w:rsidR="00DD1DFA" w:rsidRPr="00DD1DFA">
        <w:rPr>
          <w:noProof/>
        </w:rPr>
        <w:t xml:space="preserve"> w</w:t>
      </w:r>
      <w:r w:rsidR="00DD1DFA">
        <w:rPr>
          <w:noProof/>
        </w:rPr>
        <w:t> </w:t>
      </w:r>
      <w:r w:rsidR="00DD1DFA" w:rsidRPr="00DD1DFA">
        <w:rPr>
          <w:noProof/>
        </w:rPr>
        <w:t>peł</w:t>
      </w:r>
      <w:r w:rsidR="00045DDF" w:rsidRPr="00DD1DFA">
        <w:rPr>
          <w:noProof/>
        </w:rPr>
        <w:t>nym wymiarze czasu pracy, zgodnie</w:t>
      </w:r>
      <w:r w:rsidR="00DD1DFA" w:rsidRPr="00DD1DFA">
        <w:rPr>
          <w:noProof/>
        </w:rPr>
        <w:t xml:space="preserve"> z</w:t>
      </w:r>
      <w:r w:rsidR="00DD1DFA">
        <w:rPr>
          <w:noProof/>
        </w:rPr>
        <w:t> </w:t>
      </w:r>
      <w:r w:rsidR="00DD1DFA" w:rsidRPr="00DD1DFA">
        <w:rPr>
          <w:noProof/>
        </w:rPr>
        <w:t>def</w:t>
      </w:r>
      <w:r w:rsidR="00045DDF" w:rsidRPr="00DD1DFA">
        <w:rPr>
          <w:noProof/>
        </w:rPr>
        <w:t>inicją danego państwa członkowskiego, lub siłę roboczą kilku osób zatrudnionych</w:t>
      </w:r>
      <w:r w:rsidR="00DD1DFA" w:rsidRPr="00DD1DFA">
        <w:rPr>
          <w:noProof/>
        </w:rPr>
        <w:t xml:space="preserve"> w</w:t>
      </w:r>
      <w:r w:rsidR="00DD1DFA">
        <w:rPr>
          <w:noProof/>
        </w:rPr>
        <w:t> </w:t>
      </w:r>
      <w:r w:rsidR="00DD1DFA" w:rsidRPr="00DD1DFA">
        <w:rPr>
          <w:noProof/>
        </w:rPr>
        <w:t>nie</w:t>
      </w:r>
      <w:r w:rsidR="00045DDF" w:rsidRPr="00DD1DFA">
        <w:rPr>
          <w:noProof/>
        </w:rPr>
        <w:t>pełnym wymiarze czasu pracy, pracujących razem taką samą liczbę godzin dziennie lub tygodniowo;</w:t>
      </w:r>
    </w:p>
    <w:p w14:paraId="53817EDE" w14:textId="1D6288B2" w:rsidR="00045DDF" w:rsidRPr="00DD1DFA" w:rsidRDefault="00986673" w:rsidP="00986673">
      <w:pPr>
        <w:pStyle w:val="Point0"/>
        <w:rPr>
          <w:noProof/>
        </w:rPr>
      </w:pPr>
      <w:r w:rsidRPr="00986673">
        <w:rPr>
          <w:noProof/>
        </w:rPr>
        <w:t>52)</w:t>
      </w:r>
      <w:r w:rsidRPr="00986673">
        <w:rPr>
          <w:noProof/>
        </w:rPr>
        <w:tab/>
      </w:r>
      <w:r w:rsidR="00045DDF" w:rsidRPr="00DD1DFA">
        <w:rPr>
          <w:noProof/>
        </w:rPr>
        <w:t>„nieseryjny proces produkcyjny” oznacza proces, który nie jest ani</w:t>
      </w:r>
      <w:r w:rsidR="00DD1DFA" w:rsidRPr="00DD1DFA">
        <w:rPr>
          <w:noProof/>
        </w:rPr>
        <w:t xml:space="preserve"> w</w:t>
      </w:r>
      <w:r w:rsidR="00DD1DFA">
        <w:rPr>
          <w:noProof/>
        </w:rPr>
        <w:t> </w:t>
      </w:r>
      <w:r w:rsidR="00DD1DFA" w:rsidRPr="00DD1DFA">
        <w:rPr>
          <w:noProof/>
        </w:rPr>
        <w:t>prz</w:t>
      </w:r>
      <w:r w:rsidR="00045DDF" w:rsidRPr="00DD1DFA">
        <w:rPr>
          <w:noProof/>
        </w:rPr>
        <w:t>eważającej mierze zautomatyzowany, ani służącym produkcji</w:t>
      </w:r>
      <w:r w:rsidR="00DD1DFA" w:rsidRPr="00DD1DFA">
        <w:rPr>
          <w:noProof/>
        </w:rPr>
        <w:t xml:space="preserve"> z</w:t>
      </w:r>
      <w:r w:rsidR="00DD1DFA">
        <w:rPr>
          <w:noProof/>
        </w:rPr>
        <w:t> </w:t>
      </w:r>
      <w:r w:rsidR="00DD1DFA" w:rsidRPr="00DD1DFA">
        <w:rPr>
          <w:noProof/>
        </w:rPr>
        <w:t>wyk</w:t>
      </w:r>
      <w:r w:rsidR="00045DDF" w:rsidRPr="00DD1DFA">
        <w:rPr>
          <w:noProof/>
        </w:rPr>
        <w:t>orzystaniem technik linii montażowej, ani też powtarzający więcej niż 100 razy</w:t>
      </w:r>
      <w:r w:rsidR="00DD1DFA" w:rsidRPr="00DD1DFA">
        <w:rPr>
          <w:noProof/>
        </w:rPr>
        <w:t xml:space="preserve"> w</w:t>
      </w:r>
      <w:r w:rsidR="00DD1DFA">
        <w:rPr>
          <w:noProof/>
        </w:rPr>
        <w:t> </w:t>
      </w:r>
      <w:r w:rsidR="00DD1DFA" w:rsidRPr="00DD1DFA">
        <w:rPr>
          <w:noProof/>
        </w:rPr>
        <w:t>rok</w:t>
      </w:r>
      <w:r w:rsidR="00045DDF" w:rsidRPr="00DD1DFA">
        <w:rPr>
          <w:noProof/>
        </w:rPr>
        <w:t>u przez dany podmiot gospodarczy lub podmioty gospodarcze należące do tej samej grupy przedsiębiorstw, określonej przez wspólną osobę fizyczną lub prawną sprawującą kontrolę, lub tę samą strukturę organizacyjną;</w:t>
      </w:r>
    </w:p>
    <w:p w14:paraId="29ECE41D" w14:textId="1901A251" w:rsidR="00045DDF" w:rsidRPr="00DD1DFA" w:rsidRDefault="00986673" w:rsidP="00986673">
      <w:pPr>
        <w:pStyle w:val="Point0"/>
        <w:rPr>
          <w:noProof/>
        </w:rPr>
      </w:pPr>
      <w:r w:rsidRPr="00986673">
        <w:rPr>
          <w:noProof/>
        </w:rPr>
        <w:t>53)</w:t>
      </w:r>
      <w:r w:rsidRPr="00986673">
        <w:rPr>
          <w:noProof/>
        </w:rPr>
        <w:tab/>
      </w:r>
      <w:r w:rsidR="00045DDF" w:rsidRPr="00DD1DFA">
        <w:rPr>
          <w:noProof/>
        </w:rPr>
        <w:t>„wycofanie</w:t>
      </w:r>
      <w:r w:rsidR="00DD1DFA" w:rsidRPr="00DD1DFA">
        <w:rPr>
          <w:noProof/>
        </w:rPr>
        <w:t xml:space="preserve"> z</w:t>
      </w:r>
      <w:r w:rsidR="00DD1DFA">
        <w:rPr>
          <w:noProof/>
        </w:rPr>
        <w:t> </w:t>
      </w:r>
      <w:r w:rsidR="00DD1DFA" w:rsidRPr="00DD1DFA">
        <w:rPr>
          <w:noProof/>
        </w:rPr>
        <w:t>obr</w:t>
      </w:r>
      <w:r w:rsidR="00045DDF" w:rsidRPr="00DD1DFA">
        <w:rPr>
          <w:noProof/>
        </w:rPr>
        <w:t>otu” oznacza wycofanie</w:t>
      </w:r>
      <w:r w:rsidR="00DD1DFA" w:rsidRPr="00DD1DFA">
        <w:rPr>
          <w:noProof/>
        </w:rPr>
        <w:t xml:space="preserve"> z</w:t>
      </w:r>
      <w:r w:rsidR="00DD1DFA">
        <w:rPr>
          <w:noProof/>
        </w:rPr>
        <w:t> </w:t>
      </w:r>
      <w:r w:rsidR="00DD1DFA" w:rsidRPr="00DD1DFA">
        <w:rPr>
          <w:noProof/>
        </w:rPr>
        <w:t>obr</w:t>
      </w:r>
      <w:r w:rsidR="00045DDF" w:rsidRPr="00DD1DFA">
        <w:rPr>
          <w:noProof/>
        </w:rPr>
        <w:t>otu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23 rozporządzenia (UE) 2019/1020;</w:t>
      </w:r>
    </w:p>
    <w:p w14:paraId="7FF801BA" w14:textId="5BA36CB8" w:rsidR="00045DDF" w:rsidRPr="00DD1DFA" w:rsidRDefault="00986673" w:rsidP="00986673">
      <w:pPr>
        <w:pStyle w:val="Point0"/>
        <w:rPr>
          <w:noProof/>
        </w:rPr>
      </w:pPr>
      <w:r w:rsidRPr="00986673">
        <w:rPr>
          <w:noProof/>
        </w:rPr>
        <w:t>54)</w:t>
      </w:r>
      <w:r w:rsidRPr="00986673">
        <w:rPr>
          <w:noProof/>
        </w:rPr>
        <w:tab/>
      </w:r>
      <w:r w:rsidR="00045DDF" w:rsidRPr="00DD1DFA">
        <w:rPr>
          <w:noProof/>
        </w:rPr>
        <w:t>„odzyskanie produktu” oznacza odzyskanie produktu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22 rozporządzenia (UE) 2019/1020;</w:t>
      </w:r>
    </w:p>
    <w:p w14:paraId="68672A90" w14:textId="3D5F55BA" w:rsidR="00045DDF" w:rsidRPr="00DD1DFA" w:rsidRDefault="00986673" w:rsidP="00986673">
      <w:pPr>
        <w:pStyle w:val="Point0"/>
        <w:rPr>
          <w:noProof/>
        </w:rPr>
      </w:pPr>
      <w:r w:rsidRPr="00986673">
        <w:rPr>
          <w:noProof/>
        </w:rPr>
        <w:t>55)</w:t>
      </w:r>
      <w:r w:rsidRPr="00986673">
        <w:rPr>
          <w:noProof/>
        </w:rPr>
        <w:tab/>
      </w:r>
      <w:r w:rsidR="000F2CFA" w:rsidRPr="00DD1DFA">
        <w:rPr>
          <w:noProof/>
        </w:rPr>
        <w:t>„internetowa platforma handlowa” oznacza dostawcę usług pośrednich wykorzystującego oprogramowanie,</w:t>
      </w:r>
      <w:r w:rsidR="00DD1DFA" w:rsidRPr="00DD1DFA">
        <w:rPr>
          <w:noProof/>
        </w:rPr>
        <w:t xml:space="preserve"> w</w:t>
      </w:r>
      <w:r w:rsidR="00DD1DFA">
        <w:rPr>
          <w:noProof/>
        </w:rPr>
        <w:t> </w:t>
      </w:r>
      <w:r w:rsidR="00DD1DFA" w:rsidRPr="00DD1DFA">
        <w:rPr>
          <w:noProof/>
        </w:rPr>
        <w:t>tym</w:t>
      </w:r>
      <w:r w:rsidR="000F2CFA" w:rsidRPr="00DD1DFA">
        <w:rPr>
          <w:noProof/>
        </w:rPr>
        <w:t xml:space="preserve"> stronę internetową, jej część lub aplikacje, który umożliwia klientom zawieranie</w:t>
      </w:r>
      <w:r w:rsidR="00DD1DFA" w:rsidRPr="00DD1DFA">
        <w:rPr>
          <w:noProof/>
        </w:rPr>
        <w:t xml:space="preserve"> z</w:t>
      </w:r>
      <w:r w:rsidR="00DD1DFA">
        <w:rPr>
          <w:noProof/>
        </w:rPr>
        <w:t> </w:t>
      </w:r>
      <w:r w:rsidR="00DD1DFA" w:rsidRPr="00DD1DFA">
        <w:rPr>
          <w:noProof/>
        </w:rPr>
        <w:t>pod</w:t>
      </w:r>
      <w:r w:rsidR="000F2CFA" w:rsidRPr="00DD1DFA">
        <w:rPr>
          <w:noProof/>
        </w:rPr>
        <w:t>miotami gospodarczymi umów na odległość dotyczących sprzedaży wyrobów;</w:t>
      </w:r>
    </w:p>
    <w:p w14:paraId="58D8C907" w14:textId="540DAC26" w:rsidR="00045DDF" w:rsidRPr="00DD1DFA" w:rsidRDefault="00986673" w:rsidP="00986673">
      <w:pPr>
        <w:pStyle w:val="Point0"/>
        <w:rPr>
          <w:noProof/>
        </w:rPr>
      </w:pPr>
      <w:r w:rsidRPr="00986673">
        <w:rPr>
          <w:noProof/>
        </w:rPr>
        <w:t>56)</w:t>
      </w:r>
      <w:r w:rsidRPr="00986673">
        <w:rPr>
          <w:noProof/>
        </w:rPr>
        <w:tab/>
      </w:r>
      <w:r w:rsidR="00045DDF" w:rsidRPr="00DD1DFA">
        <w:rPr>
          <w:noProof/>
        </w:rPr>
        <w:t>„interfejs internetowy” oznacza interfejs online zdefiniowany</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15 rozporządzenia (UE) 2019/1020;</w:t>
      </w:r>
    </w:p>
    <w:p w14:paraId="0FA4EEE8" w14:textId="7C35036C" w:rsidR="00045DDF" w:rsidRPr="00DD1DFA" w:rsidRDefault="00986673" w:rsidP="00986673">
      <w:pPr>
        <w:pStyle w:val="Point0"/>
        <w:rPr>
          <w:noProof/>
        </w:rPr>
      </w:pPr>
      <w:r w:rsidRPr="00986673">
        <w:rPr>
          <w:noProof/>
        </w:rPr>
        <w:t>57)</w:t>
      </w:r>
      <w:r w:rsidRPr="00986673">
        <w:rPr>
          <w:noProof/>
        </w:rPr>
        <w:tab/>
      </w:r>
      <w:r w:rsidR="00045DDF" w:rsidRPr="00DD1DFA">
        <w:rPr>
          <w:noProof/>
        </w:rPr>
        <w:t>„broker” oznacza każdą osobę fizyczną lub prawną świadczącą usługę pośrednictwa</w:t>
      </w:r>
      <w:r w:rsidR="00DD1DFA" w:rsidRPr="00DD1DFA">
        <w:rPr>
          <w:noProof/>
        </w:rPr>
        <w:t xml:space="preserve"> w</w:t>
      </w:r>
      <w:r w:rsidR="00DD1DFA">
        <w:rPr>
          <w:noProof/>
        </w:rPr>
        <w:t> </w:t>
      </w:r>
      <w:r w:rsidR="00DD1DFA" w:rsidRPr="00DD1DFA">
        <w:rPr>
          <w:noProof/>
        </w:rPr>
        <w:t>zak</w:t>
      </w:r>
      <w:r w:rsidR="00045DDF" w:rsidRPr="00DD1DFA">
        <w:rPr>
          <w:noProof/>
        </w:rPr>
        <w:t>resie wprowadzania wyrobów do obrotu lub ich bezpośredniego montażu;</w:t>
      </w:r>
    </w:p>
    <w:p w14:paraId="456DFA32" w14:textId="088DBFD0" w:rsidR="00045DDF" w:rsidRPr="00DD1DFA" w:rsidRDefault="00986673" w:rsidP="00986673">
      <w:pPr>
        <w:pStyle w:val="Point0"/>
        <w:rPr>
          <w:noProof/>
        </w:rPr>
      </w:pPr>
      <w:r w:rsidRPr="00986673">
        <w:rPr>
          <w:noProof/>
        </w:rPr>
        <w:t>58)</w:t>
      </w:r>
      <w:r w:rsidRPr="00986673">
        <w:rPr>
          <w:noProof/>
        </w:rPr>
        <w:tab/>
      </w:r>
      <w:r w:rsidR="00045DDF" w:rsidRPr="00DD1DFA">
        <w:rPr>
          <w:noProof/>
        </w:rPr>
        <w:t>„producent OBL” oznacza każdą osobę fizyczną lub prawną niebędącą producentem, która chce sprzedawać wyrób jako własny</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zwi</w:t>
      </w:r>
      <w:r w:rsidR="00045DDF" w:rsidRPr="00DD1DFA">
        <w:rPr>
          <w:noProof/>
        </w:rPr>
        <w:t>ązku</w:t>
      </w:r>
      <w:r w:rsidR="00DD1DFA" w:rsidRPr="00DD1DFA">
        <w:rPr>
          <w:noProof/>
        </w:rPr>
        <w:t xml:space="preserve"> z</w:t>
      </w:r>
      <w:r w:rsidR="00DD1DFA">
        <w:rPr>
          <w:noProof/>
        </w:rPr>
        <w:t> </w:t>
      </w:r>
      <w:r w:rsidR="00DD1DFA" w:rsidRPr="00DD1DFA">
        <w:rPr>
          <w:noProof/>
        </w:rPr>
        <w:t>tym</w:t>
      </w:r>
      <w:r w:rsidR="00045DDF" w:rsidRPr="00DD1DFA">
        <w:rPr>
          <w:noProof/>
        </w:rPr>
        <w:t xml:space="preserve"> umieszcza swoją nazwę, znak towarowy lub etykietę oprócz obowiązkowych oznakowań innych podmiotów gospodarczych;</w:t>
      </w:r>
    </w:p>
    <w:p w14:paraId="272427AF" w14:textId="34BD6BAD" w:rsidR="00045DDF" w:rsidRPr="00DD1DFA" w:rsidRDefault="00986673" w:rsidP="00986673">
      <w:pPr>
        <w:pStyle w:val="Point0"/>
        <w:rPr>
          <w:noProof/>
        </w:rPr>
      </w:pPr>
      <w:r w:rsidRPr="00986673">
        <w:rPr>
          <w:noProof/>
        </w:rPr>
        <w:t>59)</w:t>
      </w:r>
      <w:r w:rsidRPr="00986673">
        <w:rPr>
          <w:noProof/>
        </w:rPr>
        <w:tab/>
      </w:r>
      <w:r w:rsidR="00045DDF" w:rsidRPr="00DD1DFA">
        <w:rPr>
          <w:noProof/>
        </w:rPr>
        <w:t>„dostawca” oznacza każdą osobę fizyczną lub prawną dostarczającą surowce lub produkty pośrednie producentom lub innym osobom dostarczającym surowce lub produkty pośrednie producentom;</w:t>
      </w:r>
    </w:p>
    <w:p w14:paraId="31131E0C" w14:textId="22BD9533" w:rsidR="00045DDF" w:rsidRPr="00DD1DFA" w:rsidRDefault="00986673" w:rsidP="00986673">
      <w:pPr>
        <w:pStyle w:val="Point0"/>
        <w:rPr>
          <w:noProof/>
        </w:rPr>
      </w:pPr>
      <w:r w:rsidRPr="00986673">
        <w:rPr>
          <w:noProof/>
        </w:rPr>
        <w:t>60)</w:t>
      </w:r>
      <w:r w:rsidRPr="00986673">
        <w:rPr>
          <w:noProof/>
        </w:rPr>
        <w:tab/>
      </w:r>
      <w:r w:rsidR="00045DDF" w:rsidRPr="00DD1DFA">
        <w:rPr>
          <w:noProof/>
        </w:rPr>
        <w:t>„usługodawca” oznacza każdą osobę fizyczną lub prawną świadczącą usługi na rzecz producenta lub dostawcy części kluczowej, pod warunkiem, że usługi te są związane</w:t>
      </w:r>
      <w:r w:rsidR="00DD1DFA" w:rsidRPr="00DD1DFA">
        <w:rPr>
          <w:noProof/>
        </w:rPr>
        <w:t xml:space="preserve"> z</w:t>
      </w:r>
      <w:r w:rsidR="00DD1DFA">
        <w:rPr>
          <w:noProof/>
        </w:rPr>
        <w:t> </w:t>
      </w:r>
      <w:r w:rsidR="00DD1DFA" w:rsidRPr="00DD1DFA">
        <w:rPr>
          <w:noProof/>
        </w:rPr>
        <w:t>wyt</w:t>
      </w:r>
      <w:r w:rsidR="00045DDF" w:rsidRPr="00DD1DFA">
        <w:rPr>
          <w:noProof/>
        </w:rPr>
        <w:t>warzaniem wyrobów,</w:t>
      </w:r>
      <w:r w:rsidR="00DD1DFA" w:rsidRPr="00DD1DFA">
        <w:rPr>
          <w:noProof/>
        </w:rPr>
        <w:t xml:space="preserve"> w</w:t>
      </w:r>
      <w:r w:rsidR="00DD1DFA">
        <w:rPr>
          <w:noProof/>
        </w:rPr>
        <w:t> </w:t>
      </w:r>
      <w:r w:rsidR="00DD1DFA" w:rsidRPr="00DD1DFA">
        <w:rPr>
          <w:noProof/>
        </w:rPr>
        <w:t>tym z</w:t>
      </w:r>
      <w:r w:rsidR="00DD1DFA">
        <w:rPr>
          <w:noProof/>
        </w:rPr>
        <w:t> </w:t>
      </w:r>
      <w:r w:rsidR="00DD1DFA" w:rsidRPr="00DD1DFA">
        <w:rPr>
          <w:noProof/>
        </w:rPr>
        <w:t>ich</w:t>
      </w:r>
      <w:r w:rsidR="00045DDF" w:rsidRPr="00DD1DFA">
        <w:rPr>
          <w:noProof/>
        </w:rPr>
        <w:t xml:space="preserve"> projektowaniem;</w:t>
      </w:r>
    </w:p>
    <w:p w14:paraId="4574720C" w14:textId="28FB9FEC" w:rsidR="00045DDF" w:rsidRPr="00DD1DFA" w:rsidRDefault="00986673" w:rsidP="00986673">
      <w:pPr>
        <w:pStyle w:val="Point0"/>
        <w:rPr>
          <w:noProof/>
        </w:rPr>
      </w:pPr>
      <w:r w:rsidRPr="00986673">
        <w:rPr>
          <w:noProof/>
        </w:rPr>
        <w:t>61)</w:t>
      </w:r>
      <w:r w:rsidRPr="00986673">
        <w:rPr>
          <w:noProof/>
        </w:rPr>
        <w:tab/>
      </w:r>
      <w:r w:rsidR="00045DDF" w:rsidRPr="00DD1DFA">
        <w:rPr>
          <w:noProof/>
        </w:rPr>
        <w:t>„akredytacja” oznacza akredytację określoną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2 pkt</w:t>
      </w:r>
      <w:r w:rsidR="00DD1DFA" w:rsidRPr="00DD1DFA">
        <w:rPr>
          <w:noProof/>
        </w:rPr>
        <w:t> </w:t>
      </w:r>
      <w:r w:rsidR="00045DDF" w:rsidRPr="00DD1DFA">
        <w:rPr>
          <w:noProof/>
        </w:rPr>
        <w:t>10 rozporządzenia (WE) nr</w:t>
      </w:r>
      <w:r w:rsidR="00DD1DFA" w:rsidRPr="00DD1DFA">
        <w:rPr>
          <w:noProof/>
        </w:rPr>
        <w:t> </w:t>
      </w:r>
      <w:r w:rsidR="00045DDF" w:rsidRPr="00DD1DFA">
        <w:rPr>
          <w:noProof/>
        </w:rPr>
        <w:t>765/2008;</w:t>
      </w:r>
    </w:p>
    <w:p w14:paraId="1F481F56" w14:textId="6DFDE358" w:rsidR="00045DDF" w:rsidRPr="00DD1DFA" w:rsidRDefault="00986673" w:rsidP="00986673">
      <w:pPr>
        <w:pStyle w:val="Point0"/>
        <w:rPr>
          <w:noProof/>
        </w:rPr>
      </w:pPr>
      <w:r w:rsidRPr="00986673">
        <w:rPr>
          <w:noProof/>
        </w:rPr>
        <w:t>62)</w:t>
      </w:r>
      <w:r w:rsidRPr="00986673">
        <w:rPr>
          <w:noProof/>
        </w:rPr>
        <w:tab/>
      </w:r>
      <w:r w:rsidR="00045DDF" w:rsidRPr="00DD1DFA">
        <w:rPr>
          <w:noProof/>
        </w:rPr>
        <w:t>„organ nadzoru rynku” oznacza organ nadzoru rynku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4 rozporządzenia (UE) 2019/1020;</w:t>
      </w:r>
    </w:p>
    <w:p w14:paraId="2CE6EC14" w14:textId="422D8881" w:rsidR="00045DDF" w:rsidRPr="00DD1DFA" w:rsidRDefault="00986673" w:rsidP="00986673">
      <w:pPr>
        <w:pStyle w:val="Point0"/>
        <w:rPr>
          <w:noProof/>
        </w:rPr>
      </w:pPr>
      <w:r w:rsidRPr="00986673">
        <w:rPr>
          <w:noProof/>
        </w:rPr>
        <w:t>63)</w:t>
      </w:r>
      <w:r w:rsidRPr="00986673">
        <w:rPr>
          <w:noProof/>
        </w:rPr>
        <w:tab/>
      </w:r>
      <w:r w:rsidR="00045DDF" w:rsidRPr="00DD1DFA">
        <w:rPr>
          <w:noProof/>
        </w:rPr>
        <w:t>„cykl życia” oznacza kolejne powiązane ze sobą etapy cyklu życia wyrobu, od nabycia surowca lub jego pozyskania</w:t>
      </w:r>
      <w:r w:rsidR="00DD1DFA" w:rsidRPr="00DD1DFA">
        <w:rPr>
          <w:noProof/>
        </w:rPr>
        <w:t xml:space="preserve"> z</w:t>
      </w:r>
      <w:r w:rsidR="00DD1DFA">
        <w:rPr>
          <w:noProof/>
        </w:rPr>
        <w:t> </w:t>
      </w:r>
      <w:r w:rsidR="00DD1DFA" w:rsidRPr="00DD1DFA">
        <w:rPr>
          <w:noProof/>
        </w:rPr>
        <w:t>zas</w:t>
      </w:r>
      <w:r w:rsidR="00045DDF" w:rsidRPr="00DD1DFA">
        <w:rPr>
          <w:noProof/>
        </w:rPr>
        <w:t>obów naturalnych, poprzez produkcję, demontaż, ewentualne ponowne użycie</w:t>
      </w:r>
      <w:r w:rsidR="00DD1DFA" w:rsidRPr="00DD1DFA">
        <w:rPr>
          <w:noProof/>
        </w:rPr>
        <w:t xml:space="preserve"> z</w:t>
      </w:r>
      <w:r w:rsidR="00DD1DFA">
        <w:rPr>
          <w:noProof/>
        </w:rPr>
        <w:t> </w:t>
      </w:r>
      <w:r w:rsidR="00DD1DFA" w:rsidRPr="00DD1DFA">
        <w:rPr>
          <w:noProof/>
        </w:rPr>
        <w:t>upr</w:t>
      </w:r>
      <w:r w:rsidR="00045DDF" w:rsidRPr="00DD1DFA">
        <w:rPr>
          <w:noProof/>
        </w:rPr>
        <w:t>zednią regeneracją lub bez, do ostatecznego usunięcia wyrobu</w:t>
      </w:r>
      <w:r w:rsidR="004B5A11" w:rsidRPr="00DD1DFA">
        <w:rPr>
          <w:noProof/>
        </w:rPr>
        <w:t>;</w:t>
      </w:r>
    </w:p>
    <w:p w14:paraId="31FB79D5" w14:textId="1450CAA1" w:rsidR="00045DDF" w:rsidRPr="00DD1DFA" w:rsidRDefault="00986673" w:rsidP="00986673">
      <w:pPr>
        <w:pStyle w:val="Point0"/>
        <w:rPr>
          <w:noProof/>
        </w:rPr>
      </w:pPr>
      <w:r w:rsidRPr="00986673">
        <w:rPr>
          <w:noProof/>
        </w:rPr>
        <w:t>64)</w:t>
      </w:r>
      <w:r w:rsidRPr="00986673">
        <w:rPr>
          <w:noProof/>
        </w:rPr>
        <w:tab/>
      </w:r>
      <w:r w:rsidR="00045DDF" w:rsidRPr="00DD1DFA">
        <w:rPr>
          <w:noProof/>
        </w:rPr>
        <w:t>„ponowne użycie” oznacza jakikolwiek proces,</w:t>
      </w:r>
      <w:r w:rsidR="00DD1DFA" w:rsidRPr="00DD1DFA">
        <w:rPr>
          <w:noProof/>
        </w:rPr>
        <w:t xml:space="preserve"> w</w:t>
      </w:r>
      <w:r w:rsidR="00DD1DFA">
        <w:rPr>
          <w:noProof/>
        </w:rPr>
        <w:t> </w:t>
      </w:r>
      <w:r w:rsidR="00DD1DFA" w:rsidRPr="00DD1DFA">
        <w:rPr>
          <w:noProof/>
        </w:rPr>
        <w:t>wyn</w:t>
      </w:r>
      <w:r w:rsidR="00045DDF" w:rsidRPr="00DD1DFA">
        <w:rPr>
          <w:noProof/>
        </w:rPr>
        <w:t>iku którego wyrób lub jego części składowe, po zakończeniu swojego pierwszego użycia, są wykorzystywane do tego samego celu, do którego były przeznaczone;</w:t>
      </w:r>
    </w:p>
    <w:p w14:paraId="177DAD8F" w14:textId="0272F444" w:rsidR="00045DDF" w:rsidRPr="00DD1DFA" w:rsidRDefault="00986673" w:rsidP="00986673">
      <w:pPr>
        <w:pStyle w:val="Point0"/>
        <w:rPr>
          <w:noProof/>
        </w:rPr>
      </w:pPr>
      <w:r w:rsidRPr="00986673">
        <w:rPr>
          <w:noProof/>
        </w:rPr>
        <w:t>65)</w:t>
      </w:r>
      <w:r w:rsidRPr="00986673">
        <w:rPr>
          <w:noProof/>
        </w:rPr>
        <w:tab/>
      </w:r>
      <w:r w:rsidR="00045DDF" w:rsidRPr="00DD1DFA">
        <w:rPr>
          <w:noProof/>
        </w:rPr>
        <w:t>„właściwy organ” oznacza organ nadzoru rynku wyznaczony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69 ust.</w:t>
      </w:r>
      <w:r w:rsidR="00DD1DFA" w:rsidRPr="00DD1DFA">
        <w:rPr>
          <w:noProof/>
        </w:rPr>
        <w:t> </w:t>
      </w:r>
      <w:r w:rsidR="00045DDF" w:rsidRPr="00DD1DFA">
        <w:rPr>
          <w:noProof/>
        </w:rPr>
        <w:t>1;</w:t>
      </w:r>
    </w:p>
    <w:p w14:paraId="4B77FDDF" w14:textId="1ECB0A67" w:rsidR="00045DDF" w:rsidRPr="00DD1DFA" w:rsidRDefault="00986673" w:rsidP="00986673">
      <w:pPr>
        <w:pStyle w:val="Point0"/>
        <w:rPr>
          <w:noProof/>
        </w:rPr>
      </w:pPr>
      <w:r w:rsidRPr="00986673">
        <w:rPr>
          <w:noProof/>
        </w:rPr>
        <w:t>66)</w:t>
      </w:r>
      <w:r w:rsidRPr="00986673">
        <w:rPr>
          <w:noProof/>
        </w:rPr>
        <w:tab/>
      </w:r>
      <w:r w:rsidR="00045DDF" w:rsidRPr="00DD1DFA">
        <w:rPr>
          <w:noProof/>
        </w:rPr>
        <w:t>„właściwy organ krajowy” oznacza organ nadzoru rynku wyznaczony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69 ust.</w:t>
      </w:r>
      <w:r w:rsidR="00DD1DFA" w:rsidRPr="00DD1DFA">
        <w:rPr>
          <w:noProof/>
        </w:rPr>
        <w:t> </w:t>
      </w:r>
      <w:r w:rsidR="00045DDF" w:rsidRPr="00DD1DFA">
        <w:rPr>
          <w:noProof/>
        </w:rPr>
        <w:t>2;</w:t>
      </w:r>
    </w:p>
    <w:p w14:paraId="55533352" w14:textId="35363441" w:rsidR="00045DDF" w:rsidRPr="00DD1DFA" w:rsidRDefault="00986673" w:rsidP="00986673">
      <w:pPr>
        <w:pStyle w:val="Point0"/>
        <w:rPr>
          <w:noProof/>
        </w:rPr>
      </w:pPr>
      <w:r w:rsidRPr="00986673">
        <w:rPr>
          <w:noProof/>
        </w:rPr>
        <w:t>67)</w:t>
      </w:r>
      <w:r w:rsidRPr="00986673">
        <w:rPr>
          <w:noProof/>
        </w:rPr>
        <w:tab/>
      </w:r>
      <w:r w:rsidR="00045DDF" w:rsidRPr="00DD1DFA">
        <w:rPr>
          <w:noProof/>
        </w:rPr>
        <w:t>„organ notyfikujący” oznacza jeden organ administracji publicznej odpowiedzialny za wyznaczanie jednostek notyfikowanych</w:t>
      </w:r>
      <w:r w:rsidR="00DD1DFA" w:rsidRPr="00DD1DFA">
        <w:rPr>
          <w:noProof/>
        </w:rPr>
        <w:t xml:space="preserve"> i</w:t>
      </w:r>
      <w:r w:rsidR="00DD1DFA">
        <w:rPr>
          <w:noProof/>
        </w:rPr>
        <w:t> </w:t>
      </w:r>
      <w:r w:rsidR="00DD1DFA" w:rsidRPr="00DD1DFA">
        <w:rPr>
          <w:noProof/>
        </w:rPr>
        <w:t>spr</w:t>
      </w:r>
      <w:r w:rsidR="00045DDF" w:rsidRPr="00DD1DFA">
        <w:rPr>
          <w:noProof/>
        </w:rPr>
        <w:t>awowanie nad nimi nadzoru, wyznaczony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48,</w:t>
      </w:r>
      <w:r w:rsidR="00DD1DFA" w:rsidRPr="00DD1DFA">
        <w:rPr>
          <w:noProof/>
        </w:rPr>
        <w:t xml:space="preserve"> o</w:t>
      </w:r>
      <w:r w:rsidR="00DD1DFA">
        <w:rPr>
          <w:noProof/>
        </w:rPr>
        <w:t> </w:t>
      </w:r>
      <w:r w:rsidR="00DD1DFA" w:rsidRPr="00DD1DFA">
        <w:rPr>
          <w:noProof/>
        </w:rPr>
        <w:t>ile</w:t>
      </w:r>
      <w:r w:rsidR="00045DDF" w:rsidRPr="00DD1DFA">
        <w:rPr>
          <w:noProof/>
        </w:rPr>
        <w:t xml:space="preserve"> nie określono inaczej</w:t>
      </w:r>
      <w:r w:rsidR="00DD1DFA" w:rsidRPr="00DD1DFA">
        <w:rPr>
          <w:noProof/>
        </w:rPr>
        <w:t xml:space="preserve"> w</w:t>
      </w:r>
      <w:r w:rsidR="00DD1DFA">
        <w:rPr>
          <w:noProof/>
        </w:rPr>
        <w:t> </w:t>
      </w:r>
      <w:r w:rsidR="00DD1DFA" w:rsidRPr="00DD1DFA">
        <w:rPr>
          <w:noProof/>
        </w:rPr>
        <w:t>odp</w:t>
      </w:r>
      <w:r w:rsidR="00045DDF" w:rsidRPr="00DD1DFA">
        <w:rPr>
          <w:noProof/>
        </w:rPr>
        <w:t>owiednich przepisach: wyłącznie</w:t>
      </w:r>
      <w:r w:rsidR="00DD1DFA" w:rsidRPr="00DD1DFA">
        <w:rPr>
          <w:noProof/>
        </w:rPr>
        <w:t xml:space="preserve"> w</w:t>
      </w:r>
      <w:r w:rsidR="00DD1DFA">
        <w:rPr>
          <w:noProof/>
        </w:rPr>
        <w:t> </w:t>
      </w:r>
      <w:r w:rsidR="00DD1DFA" w:rsidRPr="00DD1DFA">
        <w:rPr>
          <w:noProof/>
        </w:rPr>
        <w:t>pań</w:t>
      </w:r>
      <w:r w:rsidR="00045DDF" w:rsidRPr="00DD1DFA">
        <w:rPr>
          <w:noProof/>
        </w:rPr>
        <w:t>stwie członkowskim,</w:t>
      </w:r>
      <w:r w:rsidR="00DD1DFA" w:rsidRPr="00DD1DFA">
        <w:rPr>
          <w:noProof/>
        </w:rPr>
        <w:t xml:space="preserve"> w</w:t>
      </w:r>
      <w:r w:rsidR="00DD1DFA">
        <w:rPr>
          <w:noProof/>
        </w:rPr>
        <w:t> </w:t>
      </w:r>
      <w:r w:rsidR="00DD1DFA" w:rsidRPr="00DD1DFA">
        <w:rPr>
          <w:noProof/>
        </w:rPr>
        <w:t>któ</w:t>
      </w:r>
      <w:r w:rsidR="00045DDF" w:rsidRPr="00DD1DFA">
        <w:rPr>
          <w:noProof/>
        </w:rPr>
        <w:t>rym dana jednostka notyfikowana ma siedzibę;</w:t>
      </w:r>
    </w:p>
    <w:p w14:paraId="73E4AC6C" w14:textId="1CB41E7D" w:rsidR="00045DDF" w:rsidRPr="00DD1DFA" w:rsidRDefault="00986673" w:rsidP="00986673">
      <w:pPr>
        <w:pStyle w:val="Point0"/>
        <w:rPr>
          <w:noProof/>
        </w:rPr>
      </w:pPr>
      <w:r w:rsidRPr="00986673">
        <w:rPr>
          <w:noProof/>
        </w:rPr>
        <w:t>68)</w:t>
      </w:r>
      <w:r w:rsidRPr="00986673">
        <w:rPr>
          <w:noProof/>
        </w:rPr>
        <w:tab/>
      </w:r>
      <w:r w:rsidR="00045DDF" w:rsidRPr="00DD1DFA">
        <w:rPr>
          <w:noProof/>
        </w:rPr>
        <w:t>„organ wyznaczający” oznacza jeden organ administracji publicznej odpowiedzialny za wyznaczanie jednostek ds. oceny technicznej</w:t>
      </w:r>
      <w:r w:rsidR="00DD1DFA" w:rsidRPr="00DD1DFA">
        <w:rPr>
          <w:noProof/>
        </w:rPr>
        <w:t xml:space="preserve"> i</w:t>
      </w:r>
      <w:r w:rsidR="00DD1DFA">
        <w:rPr>
          <w:noProof/>
        </w:rPr>
        <w:t> </w:t>
      </w:r>
      <w:r w:rsidR="00DD1DFA" w:rsidRPr="00DD1DFA">
        <w:rPr>
          <w:noProof/>
        </w:rPr>
        <w:t>nad</w:t>
      </w:r>
      <w:r w:rsidR="00045DDF" w:rsidRPr="00DD1DFA">
        <w:rPr>
          <w:noProof/>
        </w:rPr>
        <w:t>zór nad nimi, wyznaczony zgodnie</w:t>
      </w:r>
      <w:r w:rsidR="00DD1DFA" w:rsidRPr="00DD1DFA">
        <w:rPr>
          <w:noProof/>
        </w:rPr>
        <w:t xml:space="preserve"> z</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43,</w:t>
      </w:r>
      <w:r w:rsidR="00DD1DFA" w:rsidRPr="00DD1DFA">
        <w:rPr>
          <w:noProof/>
        </w:rPr>
        <w:t xml:space="preserve"> o</w:t>
      </w:r>
      <w:r w:rsidR="00DD1DFA">
        <w:rPr>
          <w:noProof/>
        </w:rPr>
        <w:t> </w:t>
      </w:r>
      <w:r w:rsidR="00DD1DFA" w:rsidRPr="00DD1DFA">
        <w:rPr>
          <w:noProof/>
        </w:rPr>
        <w:t>ile</w:t>
      </w:r>
      <w:r w:rsidR="00045DDF" w:rsidRPr="00DD1DFA">
        <w:rPr>
          <w:noProof/>
        </w:rPr>
        <w:t xml:space="preserve"> nie określono inaczej</w:t>
      </w:r>
      <w:r w:rsidR="00DD1DFA" w:rsidRPr="00DD1DFA">
        <w:rPr>
          <w:noProof/>
        </w:rPr>
        <w:t xml:space="preserve"> w</w:t>
      </w:r>
      <w:r w:rsidR="00DD1DFA">
        <w:rPr>
          <w:noProof/>
        </w:rPr>
        <w:t> </w:t>
      </w:r>
      <w:r w:rsidR="00DD1DFA" w:rsidRPr="00DD1DFA">
        <w:rPr>
          <w:noProof/>
        </w:rPr>
        <w:t>odp</w:t>
      </w:r>
      <w:r w:rsidR="00045DDF" w:rsidRPr="00DD1DFA">
        <w:rPr>
          <w:noProof/>
        </w:rPr>
        <w:t>owiednich przepisach: wyłącznie</w:t>
      </w:r>
      <w:r w:rsidR="00DD1DFA" w:rsidRPr="00DD1DFA">
        <w:rPr>
          <w:noProof/>
        </w:rPr>
        <w:t xml:space="preserve"> w</w:t>
      </w:r>
      <w:r w:rsidR="00DD1DFA">
        <w:rPr>
          <w:noProof/>
        </w:rPr>
        <w:t> </w:t>
      </w:r>
      <w:r w:rsidR="00DD1DFA" w:rsidRPr="00DD1DFA">
        <w:rPr>
          <w:noProof/>
        </w:rPr>
        <w:t>pań</w:t>
      </w:r>
      <w:r w:rsidR="00045DDF" w:rsidRPr="00DD1DFA">
        <w:rPr>
          <w:noProof/>
        </w:rPr>
        <w:t>stwie członkowskim,</w:t>
      </w:r>
      <w:r w:rsidR="00DD1DFA" w:rsidRPr="00DD1DFA">
        <w:rPr>
          <w:noProof/>
        </w:rPr>
        <w:t xml:space="preserve"> w</w:t>
      </w:r>
      <w:r w:rsidR="00DD1DFA">
        <w:rPr>
          <w:noProof/>
        </w:rPr>
        <w:t> </w:t>
      </w:r>
      <w:r w:rsidR="00DD1DFA" w:rsidRPr="00DD1DFA">
        <w:rPr>
          <w:noProof/>
        </w:rPr>
        <w:t>któ</w:t>
      </w:r>
      <w:r w:rsidR="00045DDF" w:rsidRPr="00DD1DFA">
        <w:rPr>
          <w:noProof/>
        </w:rPr>
        <w:t>rym dana jednostka ds. oceny technicznej ma siedzibę;</w:t>
      </w:r>
    </w:p>
    <w:p w14:paraId="26B7B10F" w14:textId="11C7A232" w:rsidR="00045DDF" w:rsidRPr="00DD1DFA" w:rsidRDefault="00986673" w:rsidP="00986673">
      <w:pPr>
        <w:pStyle w:val="Point0"/>
        <w:rPr>
          <w:noProof/>
        </w:rPr>
      </w:pPr>
      <w:r w:rsidRPr="00986673">
        <w:rPr>
          <w:noProof/>
        </w:rPr>
        <w:t>69)</w:t>
      </w:r>
      <w:r w:rsidRPr="00986673">
        <w:rPr>
          <w:noProof/>
        </w:rPr>
        <w:tab/>
      </w:r>
      <w:r w:rsidR="00045DDF" w:rsidRPr="00DD1DFA">
        <w:rPr>
          <w:noProof/>
        </w:rPr>
        <w:t>„organ” oznacza Komisję Europejską, jej agencje oraz każdy organ notyfikujący, organ wyznaczający lub organ nadzoru rynku,</w:t>
      </w:r>
      <w:r w:rsidR="00DD1DFA" w:rsidRPr="00DD1DFA">
        <w:rPr>
          <w:noProof/>
        </w:rPr>
        <w:t xml:space="preserve"> o</w:t>
      </w:r>
      <w:r w:rsidR="00DD1DFA">
        <w:rPr>
          <w:noProof/>
        </w:rPr>
        <w:t> </w:t>
      </w:r>
      <w:r w:rsidR="00DD1DFA" w:rsidRPr="00DD1DFA">
        <w:rPr>
          <w:noProof/>
        </w:rPr>
        <w:t>ile</w:t>
      </w:r>
      <w:r w:rsidR="00045DDF" w:rsidRPr="00DD1DFA">
        <w:rPr>
          <w:noProof/>
        </w:rPr>
        <w:t xml:space="preserve"> nie określono inaczej</w:t>
      </w:r>
      <w:r w:rsidR="00DD1DFA" w:rsidRPr="00DD1DFA">
        <w:rPr>
          <w:noProof/>
        </w:rPr>
        <w:t xml:space="preserve"> w</w:t>
      </w:r>
      <w:r w:rsidR="00DD1DFA">
        <w:rPr>
          <w:noProof/>
        </w:rPr>
        <w:t> </w:t>
      </w:r>
      <w:r w:rsidR="00DD1DFA" w:rsidRPr="00DD1DFA">
        <w:rPr>
          <w:noProof/>
        </w:rPr>
        <w:t>odp</w:t>
      </w:r>
      <w:r w:rsidR="00045DDF" w:rsidRPr="00DD1DFA">
        <w:rPr>
          <w:noProof/>
        </w:rPr>
        <w:t>owiednich przepisach: niezależnie od tego,</w:t>
      </w:r>
      <w:r w:rsidR="00DD1DFA" w:rsidRPr="00DD1DFA">
        <w:rPr>
          <w:noProof/>
        </w:rPr>
        <w:t xml:space="preserve"> w</w:t>
      </w:r>
      <w:r w:rsidR="00DD1DFA">
        <w:rPr>
          <w:noProof/>
        </w:rPr>
        <w:t> </w:t>
      </w:r>
      <w:r w:rsidR="00DD1DFA" w:rsidRPr="00DD1DFA">
        <w:rPr>
          <w:noProof/>
        </w:rPr>
        <w:t>któ</w:t>
      </w:r>
      <w:r w:rsidR="00045DDF" w:rsidRPr="00DD1DFA">
        <w:rPr>
          <w:noProof/>
        </w:rPr>
        <w:t>rym państwie członkowskim ma on siedzibę;</w:t>
      </w:r>
    </w:p>
    <w:p w14:paraId="70104FCF" w14:textId="7B02E86B" w:rsidR="00045DDF" w:rsidRPr="00DD1DFA" w:rsidRDefault="00986673" w:rsidP="00986673">
      <w:pPr>
        <w:pStyle w:val="Point0"/>
        <w:rPr>
          <w:noProof/>
        </w:rPr>
      </w:pPr>
      <w:r w:rsidRPr="00986673">
        <w:rPr>
          <w:noProof/>
        </w:rPr>
        <w:t>70)</w:t>
      </w:r>
      <w:r w:rsidRPr="00986673">
        <w:rPr>
          <w:noProof/>
        </w:rPr>
        <w:tab/>
      </w:r>
      <w:r w:rsidR="00045DDF" w:rsidRPr="00DD1DFA">
        <w:rPr>
          <w:noProof/>
        </w:rPr>
        <w:t>„wyrób stwarzający ryzyko” oznacza wyrób, który zawsze, podczas całego cyklu życia</w:t>
      </w:r>
      <w:r w:rsidR="00DD1DFA" w:rsidRPr="00DD1DFA">
        <w:rPr>
          <w:noProof/>
        </w:rPr>
        <w:t xml:space="preserve"> i</w:t>
      </w:r>
      <w:r w:rsidR="00DD1DFA">
        <w:rPr>
          <w:noProof/>
        </w:rPr>
        <w:t> </w:t>
      </w:r>
      <w:r w:rsidR="00DD1DFA" w:rsidRPr="00DD1DFA">
        <w:rPr>
          <w:noProof/>
        </w:rPr>
        <w:t>naw</w:t>
      </w:r>
      <w:r w:rsidR="00045DDF" w:rsidRPr="00DD1DFA">
        <w:rPr>
          <w:noProof/>
        </w:rPr>
        <w:t>et wtedy, gdy powstaje pośrednio, może negatywnie oddziaływać na zdrowie</w:t>
      </w:r>
      <w:r w:rsidR="00DD1DFA" w:rsidRPr="00DD1DFA">
        <w:rPr>
          <w:noProof/>
        </w:rPr>
        <w:t xml:space="preserve"> i</w:t>
      </w:r>
      <w:r w:rsidR="00DD1DFA">
        <w:rPr>
          <w:noProof/>
        </w:rPr>
        <w:t> </w:t>
      </w:r>
      <w:r w:rsidR="00DD1DFA" w:rsidRPr="00DD1DFA">
        <w:rPr>
          <w:noProof/>
        </w:rPr>
        <w:t>bez</w:t>
      </w:r>
      <w:r w:rsidR="00045DDF" w:rsidRPr="00DD1DFA">
        <w:rPr>
          <w:noProof/>
        </w:rPr>
        <w:t>pieczeństwo osób, środowisko lub na spełnianie podstawowych wymagań dotyczących obiektów budowlanych, gdy jest wbudowany w te obiekty,</w:t>
      </w:r>
      <w:r w:rsidR="00DD1DFA" w:rsidRPr="00DD1DFA">
        <w:rPr>
          <w:noProof/>
        </w:rPr>
        <w:t xml:space="preserve"> w</w:t>
      </w:r>
      <w:r w:rsidR="00DD1DFA">
        <w:rPr>
          <w:noProof/>
        </w:rPr>
        <w:t> </w:t>
      </w:r>
      <w:r w:rsidR="00DD1DFA" w:rsidRPr="00DD1DFA">
        <w:rPr>
          <w:noProof/>
        </w:rPr>
        <w:t>sto</w:t>
      </w:r>
      <w:r w:rsidR="00045DDF" w:rsidRPr="00DD1DFA">
        <w:rPr>
          <w:noProof/>
        </w:rPr>
        <w:t>pniu, który przy uwzględnieniu stanu techniki wykracza poza wpływ uważany za uzasadniony</w:t>
      </w:r>
      <w:r w:rsidR="00DD1DFA" w:rsidRPr="00DD1DFA">
        <w:rPr>
          <w:noProof/>
        </w:rPr>
        <w:t xml:space="preserve"> i</w:t>
      </w:r>
      <w:r w:rsidR="00DD1DFA">
        <w:rPr>
          <w:noProof/>
        </w:rPr>
        <w:t> </w:t>
      </w:r>
      <w:r w:rsidR="00DD1DFA" w:rsidRPr="00DD1DFA">
        <w:rPr>
          <w:noProof/>
        </w:rPr>
        <w:t>dop</w:t>
      </w:r>
      <w:r w:rsidR="00045DDF" w:rsidRPr="00DD1DFA">
        <w:rPr>
          <w:noProof/>
        </w:rPr>
        <w:t>uszczalny</w:t>
      </w:r>
      <w:r w:rsidR="00DD1DFA" w:rsidRPr="00DD1DFA">
        <w:rPr>
          <w:noProof/>
        </w:rPr>
        <w:t xml:space="preserve"> w</w:t>
      </w:r>
      <w:r w:rsidR="00DD1DFA">
        <w:rPr>
          <w:noProof/>
        </w:rPr>
        <w:t> </w:t>
      </w:r>
      <w:r w:rsidR="00DD1DFA" w:rsidRPr="00DD1DFA">
        <w:rPr>
          <w:noProof/>
        </w:rPr>
        <w:t>sto</w:t>
      </w:r>
      <w:r w:rsidR="00045DDF" w:rsidRPr="00DD1DFA">
        <w:rPr>
          <w:noProof/>
        </w:rPr>
        <w:t>sunku do jego zamierzonego zastosowania wyrobu oraz</w:t>
      </w:r>
      <w:r w:rsidR="00DD1DFA" w:rsidRPr="00DD1DFA">
        <w:rPr>
          <w:noProof/>
        </w:rPr>
        <w:t xml:space="preserve"> w</w:t>
      </w:r>
      <w:r w:rsidR="00DD1DFA">
        <w:rPr>
          <w:noProof/>
        </w:rPr>
        <w:t> </w:t>
      </w:r>
      <w:r w:rsidR="00DD1DFA" w:rsidRPr="00DD1DFA">
        <w:rPr>
          <w:noProof/>
        </w:rPr>
        <w:t>zwy</w:t>
      </w:r>
      <w:r w:rsidR="00045DDF" w:rsidRPr="00DD1DFA">
        <w:rPr>
          <w:noProof/>
        </w:rPr>
        <w:t>kłych lub dających się racjonalnie przewidzieć warunkach stosowania;</w:t>
      </w:r>
    </w:p>
    <w:p w14:paraId="3CD29D5A" w14:textId="696292D3" w:rsidR="00045DDF" w:rsidRPr="00DD1DFA" w:rsidRDefault="00986673" w:rsidP="00986673">
      <w:pPr>
        <w:pStyle w:val="Point0"/>
        <w:rPr>
          <w:noProof/>
        </w:rPr>
      </w:pPr>
      <w:r w:rsidRPr="00986673">
        <w:rPr>
          <w:noProof/>
        </w:rPr>
        <w:t>71)</w:t>
      </w:r>
      <w:r w:rsidRPr="00986673">
        <w:rPr>
          <w:noProof/>
        </w:rPr>
        <w:tab/>
      </w:r>
      <w:r w:rsidR="00045DDF" w:rsidRPr="00DD1DFA">
        <w:rPr>
          <w:noProof/>
        </w:rPr>
        <w:t>„wyrób stwarzający poważne ryzyko” oznacza produkt stwarzający poważne ryzyko zgodnie</w:t>
      </w:r>
      <w:r w:rsidR="00DD1DFA" w:rsidRPr="00DD1DFA">
        <w:rPr>
          <w:noProof/>
        </w:rPr>
        <w:t xml:space="preserve"> z</w:t>
      </w:r>
      <w:r w:rsidR="00DD1DFA">
        <w:rPr>
          <w:noProof/>
        </w:rPr>
        <w:t> </w:t>
      </w:r>
      <w:r w:rsidR="00DD1DFA" w:rsidRPr="00DD1DFA">
        <w:rPr>
          <w:noProof/>
        </w:rPr>
        <w:t>def</w:t>
      </w:r>
      <w:r w:rsidR="00045DDF" w:rsidRPr="00DD1DFA">
        <w:rPr>
          <w:noProof/>
        </w:rPr>
        <w:t>inicją</w:t>
      </w:r>
      <w:r w:rsidR="00DD1DFA" w:rsidRPr="00DD1DFA">
        <w:rPr>
          <w:noProof/>
        </w:rPr>
        <w:t xml:space="preserve"> w</w:t>
      </w:r>
      <w:r w:rsidR="00DD1DFA">
        <w:rPr>
          <w:noProof/>
        </w:rPr>
        <w:t> </w:t>
      </w:r>
      <w:r w:rsidR="00DD1DFA" w:rsidRPr="00DD1DFA">
        <w:rPr>
          <w:noProof/>
        </w:rPr>
        <w:t>art</w:t>
      </w:r>
      <w:r w:rsidR="00045DDF" w:rsidRPr="00DD1DFA">
        <w:rPr>
          <w:noProof/>
        </w:rPr>
        <w:t>.</w:t>
      </w:r>
      <w:r w:rsidR="00DD1DFA" w:rsidRPr="00DD1DFA">
        <w:rPr>
          <w:noProof/>
        </w:rPr>
        <w:t> </w:t>
      </w:r>
      <w:r w:rsidR="00045DDF" w:rsidRPr="00DD1DFA">
        <w:rPr>
          <w:noProof/>
        </w:rPr>
        <w:t>3 pkt</w:t>
      </w:r>
      <w:r w:rsidR="00DD1DFA" w:rsidRPr="00DD1DFA">
        <w:rPr>
          <w:noProof/>
        </w:rPr>
        <w:t> </w:t>
      </w:r>
      <w:r w:rsidR="00045DDF" w:rsidRPr="00DD1DFA">
        <w:rPr>
          <w:noProof/>
        </w:rPr>
        <w:t>20 rozporządzenia (UE) 2019/1020</w:t>
      </w:r>
      <w:r w:rsidR="004B5A11" w:rsidRPr="00DD1DFA">
        <w:rPr>
          <w:noProof/>
        </w:rPr>
        <w:t>.</w:t>
      </w:r>
    </w:p>
    <w:p w14:paraId="76EB67EC" w14:textId="77777777" w:rsidR="00BC1E12" w:rsidRPr="00DD1DFA" w:rsidRDefault="00BC1E12" w:rsidP="002E074F">
      <w:pPr>
        <w:pStyle w:val="Titrearticle"/>
        <w:rPr>
          <w:noProof/>
        </w:rPr>
      </w:pPr>
      <w:r w:rsidRPr="00DD1DFA">
        <w:rPr>
          <w:noProof/>
        </w:rPr>
        <w:t>Artykuł 4</w:t>
      </w:r>
    </w:p>
    <w:p w14:paraId="3FFECDF5" w14:textId="77777777" w:rsidR="00BC1E12" w:rsidRPr="00DD1DFA" w:rsidRDefault="004C188F" w:rsidP="002E074F">
      <w:pPr>
        <w:pStyle w:val="Titrearticle"/>
        <w:rPr>
          <w:rFonts w:ascii="Calibri" w:eastAsia="Calibri" w:hAnsi="Calibri" w:cs="DejaVu Sans"/>
          <w:b/>
          <w:noProof/>
          <w:color w:val="00000A"/>
          <w:sz w:val="22"/>
        </w:rPr>
      </w:pPr>
      <w:r w:rsidRPr="00DD1DFA">
        <w:rPr>
          <w:b/>
          <w:noProof/>
        </w:rPr>
        <w:t>Zasadnicze charakterystyki wyrobów</w:t>
      </w:r>
    </w:p>
    <w:p w14:paraId="2D300859" w14:textId="7F251A9A" w:rsidR="004C188F" w:rsidRPr="00DD1DFA" w:rsidRDefault="005F7EFA" w:rsidP="005F7EFA">
      <w:pPr>
        <w:pStyle w:val="ManualNumPar1"/>
        <w:rPr>
          <w:noProof/>
        </w:rPr>
      </w:pPr>
      <w:r w:rsidRPr="005F7EFA">
        <w:t>1.</w:t>
      </w:r>
      <w:r w:rsidRPr="005F7EFA">
        <w:tab/>
      </w:r>
      <w:r w:rsidR="004C188F" w:rsidRPr="00DD1DFA">
        <w:rPr>
          <w:noProof/>
        </w:rPr>
        <w:t>Podstawowe wymagania dotyczące obiektów budowlanych przedstawione</w:t>
      </w:r>
      <w:r w:rsidR="00DD1DFA" w:rsidRPr="00DD1DFA">
        <w:rPr>
          <w:noProof/>
        </w:rPr>
        <w:t xml:space="preserve"> w</w:t>
      </w:r>
      <w:r w:rsidR="00DD1DFA">
        <w:rPr>
          <w:noProof/>
        </w:rPr>
        <w:t> </w:t>
      </w:r>
      <w:r w:rsidR="00DD1DFA" w:rsidRPr="00DD1DFA">
        <w:rPr>
          <w:noProof/>
        </w:rPr>
        <w:t>zał</w:t>
      </w:r>
      <w:r w:rsidR="004C188F" w:rsidRPr="00DD1DFA">
        <w:rPr>
          <w:noProof/>
        </w:rPr>
        <w:t>ączniku I część A pkt</w:t>
      </w:r>
      <w:r w:rsidR="00DD1DFA" w:rsidRPr="00DD1DFA">
        <w:rPr>
          <w:noProof/>
        </w:rPr>
        <w:t> </w:t>
      </w:r>
      <w:r w:rsidR="004C188F" w:rsidRPr="00DD1DFA">
        <w:rPr>
          <w:noProof/>
        </w:rPr>
        <w:t>1 są podstawą opracowania zleceń normalizacji</w:t>
      </w:r>
      <w:r w:rsidR="00DD1DFA" w:rsidRPr="00DD1DFA">
        <w:rPr>
          <w:noProof/>
        </w:rPr>
        <w:t xml:space="preserve"> i</w:t>
      </w:r>
      <w:r w:rsidR="00DD1DFA">
        <w:rPr>
          <w:noProof/>
        </w:rPr>
        <w:t> </w:t>
      </w:r>
      <w:r w:rsidR="00DD1DFA" w:rsidRPr="00DD1DFA">
        <w:rPr>
          <w:noProof/>
        </w:rPr>
        <w:t>zha</w:t>
      </w:r>
      <w:r w:rsidR="004C188F" w:rsidRPr="00DD1DFA">
        <w:rPr>
          <w:noProof/>
        </w:rPr>
        <w:t>rmonizowanych specyfikacji technicznych.</w:t>
      </w:r>
    </w:p>
    <w:p w14:paraId="26BCF7BB" w14:textId="021F2041" w:rsidR="004C188F" w:rsidRPr="00DD1DFA" w:rsidRDefault="005F7EFA" w:rsidP="005F7EFA">
      <w:pPr>
        <w:pStyle w:val="ManualNumPar1"/>
        <w:rPr>
          <w:noProof/>
        </w:rPr>
      </w:pPr>
      <w:r w:rsidRPr="005F7EFA">
        <w:t>2.</w:t>
      </w:r>
      <w:r w:rsidRPr="005F7EFA">
        <w:tab/>
      </w:r>
      <w:r w:rsidR="004C188F" w:rsidRPr="00DD1DFA">
        <w:rPr>
          <w:noProof/>
        </w:rPr>
        <w:t>Zasadnicze charakterystyki określone zgodnie</w:t>
      </w:r>
      <w:r w:rsidR="00DD1DFA" w:rsidRPr="00DD1DFA">
        <w:rPr>
          <w:noProof/>
        </w:rPr>
        <w:t xml:space="preserve"> z</w:t>
      </w:r>
      <w:r w:rsidR="00DD1DFA">
        <w:rPr>
          <w:noProof/>
        </w:rPr>
        <w:t> </w:t>
      </w:r>
      <w:r w:rsidR="00DD1DFA" w:rsidRPr="00DD1DFA">
        <w:rPr>
          <w:noProof/>
        </w:rPr>
        <w:t>ust</w:t>
      </w:r>
      <w:r w:rsidR="004C188F" w:rsidRPr="00DD1DFA">
        <w:rPr>
          <w:noProof/>
        </w:rPr>
        <w:t>.</w:t>
      </w:r>
      <w:r w:rsidR="00DD1DFA" w:rsidRPr="00DD1DFA">
        <w:rPr>
          <w:noProof/>
        </w:rPr>
        <w:t> </w:t>
      </w:r>
      <w:r w:rsidR="004C188F" w:rsidRPr="00DD1DFA">
        <w:rPr>
          <w:noProof/>
        </w:rPr>
        <w:t>1 lub wymienione</w:t>
      </w:r>
      <w:r w:rsidR="00DD1DFA" w:rsidRPr="00DD1DFA">
        <w:rPr>
          <w:noProof/>
        </w:rPr>
        <w:t xml:space="preserve"> w</w:t>
      </w:r>
      <w:r w:rsidR="00DD1DFA">
        <w:rPr>
          <w:noProof/>
        </w:rPr>
        <w:t> </w:t>
      </w:r>
      <w:r w:rsidR="00DD1DFA" w:rsidRPr="00DD1DFA">
        <w:rPr>
          <w:noProof/>
        </w:rPr>
        <w:t>zał</w:t>
      </w:r>
      <w:r w:rsidR="004C188F" w:rsidRPr="00DD1DFA">
        <w:rPr>
          <w:noProof/>
        </w:rPr>
        <w:t>ączniku I część A pkt</w:t>
      </w:r>
      <w:r w:rsidR="00DD1DFA" w:rsidRPr="00DD1DFA">
        <w:rPr>
          <w:noProof/>
        </w:rPr>
        <w:t> </w:t>
      </w:r>
      <w:r w:rsidR="004C188F" w:rsidRPr="00DD1DFA">
        <w:rPr>
          <w:noProof/>
        </w:rPr>
        <w:t>2 oraz metody ich oceny określa się</w:t>
      </w:r>
      <w:r w:rsidR="00DD1DFA" w:rsidRPr="00DD1DFA">
        <w:rPr>
          <w:noProof/>
        </w:rPr>
        <w:t xml:space="preserve"> w</w:t>
      </w:r>
      <w:r w:rsidR="00DD1DFA">
        <w:rPr>
          <w:noProof/>
        </w:rPr>
        <w:t> </w:t>
      </w:r>
      <w:r w:rsidR="00DD1DFA" w:rsidRPr="00DD1DFA">
        <w:rPr>
          <w:noProof/>
        </w:rPr>
        <w:t>nor</w:t>
      </w:r>
      <w:r w:rsidR="004C188F" w:rsidRPr="00DD1DFA">
        <w:rPr>
          <w:noProof/>
        </w:rPr>
        <w:t>mach, które są obowiązkowe do celów stosowania niniejszego rozporządzenia. Zasadnicze charakterystyki wyrobów określa się</w:t>
      </w:r>
      <w:r w:rsidR="00DD1DFA" w:rsidRPr="00DD1DFA">
        <w:rPr>
          <w:noProof/>
        </w:rPr>
        <w:t xml:space="preserve"> w</w:t>
      </w:r>
      <w:r w:rsidR="00DD1DFA">
        <w:rPr>
          <w:noProof/>
        </w:rPr>
        <w:t> </w:t>
      </w:r>
      <w:r w:rsidR="00DD1DFA" w:rsidRPr="00DD1DFA">
        <w:rPr>
          <w:noProof/>
        </w:rPr>
        <w:t>świ</w:t>
      </w:r>
      <w:r w:rsidR="004C188F" w:rsidRPr="00DD1DFA">
        <w:rPr>
          <w:noProof/>
        </w:rPr>
        <w:t>etle podstawowych wymagań dotyczących obiektów budowlanych,</w:t>
      </w:r>
      <w:r w:rsidR="00DD1DFA" w:rsidRPr="00DD1DFA">
        <w:rPr>
          <w:noProof/>
        </w:rPr>
        <w:t xml:space="preserve"> z</w:t>
      </w:r>
      <w:r w:rsidR="00DD1DFA">
        <w:rPr>
          <w:noProof/>
        </w:rPr>
        <w:t> </w:t>
      </w:r>
      <w:r w:rsidR="00DD1DFA" w:rsidRPr="00DD1DFA">
        <w:rPr>
          <w:noProof/>
        </w:rPr>
        <w:t>uwz</w:t>
      </w:r>
      <w:r w:rsidR="004C188F" w:rsidRPr="00DD1DFA">
        <w:rPr>
          <w:noProof/>
        </w:rPr>
        <w:t>ględnieniem potrzeb regulacyjnych państw członkowskich.</w:t>
      </w:r>
    </w:p>
    <w:p w14:paraId="3A7879A8" w14:textId="3BD97515" w:rsidR="004C188F" w:rsidRPr="00DD1DFA" w:rsidRDefault="004C188F" w:rsidP="004C188F">
      <w:pPr>
        <w:pStyle w:val="Text1"/>
        <w:rPr>
          <w:noProof/>
        </w:rPr>
      </w:pPr>
      <w:r w:rsidRPr="00DD1DFA">
        <w:rPr>
          <w:noProof/>
        </w:rPr>
        <w:t>Komisja może wystawiać zlecenia normalizacji,</w:t>
      </w:r>
      <w:r w:rsidR="00DD1DFA" w:rsidRPr="00DD1DFA">
        <w:rPr>
          <w:noProof/>
        </w:rPr>
        <w:t xml:space="preserve"> o</w:t>
      </w:r>
      <w:r w:rsidR="00DD1DFA">
        <w:rPr>
          <w:noProof/>
        </w:rPr>
        <w:t> </w:t>
      </w:r>
      <w:r w:rsidR="00DD1DFA" w:rsidRPr="00DD1DFA">
        <w:rPr>
          <w:noProof/>
        </w:rPr>
        <w:t>któ</w:t>
      </w:r>
      <w:r w:rsidRPr="00DD1DFA">
        <w:rPr>
          <w:noProof/>
        </w:rPr>
        <w:t>rych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10 rozporządzenia (UE) nr</w:t>
      </w:r>
      <w:r w:rsidR="00DD1DFA" w:rsidRPr="00DD1DFA">
        <w:rPr>
          <w:noProof/>
        </w:rPr>
        <w:t> </w:t>
      </w:r>
      <w:r w:rsidRPr="00DD1DFA">
        <w:rPr>
          <w:noProof/>
        </w:rPr>
        <w:t>1025/2012 ustanawiającego podstawowe zasady</w:t>
      </w:r>
      <w:r w:rsidR="00DD1DFA" w:rsidRPr="00DD1DFA">
        <w:rPr>
          <w:noProof/>
        </w:rPr>
        <w:t xml:space="preserve"> i</w:t>
      </w:r>
      <w:r w:rsidR="00DD1DFA">
        <w:rPr>
          <w:noProof/>
        </w:rPr>
        <w:t> </w:t>
      </w:r>
      <w:r w:rsidR="00DD1DFA" w:rsidRPr="00DD1DFA">
        <w:rPr>
          <w:noProof/>
        </w:rPr>
        <w:t>fun</w:t>
      </w:r>
      <w:r w:rsidRPr="00DD1DFA">
        <w:rPr>
          <w:noProof/>
        </w:rPr>
        <w:t>damenty tworzenia zasadniczych charakterystyk</w:t>
      </w:r>
      <w:r w:rsidR="00DD1DFA" w:rsidRPr="00DD1DFA">
        <w:rPr>
          <w:noProof/>
        </w:rPr>
        <w:t xml:space="preserve"> i</w:t>
      </w:r>
      <w:r w:rsidR="00DD1DFA">
        <w:rPr>
          <w:noProof/>
        </w:rPr>
        <w:t> </w:t>
      </w:r>
      <w:r w:rsidR="00DD1DFA" w:rsidRPr="00DD1DFA">
        <w:rPr>
          <w:noProof/>
        </w:rPr>
        <w:t>met</w:t>
      </w:r>
      <w:r w:rsidRPr="00DD1DFA">
        <w:rPr>
          <w:noProof/>
        </w:rPr>
        <w:t xml:space="preserve">od ich oceny. </w:t>
      </w:r>
    </w:p>
    <w:p w14:paraId="3ADFE8C4" w14:textId="3870DD7C" w:rsidR="004C188F" w:rsidRPr="00DD1DFA" w:rsidRDefault="004C188F" w:rsidP="004C188F">
      <w:pPr>
        <w:pStyle w:val="Text1"/>
        <w:rPr>
          <w:noProof/>
        </w:rPr>
      </w:pPr>
      <w:r w:rsidRPr="00DD1DFA">
        <w:rPr>
          <w:noProof/>
        </w:rPr>
        <w:t>Odpowiednie zlecenia normalizacji mogą również obejmować zlecenie, aby europejska organizacja normalizacyjna określiła</w:t>
      </w:r>
      <w:r w:rsidR="00DD1DFA" w:rsidRPr="00DD1DFA">
        <w:rPr>
          <w:noProof/>
        </w:rPr>
        <w:t xml:space="preserve"> w</w:t>
      </w:r>
      <w:r w:rsidR="00DD1DFA">
        <w:rPr>
          <w:noProof/>
        </w:rPr>
        <w:t> </w:t>
      </w:r>
      <w:r w:rsidR="00DD1DFA" w:rsidRPr="00DD1DFA">
        <w:rPr>
          <w:noProof/>
        </w:rPr>
        <w:t>nor</w:t>
      </w:r>
      <w:r w:rsidRPr="00DD1DFA">
        <w:rPr>
          <w:noProof/>
        </w:rPr>
        <w:t>mach,</w:t>
      </w:r>
      <w:r w:rsidR="00DD1DFA" w:rsidRPr="00DD1DFA">
        <w:rPr>
          <w:noProof/>
        </w:rPr>
        <w:t xml:space="preserve"> o</w:t>
      </w:r>
      <w:r w:rsidR="00DD1DFA">
        <w:rPr>
          <w:noProof/>
        </w:rPr>
        <w:t> </w:t>
      </w:r>
      <w:r w:rsidR="00DD1DFA" w:rsidRPr="00DD1DFA">
        <w:rPr>
          <w:noProof/>
        </w:rPr>
        <w:t>któ</w:t>
      </w:r>
      <w:r w:rsidRPr="00DD1DFA">
        <w:rPr>
          <w:noProof/>
        </w:rPr>
        <w:t>rych mowa</w:t>
      </w:r>
      <w:r w:rsidR="00DD1DFA" w:rsidRPr="00DD1DFA">
        <w:rPr>
          <w:noProof/>
        </w:rPr>
        <w:t xml:space="preserve"> w</w:t>
      </w:r>
      <w:r w:rsidR="00DD1DFA">
        <w:rPr>
          <w:noProof/>
        </w:rPr>
        <w:t> </w:t>
      </w:r>
      <w:r w:rsidR="00DD1DFA" w:rsidRPr="00DD1DFA">
        <w:rPr>
          <w:noProof/>
        </w:rPr>
        <w:t>pie</w:t>
      </w:r>
      <w:r w:rsidRPr="00DD1DFA">
        <w:rPr>
          <w:noProof/>
        </w:rPr>
        <w:t>rwszym akapicie, dobrowolne lub obowiązkowe wartości progowe</w:t>
      </w:r>
      <w:r w:rsidR="00DD1DFA" w:rsidRPr="00DD1DFA">
        <w:rPr>
          <w:noProof/>
        </w:rPr>
        <w:t xml:space="preserve"> i</w:t>
      </w:r>
      <w:r w:rsidR="00DD1DFA">
        <w:rPr>
          <w:noProof/>
        </w:rPr>
        <w:t> </w:t>
      </w:r>
      <w:r w:rsidR="00DD1DFA" w:rsidRPr="00DD1DFA">
        <w:rPr>
          <w:noProof/>
        </w:rPr>
        <w:t>kla</w:t>
      </w:r>
      <w:r w:rsidRPr="00DD1DFA">
        <w:rPr>
          <w:noProof/>
        </w:rPr>
        <w:t>sy właściwości użytkowych</w:t>
      </w:r>
      <w:r w:rsidR="00DD1DFA" w:rsidRPr="00DD1DFA">
        <w:rPr>
          <w:noProof/>
        </w:rPr>
        <w:t xml:space="preserve"> w</w:t>
      </w:r>
      <w:r w:rsidR="00DD1DFA">
        <w:rPr>
          <w:noProof/>
        </w:rPr>
        <w:t> </w:t>
      </w:r>
      <w:r w:rsidR="00DD1DFA" w:rsidRPr="00DD1DFA">
        <w:rPr>
          <w:noProof/>
        </w:rPr>
        <w:t>odn</w:t>
      </w:r>
      <w:r w:rsidRPr="00DD1DFA">
        <w:rPr>
          <w:noProof/>
        </w:rPr>
        <w:t>iesieniu do zasadniczych charakterystyk oraz tego, które</w:t>
      </w:r>
      <w:r w:rsidR="00DD1DFA" w:rsidRPr="00DD1DFA">
        <w:rPr>
          <w:noProof/>
        </w:rPr>
        <w:t xml:space="preserve"> z</w:t>
      </w:r>
      <w:r w:rsidR="00DD1DFA">
        <w:rPr>
          <w:noProof/>
        </w:rPr>
        <w:t> </w:t>
      </w:r>
      <w:r w:rsidR="00DD1DFA" w:rsidRPr="00DD1DFA">
        <w:rPr>
          <w:noProof/>
        </w:rPr>
        <w:t>zas</w:t>
      </w:r>
      <w:r w:rsidRPr="00DD1DFA">
        <w:rPr>
          <w:noProof/>
        </w:rPr>
        <w:t>adniczych charakterystyk mogą lub muszą być deklarowane przez producentów</w:t>
      </w:r>
      <w:r w:rsidR="00DD1DFA" w:rsidRPr="00DD1DFA">
        <w:rPr>
          <w:noProof/>
        </w:rPr>
        <w:t>. W</w:t>
      </w:r>
      <w:r w:rsidR="00DD1DFA">
        <w:rPr>
          <w:noProof/>
        </w:rPr>
        <w:t> </w:t>
      </w:r>
      <w:r w:rsidR="00DD1DFA" w:rsidRPr="00DD1DFA">
        <w:rPr>
          <w:noProof/>
        </w:rPr>
        <w:t>tak</w:t>
      </w:r>
      <w:r w:rsidRPr="00DD1DFA">
        <w:rPr>
          <w:noProof/>
        </w:rPr>
        <w:t>im przypadku Komisja</w:t>
      </w:r>
      <w:r w:rsidR="00DD1DFA" w:rsidRPr="00DD1DFA">
        <w:rPr>
          <w:noProof/>
        </w:rPr>
        <w:t xml:space="preserve"> w</w:t>
      </w:r>
      <w:r w:rsidR="00DD1DFA">
        <w:rPr>
          <w:noProof/>
        </w:rPr>
        <w:t> </w:t>
      </w:r>
      <w:r w:rsidR="00DD1DFA" w:rsidRPr="00DD1DFA">
        <w:rPr>
          <w:noProof/>
        </w:rPr>
        <w:t>zle</w:t>
      </w:r>
      <w:r w:rsidRPr="00DD1DFA">
        <w:rPr>
          <w:noProof/>
        </w:rPr>
        <w:t>ceniu normalizacji określa podstawowe zasady</w:t>
      </w:r>
      <w:r w:rsidR="00DD1DFA" w:rsidRPr="00DD1DFA">
        <w:rPr>
          <w:noProof/>
        </w:rPr>
        <w:t xml:space="preserve"> i</w:t>
      </w:r>
      <w:r w:rsidR="00DD1DFA">
        <w:rPr>
          <w:noProof/>
        </w:rPr>
        <w:t> </w:t>
      </w:r>
      <w:r w:rsidR="00DD1DFA" w:rsidRPr="00DD1DFA">
        <w:rPr>
          <w:noProof/>
        </w:rPr>
        <w:t>fun</w:t>
      </w:r>
      <w:r w:rsidRPr="00DD1DFA">
        <w:rPr>
          <w:noProof/>
        </w:rPr>
        <w:t>damenty ustanowienia wartości progowych, klas</w:t>
      </w:r>
      <w:r w:rsidR="00DD1DFA" w:rsidRPr="00DD1DFA">
        <w:rPr>
          <w:noProof/>
        </w:rPr>
        <w:t xml:space="preserve"> i</w:t>
      </w:r>
      <w:r w:rsidR="00DD1DFA">
        <w:rPr>
          <w:noProof/>
        </w:rPr>
        <w:t> </w:t>
      </w:r>
      <w:r w:rsidR="00DD1DFA" w:rsidRPr="00DD1DFA">
        <w:rPr>
          <w:noProof/>
        </w:rPr>
        <w:t>obo</w:t>
      </w:r>
      <w:r w:rsidRPr="00DD1DFA">
        <w:rPr>
          <w:noProof/>
        </w:rPr>
        <w:t xml:space="preserve">wiązkowych charakterystyk. </w:t>
      </w:r>
    </w:p>
    <w:p w14:paraId="3AF16CAA" w14:textId="4895D743" w:rsidR="004C188F" w:rsidRPr="00DD1DFA" w:rsidRDefault="004C188F" w:rsidP="004C188F">
      <w:pPr>
        <w:pStyle w:val="Text1"/>
        <w:rPr>
          <w:noProof/>
        </w:rPr>
      </w:pPr>
      <w:r w:rsidRPr="00DD1DFA">
        <w:rPr>
          <w:noProof/>
        </w:rPr>
        <w:t>Przed opublikowaniem odniesienia do nich</w:t>
      </w:r>
      <w:r w:rsidR="00DD1DFA" w:rsidRPr="00DD1DFA">
        <w:rPr>
          <w:noProof/>
        </w:rPr>
        <w:t xml:space="preserve"> w</w:t>
      </w:r>
      <w:r w:rsidR="00DD1DFA">
        <w:rPr>
          <w:noProof/>
        </w:rPr>
        <w:t> </w:t>
      </w:r>
      <w:r w:rsidR="00DD1DFA" w:rsidRPr="00DD1DFA">
        <w:rPr>
          <w:noProof/>
        </w:rPr>
        <w:t>Dzi</w:t>
      </w:r>
      <w:r w:rsidRPr="00DD1DFA">
        <w:rPr>
          <w:noProof/>
        </w:rPr>
        <w:t>enniku Urzędowym zgodnie</w:t>
      </w:r>
      <w:r w:rsidR="00DD1DFA" w:rsidRPr="00DD1DFA">
        <w:rPr>
          <w:noProof/>
        </w:rPr>
        <w:t xml:space="preserve"> z</w:t>
      </w:r>
      <w:r w:rsidR="00DD1DFA">
        <w:rPr>
          <w:noProof/>
        </w:rPr>
        <w:t> </w:t>
      </w:r>
      <w:r w:rsidR="00DD1DFA" w:rsidRPr="00DD1DFA">
        <w:rPr>
          <w:noProof/>
        </w:rPr>
        <w:t>art</w:t>
      </w:r>
      <w:r w:rsidRPr="00DD1DFA">
        <w:rPr>
          <w:noProof/>
        </w:rPr>
        <w:t>.</w:t>
      </w:r>
      <w:r w:rsidR="00DD1DFA" w:rsidRPr="00DD1DFA">
        <w:rPr>
          <w:noProof/>
        </w:rPr>
        <w:t> </w:t>
      </w:r>
      <w:r w:rsidRPr="00DD1DFA">
        <w:rPr>
          <w:noProof/>
        </w:rPr>
        <w:t>34 Komisja sprawdza, czy</w:t>
      </w:r>
      <w:r w:rsidR="00DD1DFA" w:rsidRPr="00DD1DFA">
        <w:rPr>
          <w:noProof/>
        </w:rPr>
        <w:t xml:space="preserve"> w</w:t>
      </w:r>
      <w:r w:rsidR="00DD1DFA">
        <w:rPr>
          <w:noProof/>
        </w:rPr>
        <w:t> </w:t>
      </w:r>
      <w:r w:rsidR="00DD1DFA" w:rsidRPr="00DD1DFA">
        <w:rPr>
          <w:noProof/>
        </w:rPr>
        <w:t>ram</w:t>
      </w:r>
      <w:r w:rsidRPr="00DD1DFA">
        <w:rPr>
          <w:noProof/>
        </w:rPr>
        <w:t>ach norm przestrzega się poszanowania podstawowych zasad, kamieni węgielnych oraz prawa Unii.</w:t>
      </w:r>
    </w:p>
    <w:p w14:paraId="5AE277D8" w14:textId="433923CC" w:rsidR="00270FE7" w:rsidRPr="00DD1DFA" w:rsidRDefault="005F7EFA" w:rsidP="005F7EFA">
      <w:pPr>
        <w:pStyle w:val="ManualNumPar1"/>
        <w:rPr>
          <w:noProof/>
        </w:rPr>
      </w:pPr>
      <w:r w:rsidRPr="005F7EFA">
        <w:t>3.</w:t>
      </w:r>
      <w:r w:rsidRPr="005F7EFA">
        <w:tab/>
      </w:r>
      <w:r w:rsidR="004C188F" w:rsidRPr="00DD1DFA">
        <w:rPr>
          <w:noProof/>
        </w:rPr>
        <w:t>Na zasadzie odstępstwa od ust.</w:t>
      </w:r>
      <w:r w:rsidR="00DD1DFA" w:rsidRPr="00DD1DFA">
        <w:rPr>
          <w:noProof/>
        </w:rPr>
        <w:t> </w:t>
      </w:r>
      <w:r w:rsidR="004C188F" w:rsidRPr="00DD1DFA">
        <w:rPr>
          <w:noProof/>
        </w:rPr>
        <w:t>2 oraz</w:t>
      </w:r>
      <w:r w:rsidR="00DD1DFA" w:rsidRPr="00DD1DFA">
        <w:rPr>
          <w:noProof/>
        </w:rPr>
        <w:t xml:space="preserve"> w</w:t>
      </w:r>
      <w:r w:rsidR="00DD1DFA">
        <w:rPr>
          <w:noProof/>
        </w:rPr>
        <w:t> </w:t>
      </w:r>
      <w:r w:rsidR="00DD1DFA" w:rsidRPr="00DD1DFA">
        <w:rPr>
          <w:noProof/>
        </w:rPr>
        <w:t>cel</w:t>
      </w:r>
      <w:r w:rsidR="004C188F" w:rsidRPr="00DD1DFA">
        <w:rPr>
          <w:noProof/>
        </w:rPr>
        <w:t>u zaspokojenia potrzeb regulacyjnych państw członkowskich</w:t>
      </w:r>
      <w:r w:rsidR="00DD1DFA" w:rsidRPr="00DD1DFA">
        <w:rPr>
          <w:noProof/>
        </w:rPr>
        <w:t xml:space="preserve"> i</w:t>
      </w:r>
      <w:r w:rsidR="00DD1DFA">
        <w:rPr>
          <w:noProof/>
        </w:rPr>
        <w:t> </w:t>
      </w:r>
      <w:r w:rsidR="00DD1DFA" w:rsidRPr="00DD1DFA">
        <w:rPr>
          <w:noProof/>
        </w:rPr>
        <w:t>rea</w:t>
      </w:r>
      <w:r w:rsidR="004C188F" w:rsidRPr="00DD1DFA">
        <w:rPr>
          <w:noProof/>
        </w:rPr>
        <w:t>lizacji celów art.</w:t>
      </w:r>
      <w:r w:rsidR="00DD1DFA" w:rsidRPr="00DD1DFA">
        <w:rPr>
          <w:noProof/>
        </w:rPr>
        <w:t> </w:t>
      </w:r>
      <w:r w:rsidR="004C188F" w:rsidRPr="00DD1DFA">
        <w:rPr>
          <w:noProof/>
        </w:rPr>
        <w:t>114 Traktatu</w:t>
      </w:r>
      <w:r w:rsidR="00DD1DFA" w:rsidRPr="00DD1DFA">
        <w:rPr>
          <w:noProof/>
        </w:rPr>
        <w:t xml:space="preserve"> o</w:t>
      </w:r>
      <w:r w:rsidR="00DD1DFA">
        <w:rPr>
          <w:noProof/>
        </w:rPr>
        <w:t> </w:t>
      </w:r>
      <w:r w:rsidR="00DD1DFA" w:rsidRPr="00DD1DFA">
        <w:rPr>
          <w:noProof/>
        </w:rPr>
        <w:t>fun</w:t>
      </w:r>
      <w:r w:rsidR="004C188F" w:rsidRPr="00DD1DFA">
        <w:rPr>
          <w:noProof/>
        </w:rPr>
        <w:t>kcjonowaniu Unii Europejskiej Komisja jest uprawniona do uzupełnienia niniejszego rozporządzenia</w:t>
      </w:r>
      <w:r w:rsidR="00DD1DFA" w:rsidRPr="00DD1DFA">
        <w:rPr>
          <w:noProof/>
        </w:rPr>
        <w:t xml:space="preserve"> w</w:t>
      </w:r>
      <w:r w:rsidR="00DD1DFA">
        <w:rPr>
          <w:noProof/>
        </w:rPr>
        <w:t> </w:t>
      </w:r>
      <w:r w:rsidR="00DD1DFA" w:rsidRPr="00DD1DFA">
        <w:rPr>
          <w:noProof/>
        </w:rPr>
        <w:t>dro</w:t>
      </w:r>
      <w:r w:rsidR="004C188F" w:rsidRPr="00DD1DFA">
        <w:rPr>
          <w:noProof/>
        </w:rPr>
        <w:t xml:space="preserve">dze aktów delegowanych </w:t>
      </w:r>
      <w:r w:rsidR="004C188F" w:rsidRPr="00DD1DFA">
        <w:rPr>
          <w:noProof/>
          <w:color w:val="000000"/>
        </w:rPr>
        <w:t>zgodnie</w:t>
      </w:r>
      <w:r w:rsidR="00DD1DFA" w:rsidRPr="00DD1DFA">
        <w:rPr>
          <w:noProof/>
          <w:color w:val="000000"/>
        </w:rPr>
        <w:t xml:space="preserve"> z</w:t>
      </w:r>
      <w:r w:rsidR="00DD1DFA">
        <w:rPr>
          <w:noProof/>
          <w:color w:val="000000"/>
        </w:rPr>
        <w:t> </w:t>
      </w:r>
      <w:r w:rsidR="00DD1DFA" w:rsidRPr="00DD1DFA">
        <w:rPr>
          <w:noProof/>
          <w:color w:val="000000"/>
        </w:rPr>
        <w:t>art</w:t>
      </w:r>
      <w:r w:rsidR="004C188F" w:rsidRPr="00DD1DFA">
        <w:rPr>
          <w:noProof/>
          <w:color w:val="000000"/>
        </w:rPr>
        <w:t>.</w:t>
      </w:r>
      <w:r w:rsidR="00DD1DFA" w:rsidRPr="00DD1DFA">
        <w:rPr>
          <w:noProof/>
          <w:color w:val="000000"/>
        </w:rPr>
        <w:t> </w:t>
      </w:r>
      <w:r w:rsidR="004C188F" w:rsidRPr="00DD1DFA">
        <w:rPr>
          <w:noProof/>
          <w:color w:val="000000"/>
        </w:rPr>
        <w:t>87</w:t>
      </w:r>
      <w:r w:rsidR="004C188F" w:rsidRPr="00DD1DFA">
        <w:rPr>
          <w:noProof/>
        </w:rPr>
        <w:t>, poprzez ustanowienie dla poszczególnych rodzin</w:t>
      </w:r>
      <w:r w:rsidR="00DD1DFA" w:rsidRPr="00DD1DFA">
        <w:rPr>
          <w:noProof/>
        </w:rPr>
        <w:t xml:space="preserve"> i</w:t>
      </w:r>
      <w:r w:rsidR="00DD1DFA">
        <w:rPr>
          <w:noProof/>
        </w:rPr>
        <w:t> </w:t>
      </w:r>
      <w:r w:rsidR="00DD1DFA" w:rsidRPr="00DD1DFA">
        <w:rPr>
          <w:noProof/>
        </w:rPr>
        <w:t>kat</w:t>
      </w:r>
      <w:r w:rsidR="004C188F" w:rsidRPr="00DD1DFA">
        <w:rPr>
          <w:noProof/>
        </w:rPr>
        <w:t>egorii wyrobów dobrowolnych lub obowiązkowych zasadniczych charakterystyk</w:t>
      </w:r>
      <w:r w:rsidR="00DD1DFA" w:rsidRPr="00DD1DFA">
        <w:rPr>
          <w:noProof/>
        </w:rPr>
        <w:t xml:space="preserve"> i</w:t>
      </w:r>
      <w:r w:rsidR="00DD1DFA">
        <w:rPr>
          <w:noProof/>
        </w:rPr>
        <w:t> </w:t>
      </w:r>
      <w:r w:rsidR="00DD1DFA" w:rsidRPr="00DD1DFA">
        <w:rPr>
          <w:noProof/>
        </w:rPr>
        <w:t>met</w:t>
      </w:r>
      <w:r w:rsidR="004C188F" w:rsidRPr="00DD1DFA">
        <w:rPr>
          <w:noProof/>
        </w:rPr>
        <w:t>od ich oceny</w:t>
      </w:r>
      <w:r w:rsidR="00DD1DFA" w:rsidRPr="00DD1DFA">
        <w:rPr>
          <w:noProof/>
        </w:rPr>
        <w:t xml:space="preserve"> w</w:t>
      </w:r>
      <w:r w:rsidR="00DD1DFA">
        <w:rPr>
          <w:noProof/>
        </w:rPr>
        <w:t> </w:t>
      </w:r>
      <w:r w:rsidR="00DD1DFA" w:rsidRPr="00DD1DFA">
        <w:rPr>
          <w:noProof/>
        </w:rPr>
        <w:t>któ</w:t>
      </w:r>
      <w:r w:rsidR="004C188F" w:rsidRPr="00DD1DFA">
        <w:rPr>
          <w:noProof/>
        </w:rPr>
        <w:t>rymkolwiek</w:t>
      </w:r>
      <w:r w:rsidR="00DD1DFA" w:rsidRPr="00DD1DFA">
        <w:rPr>
          <w:noProof/>
        </w:rPr>
        <w:t xml:space="preserve"> z</w:t>
      </w:r>
      <w:r w:rsidR="00DD1DFA">
        <w:rPr>
          <w:noProof/>
        </w:rPr>
        <w:t> </w:t>
      </w:r>
      <w:r w:rsidR="00DD1DFA" w:rsidRPr="00DD1DFA">
        <w:rPr>
          <w:noProof/>
        </w:rPr>
        <w:t>nas</w:t>
      </w:r>
      <w:r w:rsidR="004C188F" w:rsidRPr="00DD1DFA">
        <w:rPr>
          <w:noProof/>
        </w:rPr>
        <w:t>tępujących przypadków:</w:t>
      </w:r>
    </w:p>
    <w:p w14:paraId="3D1C7B40" w14:textId="60C0EB8F" w:rsidR="004E0779" w:rsidRPr="00DD1DFA" w:rsidRDefault="00626BBA" w:rsidP="00626BBA">
      <w:pPr>
        <w:pStyle w:val="Point1"/>
        <w:rPr>
          <w:noProof/>
        </w:rPr>
      </w:pPr>
      <w:r>
        <w:rPr>
          <w:noProof/>
        </w:rPr>
        <w:t>a)</w:t>
      </w:r>
      <w:r>
        <w:rPr>
          <w:noProof/>
        </w:rPr>
        <w:tab/>
      </w:r>
      <w:r w:rsidR="004E0779" w:rsidRPr="00DD1DFA">
        <w:rPr>
          <w:noProof/>
        </w:rPr>
        <w:t>występują nieuzasadnione opóźnienia</w:t>
      </w:r>
      <w:r w:rsidR="00DD1DFA" w:rsidRPr="00DD1DFA">
        <w:rPr>
          <w:noProof/>
        </w:rPr>
        <w:t xml:space="preserve"> w</w:t>
      </w:r>
      <w:r w:rsidR="00DD1DFA">
        <w:rPr>
          <w:noProof/>
        </w:rPr>
        <w:t> </w:t>
      </w:r>
      <w:r w:rsidR="00DD1DFA" w:rsidRPr="00DD1DFA">
        <w:rPr>
          <w:noProof/>
        </w:rPr>
        <w:t>prz</w:t>
      </w:r>
      <w:r w:rsidR="004E0779" w:rsidRPr="00DD1DFA">
        <w:rPr>
          <w:noProof/>
        </w:rPr>
        <w:t>yjmowaniu przez europejskie organizacje normalizacyjne określonych norm,</w:t>
      </w:r>
      <w:r w:rsidR="00DD1DFA" w:rsidRPr="00DD1DFA">
        <w:rPr>
          <w:noProof/>
        </w:rPr>
        <w:t xml:space="preserve"> o</w:t>
      </w:r>
      <w:r w:rsidR="00DD1DFA">
        <w:rPr>
          <w:noProof/>
        </w:rPr>
        <w:t> </w:t>
      </w:r>
      <w:r w:rsidR="00DD1DFA" w:rsidRPr="00DD1DFA">
        <w:rPr>
          <w:noProof/>
        </w:rPr>
        <w:t>któ</w:t>
      </w:r>
      <w:r w:rsidR="004E0779" w:rsidRPr="00DD1DFA">
        <w:rPr>
          <w:noProof/>
        </w:rPr>
        <w:t>rych mowa</w:t>
      </w:r>
      <w:r w:rsidR="00DD1DFA" w:rsidRPr="00DD1DFA">
        <w:rPr>
          <w:noProof/>
        </w:rPr>
        <w:t xml:space="preserve"> w</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4 ust.</w:t>
      </w:r>
      <w:r w:rsidR="00DD1DFA" w:rsidRPr="00DD1DFA">
        <w:rPr>
          <w:noProof/>
        </w:rPr>
        <w:t> </w:t>
      </w:r>
      <w:r w:rsidR="004E0779" w:rsidRPr="00DD1DFA">
        <w:rPr>
          <w:noProof/>
        </w:rPr>
        <w:t>2 akapit pierwszy, przy czym nieuzasadnione opóźnienie ma miejsce wówczas, gdy europejska organizacja normalizacyjna nie przedłoży normy</w:t>
      </w:r>
      <w:r w:rsidR="00DD1DFA" w:rsidRPr="00DD1DFA">
        <w:rPr>
          <w:noProof/>
        </w:rPr>
        <w:t xml:space="preserve"> w</w:t>
      </w:r>
      <w:r w:rsidR="00DD1DFA">
        <w:rPr>
          <w:noProof/>
        </w:rPr>
        <w:t> </w:t>
      </w:r>
      <w:r w:rsidR="00DD1DFA" w:rsidRPr="00DD1DFA">
        <w:rPr>
          <w:noProof/>
        </w:rPr>
        <w:t>ter</w:t>
      </w:r>
      <w:r w:rsidR="004E0779" w:rsidRPr="00DD1DFA">
        <w:rPr>
          <w:noProof/>
        </w:rPr>
        <w:t>minie ustalonym</w:t>
      </w:r>
      <w:r w:rsidR="00DD1DFA" w:rsidRPr="00DD1DFA">
        <w:rPr>
          <w:noProof/>
        </w:rPr>
        <w:t xml:space="preserve"> w</w:t>
      </w:r>
      <w:r w:rsidR="00DD1DFA">
        <w:rPr>
          <w:noProof/>
        </w:rPr>
        <w:t> </w:t>
      </w:r>
      <w:r w:rsidR="00DD1DFA" w:rsidRPr="00DD1DFA">
        <w:rPr>
          <w:noProof/>
        </w:rPr>
        <w:t>zle</w:t>
      </w:r>
      <w:r w:rsidR="004E0779" w:rsidRPr="00DD1DFA">
        <w:rPr>
          <w:noProof/>
        </w:rPr>
        <w:t>ceniu normalizacji;</w:t>
      </w:r>
    </w:p>
    <w:p w14:paraId="08B121AB" w14:textId="28472B17" w:rsidR="004E0779" w:rsidRPr="00DD1DFA" w:rsidRDefault="00626BBA" w:rsidP="00626BBA">
      <w:pPr>
        <w:pStyle w:val="Point1"/>
        <w:rPr>
          <w:noProof/>
        </w:rPr>
      </w:pPr>
      <w:r>
        <w:rPr>
          <w:noProof/>
        </w:rPr>
        <w:t>b)</w:t>
      </w:r>
      <w:r>
        <w:rPr>
          <w:noProof/>
        </w:rPr>
        <w:tab/>
      </w:r>
      <w:r w:rsidR="004E0779" w:rsidRPr="00DD1DFA">
        <w:rPr>
          <w:noProof/>
        </w:rPr>
        <w:t>istnieje pilna potrzeba przyjęcia bardziej zharmonizowanych specyfikacji technicznych, której nie zaspokoić wyłącznie za pośrednictwem norm,</w:t>
      </w:r>
      <w:r w:rsidR="00DD1DFA" w:rsidRPr="00DD1DFA">
        <w:rPr>
          <w:noProof/>
        </w:rPr>
        <w:t xml:space="preserve"> o</w:t>
      </w:r>
      <w:r w:rsidR="00DD1DFA">
        <w:rPr>
          <w:noProof/>
        </w:rPr>
        <w:t> </w:t>
      </w:r>
      <w:r w:rsidR="00DD1DFA" w:rsidRPr="00DD1DFA">
        <w:rPr>
          <w:noProof/>
        </w:rPr>
        <w:t>któ</w:t>
      </w:r>
      <w:r w:rsidR="004E0779" w:rsidRPr="00DD1DFA">
        <w:rPr>
          <w:noProof/>
        </w:rPr>
        <w:t>rych mowa</w:t>
      </w:r>
      <w:r w:rsidR="00DD1DFA" w:rsidRPr="00DD1DFA">
        <w:rPr>
          <w:noProof/>
        </w:rPr>
        <w:t xml:space="preserve"> w</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4 ust.</w:t>
      </w:r>
      <w:r w:rsidR="00DD1DFA" w:rsidRPr="00DD1DFA">
        <w:rPr>
          <w:noProof/>
        </w:rPr>
        <w:t> </w:t>
      </w:r>
      <w:r w:rsidR="004E0779" w:rsidRPr="00DD1DFA">
        <w:rPr>
          <w:noProof/>
        </w:rPr>
        <w:t>2 akapit pierwszy;</w:t>
      </w:r>
    </w:p>
    <w:p w14:paraId="0E654151" w14:textId="65F1F463" w:rsidR="004E0779" w:rsidRPr="00DD1DFA" w:rsidRDefault="00626BBA" w:rsidP="00626BBA">
      <w:pPr>
        <w:pStyle w:val="Point1"/>
        <w:rPr>
          <w:noProof/>
        </w:rPr>
      </w:pPr>
      <w:r>
        <w:rPr>
          <w:noProof/>
        </w:rPr>
        <w:t>c)</w:t>
      </w:r>
      <w:r>
        <w:rPr>
          <w:noProof/>
        </w:rPr>
        <w:tab/>
      </w:r>
      <w:r w:rsidR="004E0779" w:rsidRPr="00DD1DFA">
        <w:rPr>
          <w:noProof/>
        </w:rPr>
        <w:t>jedna lub większa liczba zasadniczych charakterystyk odnoszących się do podstawowych wymogów dotyczących pracy, określonych</w:t>
      </w:r>
      <w:r w:rsidR="00DD1DFA" w:rsidRPr="00DD1DFA">
        <w:rPr>
          <w:noProof/>
        </w:rPr>
        <w:t xml:space="preserve"> w</w:t>
      </w:r>
      <w:r w:rsidR="00DD1DFA">
        <w:rPr>
          <w:noProof/>
        </w:rPr>
        <w:t> </w:t>
      </w:r>
      <w:r w:rsidR="00DD1DFA" w:rsidRPr="00DD1DFA">
        <w:rPr>
          <w:noProof/>
        </w:rPr>
        <w:t>zał</w:t>
      </w:r>
      <w:r w:rsidR="004E0779" w:rsidRPr="00DD1DFA">
        <w:rPr>
          <w:noProof/>
        </w:rPr>
        <w:t>ączniku I część A pkt</w:t>
      </w:r>
      <w:r w:rsidR="00DD1DFA" w:rsidRPr="00DD1DFA">
        <w:rPr>
          <w:noProof/>
        </w:rPr>
        <w:t> </w:t>
      </w:r>
      <w:r w:rsidR="004E0779" w:rsidRPr="00DD1DFA">
        <w:rPr>
          <w:noProof/>
        </w:rPr>
        <w:t>1 lub zawartych</w:t>
      </w:r>
      <w:r w:rsidR="00DD1DFA" w:rsidRPr="00DD1DFA">
        <w:rPr>
          <w:noProof/>
        </w:rPr>
        <w:t xml:space="preserve"> w</w:t>
      </w:r>
      <w:r w:rsidR="00DD1DFA">
        <w:rPr>
          <w:noProof/>
        </w:rPr>
        <w:t> </w:t>
      </w:r>
      <w:r w:rsidR="00DD1DFA" w:rsidRPr="00DD1DFA">
        <w:rPr>
          <w:noProof/>
        </w:rPr>
        <w:t>zał</w:t>
      </w:r>
      <w:r w:rsidR="004E0779" w:rsidRPr="00DD1DFA">
        <w:rPr>
          <w:noProof/>
        </w:rPr>
        <w:t>ączniku I część A pkt</w:t>
      </w:r>
      <w:r w:rsidR="00DD1DFA" w:rsidRPr="00DD1DFA">
        <w:rPr>
          <w:noProof/>
        </w:rPr>
        <w:t> </w:t>
      </w:r>
      <w:r w:rsidR="004E0779" w:rsidRPr="00DD1DFA">
        <w:rPr>
          <w:noProof/>
        </w:rPr>
        <w:t>2, nie są objęte normami,</w:t>
      </w:r>
      <w:r w:rsidR="00DD1DFA" w:rsidRPr="00DD1DFA">
        <w:rPr>
          <w:noProof/>
        </w:rPr>
        <w:t xml:space="preserve"> o</w:t>
      </w:r>
      <w:r w:rsidR="00DD1DFA">
        <w:rPr>
          <w:noProof/>
        </w:rPr>
        <w:t> </w:t>
      </w:r>
      <w:r w:rsidR="00DD1DFA" w:rsidRPr="00DD1DFA">
        <w:rPr>
          <w:noProof/>
        </w:rPr>
        <w:t>któ</w:t>
      </w:r>
      <w:r w:rsidR="004E0779" w:rsidRPr="00DD1DFA">
        <w:rPr>
          <w:noProof/>
        </w:rPr>
        <w:t>rych mowa</w:t>
      </w:r>
      <w:r w:rsidR="00DD1DFA" w:rsidRPr="00DD1DFA">
        <w:rPr>
          <w:noProof/>
        </w:rPr>
        <w:t xml:space="preserve"> w</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4 ust.</w:t>
      </w:r>
      <w:r w:rsidR="00DD1DFA" w:rsidRPr="00DD1DFA">
        <w:rPr>
          <w:noProof/>
        </w:rPr>
        <w:t> </w:t>
      </w:r>
      <w:r w:rsidR="004E0779" w:rsidRPr="00DD1DFA">
        <w:rPr>
          <w:noProof/>
        </w:rPr>
        <w:t>2 akapit pierwszy, do których odniesienia zostały już opublikowane</w:t>
      </w:r>
      <w:r w:rsidR="00DD1DFA" w:rsidRPr="00DD1DFA">
        <w:rPr>
          <w:noProof/>
        </w:rPr>
        <w:t xml:space="preserve"> w</w:t>
      </w:r>
      <w:r w:rsidR="00DD1DFA">
        <w:rPr>
          <w:noProof/>
        </w:rPr>
        <w:t> </w:t>
      </w:r>
      <w:r w:rsidR="00DD1DFA" w:rsidRPr="00DD1DFA">
        <w:rPr>
          <w:noProof/>
        </w:rPr>
        <w:t>Dzi</w:t>
      </w:r>
      <w:r w:rsidR="004E0779" w:rsidRPr="00DD1DFA">
        <w:rPr>
          <w:noProof/>
        </w:rPr>
        <w:t>enniku Urzędowym;</w:t>
      </w:r>
    </w:p>
    <w:p w14:paraId="5D8769A3" w14:textId="12CF01EA" w:rsidR="004E0779" w:rsidRPr="00DD1DFA" w:rsidRDefault="00626BBA" w:rsidP="00626BBA">
      <w:pPr>
        <w:pStyle w:val="Point1"/>
        <w:rPr>
          <w:noProof/>
        </w:rPr>
      </w:pPr>
      <w:r>
        <w:rPr>
          <w:noProof/>
        </w:rPr>
        <w:t>d)</w:t>
      </w:r>
      <w:r>
        <w:rPr>
          <w:noProof/>
        </w:rPr>
        <w:tab/>
      </w:r>
      <w:r w:rsidR="004E0779" w:rsidRPr="00DD1DFA">
        <w:rPr>
          <w:noProof/>
        </w:rPr>
        <w:t>normy,</w:t>
      </w:r>
      <w:r w:rsidR="00DD1DFA" w:rsidRPr="00DD1DFA">
        <w:rPr>
          <w:noProof/>
        </w:rPr>
        <w:t xml:space="preserve"> o</w:t>
      </w:r>
      <w:r w:rsidR="00DD1DFA">
        <w:rPr>
          <w:noProof/>
        </w:rPr>
        <w:t> </w:t>
      </w:r>
      <w:r w:rsidR="00DD1DFA" w:rsidRPr="00DD1DFA">
        <w:rPr>
          <w:noProof/>
        </w:rPr>
        <w:t>któ</w:t>
      </w:r>
      <w:r w:rsidR="004E0779" w:rsidRPr="00DD1DFA">
        <w:rPr>
          <w:noProof/>
        </w:rPr>
        <w:t>rych mowa</w:t>
      </w:r>
      <w:r w:rsidR="00DD1DFA" w:rsidRPr="00DD1DFA">
        <w:rPr>
          <w:noProof/>
        </w:rPr>
        <w:t xml:space="preserve"> w</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4 ust.</w:t>
      </w:r>
      <w:r w:rsidR="00DD1DFA" w:rsidRPr="00DD1DFA">
        <w:rPr>
          <w:noProof/>
        </w:rPr>
        <w:t> </w:t>
      </w:r>
      <w:r w:rsidR="004E0779" w:rsidRPr="00DD1DFA">
        <w:rPr>
          <w:noProof/>
        </w:rPr>
        <w:t>2 akapit pierwszy, uznaje się</w:t>
      </w:r>
      <w:r w:rsidR="00DD1DFA" w:rsidRPr="00DD1DFA">
        <w:rPr>
          <w:noProof/>
        </w:rPr>
        <w:t xml:space="preserve"> z</w:t>
      </w:r>
      <w:r w:rsidR="00DD1DFA">
        <w:rPr>
          <w:noProof/>
        </w:rPr>
        <w:t> </w:t>
      </w:r>
      <w:r w:rsidR="00DD1DFA" w:rsidRPr="00DD1DFA">
        <w:rPr>
          <w:noProof/>
        </w:rPr>
        <w:t>inn</w:t>
      </w:r>
      <w:r w:rsidR="004E0779" w:rsidRPr="00DD1DFA">
        <w:rPr>
          <w:noProof/>
        </w:rPr>
        <w:t>ych przyczyn za niewystarczające do zaspokojenia potrzeb regulacyjnych państw członkowskich lub potrzeb podmiotów gospodarczych;</w:t>
      </w:r>
    </w:p>
    <w:p w14:paraId="2EEC684F" w14:textId="5CCE437C" w:rsidR="004E0779" w:rsidRPr="00DD1DFA" w:rsidRDefault="00626BBA" w:rsidP="00626BBA">
      <w:pPr>
        <w:pStyle w:val="Point1"/>
        <w:rPr>
          <w:noProof/>
        </w:rPr>
      </w:pPr>
      <w:r>
        <w:rPr>
          <w:noProof/>
        </w:rPr>
        <w:t>e)</w:t>
      </w:r>
      <w:r>
        <w:rPr>
          <w:noProof/>
        </w:rPr>
        <w:tab/>
      </w:r>
      <w:r w:rsidR="004E0779" w:rsidRPr="00DD1DFA">
        <w:rPr>
          <w:noProof/>
        </w:rPr>
        <w:t>normy,</w:t>
      </w:r>
      <w:r w:rsidR="00DD1DFA" w:rsidRPr="00DD1DFA">
        <w:rPr>
          <w:noProof/>
        </w:rPr>
        <w:t xml:space="preserve"> o</w:t>
      </w:r>
      <w:r w:rsidR="00DD1DFA">
        <w:rPr>
          <w:noProof/>
        </w:rPr>
        <w:t> </w:t>
      </w:r>
      <w:r w:rsidR="00DD1DFA" w:rsidRPr="00DD1DFA">
        <w:rPr>
          <w:noProof/>
        </w:rPr>
        <w:t>któ</w:t>
      </w:r>
      <w:r w:rsidR="004E0779" w:rsidRPr="00DD1DFA">
        <w:rPr>
          <w:noProof/>
        </w:rPr>
        <w:t>rych mowa</w:t>
      </w:r>
      <w:r w:rsidR="00DD1DFA" w:rsidRPr="00DD1DFA">
        <w:rPr>
          <w:noProof/>
        </w:rPr>
        <w:t xml:space="preserve"> w</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4 ust.</w:t>
      </w:r>
      <w:r w:rsidR="00DD1DFA" w:rsidRPr="00DD1DFA">
        <w:rPr>
          <w:noProof/>
        </w:rPr>
        <w:t> </w:t>
      </w:r>
      <w:r w:rsidR="004E0779" w:rsidRPr="00DD1DFA">
        <w:rPr>
          <w:noProof/>
        </w:rPr>
        <w:t>2 akapit pierwszy, nie są zgodne</w:t>
      </w:r>
      <w:r w:rsidR="00DD1DFA" w:rsidRPr="00DD1DFA">
        <w:rPr>
          <w:noProof/>
        </w:rPr>
        <w:t xml:space="preserve"> z</w:t>
      </w:r>
      <w:r w:rsidR="00DD1DFA">
        <w:rPr>
          <w:noProof/>
        </w:rPr>
        <w:t> </w:t>
      </w:r>
      <w:r w:rsidR="00DD1DFA" w:rsidRPr="00DD1DFA">
        <w:rPr>
          <w:noProof/>
        </w:rPr>
        <w:t>uni</w:t>
      </w:r>
      <w:r w:rsidR="004E0779" w:rsidRPr="00DD1DFA">
        <w:rPr>
          <w:noProof/>
        </w:rPr>
        <w:t>jnymi przepisami dotyczącymi klimatu</w:t>
      </w:r>
      <w:r w:rsidR="00DD1DFA" w:rsidRPr="00DD1DFA">
        <w:rPr>
          <w:noProof/>
        </w:rPr>
        <w:t xml:space="preserve"> i</w:t>
      </w:r>
      <w:r w:rsidR="00DD1DFA">
        <w:rPr>
          <w:noProof/>
        </w:rPr>
        <w:t> </w:t>
      </w:r>
      <w:r w:rsidR="00DD1DFA" w:rsidRPr="00DD1DFA">
        <w:rPr>
          <w:noProof/>
        </w:rPr>
        <w:t>śro</w:t>
      </w:r>
      <w:r w:rsidR="004E0779" w:rsidRPr="00DD1DFA">
        <w:rPr>
          <w:noProof/>
        </w:rPr>
        <w:t>dowiska oraz celami</w:t>
      </w:r>
      <w:r w:rsidR="00DD1DFA" w:rsidRPr="00DD1DFA">
        <w:rPr>
          <w:noProof/>
        </w:rPr>
        <w:t xml:space="preserve"> w</w:t>
      </w:r>
      <w:r w:rsidR="00DD1DFA">
        <w:rPr>
          <w:noProof/>
        </w:rPr>
        <w:t> </w:t>
      </w:r>
      <w:r w:rsidR="00DD1DFA" w:rsidRPr="00DD1DFA">
        <w:rPr>
          <w:noProof/>
        </w:rPr>
        <w:t>tym</w:t>
      </w:r>
      <w:r w:rsidR="004E0779" w:rsidRPr="00DD1DFA">
        <w:rPr>
          <w:noProof/>
        </w:rPr>
        <w:t xml:space="preserve"> zakresie; </w:t>
      </w:r>
    </w:p>
    <w:p w14:paraId="3E6A6D39" w14:textId="600DCF3F" w:rsidR="004E0779" w:rsidRPr="00DD1DFA" w:rsidRDefault="00626BBA" w:rsidP="00626BBA">
      <w:pPr>
        <w:pStyle w:val="Point1"/>
        <w:rPr>
          <w:noProof/>
        </w:rPr>
      </w:pPr>
      <w:r>
        <w:rPr>
          <w:noProof/>
        </w:rPr>
        <w:t>f)</w:t>
      </w:r>
      <w:r>
        <w:rPr>
          <w:noProof/>
        </w:rPr>
        <w:tab/>
      </w:r>
      <w:r w:rsidR="004E0779" w:rsidRPr="00DD1DFA">
        <w:rPr>
          <w:noProof/>
        </w:rPr>
        <w:t>odniesienia do norm,</w:t>
      </w:r>
      <w:r w:rsidR="00DD1DFA" w:rsidRPr="00DD1DFA">
        <w:rPr>
          <w:noProof/>
        </w:rPr>
        <w:t xml:space="preserve"> o</w:t>
      </w:r>
      <w:r w:rsidR="00DD1DFA">
        <w:rPr>
          <w:noProof/>
        </w:rPr>
        <w:t> </w:t>
      </w:r>
      <w:r w:rsidR="00DD1DFA" w:rsidRPr="00DD1DFA">
        <w:rPr>
          <w:noProof/>
        </w:rPr>
        <w:t>któ</w:t>
      </w:r>
      <w:r w:rsidR="004E0779" w:rsidRPr="00DD1DFA">
        <w:rPr>
          <w:noProof/>
        </w:rPr>
        <w:t>rych mowa</w:t>
      </w:r>
      <w:r w:rsidR="00DD1DFA" w:rsidRPr="00DD1DFA">
        <w:rPr>
          <w:noProof/>
        </w:rPr>
        <w:t xml:space="preserve"> w</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4 ust.</w:t>
      </w:r>
      <w:r w:rsidR="00DD1DFA" w:rsidRPr="00DD1DFA">
        <w:rPr>
          <w:noProof/>
        </w:rPr>
        <w:t> </w:t>
      </w:r>
      <w:r w:rsidR="004E0779" w:rsidRPr="00DD1DFA">
        <w:rPr>
          <w:noProof/>
        </w:rPr>
        <w:t>2 akapit pierwszy, nie mogą być publikowane</w:t>
      </w:r>
      <w:r w:rsidR="00DD1DFA" w:rsidRPr="00DD1DFA">
        <w:rPr>
          <w:noProof/>
        </w:rPr>
        <w:t xml:space="preserve"> w</w:t>
      </w:r>
      <w:r w:rsidR="00DD1DFA">
        <w:rPr>
          <w:noProof/>
        </w:rPr>
        <w:t> </w:t>
      </w:r>
      <w:r w:rsidR="00DD1DFA" w:rsidRPr="00DD1DFA">
        <w:rPr>
          <w:noProof/>
        </w:rPr>
        <w:t>Dzi</w:t>
      </w:r>
      <w:r w:rsidR="004E0779" w:rsidRPr="00DD1DFA">
        <w:rPr>
          <w:noProof/>
        </w:rPr>
        <w:t>enniku Urzędowym</w:t>
      </w:r>
      <w:r w:rsidR="00DD1DFA" w:rsidRPr="00DD1DFA">
        <w:rPr>
          <w:noProof/>
        </w:rPr>
        <w:t xml:space="preserve"> z</w:t>
      </w:r>
      <w:r w:rsidR="00DD1DFA">
        <w:rPr>
          <w:noProof/>
        </w:rPr>
        <w:t> </w:t>
      </w:r>
      <w:r w:rsidR="00DD1DFA" w:rsidRPr="00DD1DFA">
        <w:rPr>
          <w:noProof/>
        </w:rPr>
        <w:t>pow</w:t>
      </w:r>
      <w:r w:rsidR="004E0779" w:rsidRPr="00DD1DFA">
        <w:rPr>
          <w:noProof/>
        </w:rPr>
        <w:t>odów określonych</w:t>
      </w:r>
      <w:r w:rsidR="00DD1DFA" w:rsidRPr="00DD1DFA">
        <w:rPr>
          <w:noProof/>
        </w:rPr>
        <w:t xml:space="preserve"> w</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34 ust.</w:t>
      </w:r>
      <w:r w:rsidR="00DD1DFA" w:rsidRPr="00DD1DFA">
        <w:rPr>
          <w:noProof/>
        </w:rPr>
        <w:t> </w:t>
      </w:r>
      <w:r w:rsidR="004E0779" w:rsidRPr="00DD1DFA">
        <w:rPr>
          <w:noProof/>
        </w:rPr>
        <w:t>4 lub</w:t>
      </w:r>
      <w:r w:rsidR="00DD1DFA" w:rsidRPr="00DD1DFA">
        <w:rPr>
          <w:noProof/>
        </w:rPr>
        <w:t xml:space="preserve"> z</w:t>
      </w:r>
      <w:r w:rsidR="00DD1DFA">
        <w:rPr>
          <w:noProof/>
        </w:rPr>
        <w:t> </w:t>
      </w:r>
      <w:r w:rsidR="00DD1DFA" w:rsidRPr="00DD1DFA">
        <w:rPr>
          <w:noProof/>
        </w:rPr>
        <w:t>inn</w:t>
      </w:r>
      <w:r w:rsidR="004E0779" w:rsidRPr="00DD1DFA">
        <w:rPr>
          <w:noProof/>
        </w:rPr>
        <w:t xml:space="preserve">ych powodów prawnych; </w:t>
      </w:r>
    </w:p>
    <w:p w14:paraId="13ED0B56" w14:textId="0D016AEC" w:rsidR="00270FE7" w:rsidRPr="00DD1DFA" w:rsidRDefault="00626BBA" w:rsidP="00626BBA">
      <w:pPr>
        <w:pStyle w:val="Point1"/>
        <w:rPr>
          <w:noProof/>
        </w:rPr>
      </w:pPr>
      <w:r>
        <w:rPr>
          <w:noProof/>
        </w:rPr>
        <w:t>g)</w:t>
      </w:r>
      <w:r>
        <w:rPr>
          <w:noProof/>
        </w:rPr>
        <w:tab/>
      </w:r>
      <w:r w:rsidR="004E0779" w:rsidRPr="00DD1DFA">
        <w:rPr>
          <w:noProof/>
        </w:rPr>
        <w:t>odniesienia do norm,</w:t>
      </w:r>
      <w:r w:rsidR="00DD1DFA" w:rsidRPr="00DD1DFA">
        <w:rPr>
          <w:noProof/>
        </w:rPr>
        <w:t xml:space="preserve"> o</w:t>
      </w:r>
      <w:r w:rsidR="00DD1DFA">
        <w:rPr>
          <w:noProof/>
        </w:rPr>
        <w:t> </w:t>
      </w:r>
      <w:r w:rsidR="00DD1DFA" w:rsidRPr="00DD1DFA">
        <w:rPr>
          <w:noProof/>
        </w:rPr>
        <w:t>któ</w:t>
      </w:r>
      <w:r w:rsidR="004E0779" w:rsidRPr="00DD1DFA">
        <w:rPr>
          <w:noProof/>
        </w:rPr>
        <w:t>rych mowa</w:t>
      </w:r>
      <w:r w:rsidR="00DD1DFA" w:rsidRPr="00DD1DFA">
        <w:rPr>
          <w:noProof/>
        </w:rPr>
        <w:t xml:space="preserve"> w</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4 ust.</w:t>
      </w:r>
      <w:r w:rsidR="00DD1DFA" w:rsidRPr="00DD1DFA">
        <w:rPr>
          <w:noProof/>
        </w:rPr>
        <w:t> </w:t>
      </w:r>
      <w:r w:rsidR="004E0779" w:rsidRPr="00DD1DFA">
        <w:rPr>
          <w:noProof/>
        </w:rPr>
        <w:t>2 akapit pierwszy, zostały wycofane</w:t>
      </w:r>
      <w:r w:rsidR="00DD1DFA" w:rsidRPr="00DD1DFA">
        <w:rPr>
          <w:noProof/>
        </w:rPr>
        <w:t xml:space="preserve"> z</w:t>
      </w:r>
      <w:r w:rsidR="00DD1DFA">
        <w:rPr>
          <w:noProof/>
        </w:rPr>
        <w:t> </w:t>
      </w:r>
      <w:r w:rsidR="00DD1DFA" w:rsidRPr="00DD1DFA">
        <w:rPr>
          <w:noProof/>
        </w:rPr>
        <w:t>Dzi</w:t>
      </w:r>
      <w:r w:rsidR="004E0779" w:rsidRPr="00DD1DFA">
        <w:rPr>
          <w:noProof/>
        </w:rPr>
        <w:t>ennika Urzędowego lub zostały opublikowane</w:t>
      </w:r>
      <w:r w:rsidR="00DD1DFA" w:rsidRPr="00DD1DFA">
        <w:rPr>
          <w:noProof/>
        </w:rPr>
        <w:t xml:space="preserve"> z</w:t>
      </w:r>
      <w:r w:rsidR="00DD1DFA">
        <w:rPr>
          <w:noProof/>
        </w:rPr>
        <w:t> </w:t>
      </w:r>
      <w:r w:rsidR="00DD1DFA" w:rsidRPr="00DD1DFA">
        <w:rPr>
          <w:noProof/>
        </w:rPr>
        <w:t>zas</w:t>
      </w:r>
      <w:r w:rsidR="004E0779" w:rsidRPr="00DD1DFA">
        <w:rPr>
          <w:noProof/>
        </w:rPr>
        <w:t>trzeżeniem.</w:t>
      </w:r>
    </w:p>
    <w:p w14:paraId="07D89DBD" w14:textId="2485FC9F" w:rsidR="00270FE7" w:rsidRPr="00DD1DFA" w:rsidRDefault="005F7EFA" w:rsidP="005F7EFA">
      <w:pPr>
        <w:pStyle w:val="ManualNumPar1"/>
        <w:rPr>
          <w:noProof/>
        </w:rPr>
      </w:pPr>
      <w:r w:rsidRPr="005F7EFA">
        <w:t>4.</w:t>
      </w:r>
      <w:r w:rsidRPr="005F7EFA">
        <w:tab/>
      </w:r>
      <w:r w:rsidR="004E0779" w:rsidRPr="00DD1DFA">
        <w:rPr>
          <w:noProof/>
        </w:rPr>
        <w:t>Aby zaspokoić potrzeby regulacyjne państw członkowskich oraz osiągnąć cele</w:t>
      </w:r>
      <w:r w:rsidR="00DD1DFA" w:rsidRPr="00DD1DFA">
        <w:rPr>
          <w:noProof/>
        </w:rPr>
        <w:t xml:space="preserve"> w</w:t>
      </w:r>
      <w:r w:rsidR="00DD1DFA">
        <w:rPr>
          <w:noProof/>
        </w:rPr>
        <w:t> </w:t>
      </w:r>
      <w:r w:rsidR="00DD1DFA" w:rsidRPr="00DD1DFA">
        <w:rPr>
          <w:noProof/>
        </w:rPr>
        <w:t>zak</w:t>
      </w:r>
      <w:r w:rsidR="004E0779" w:rsidRPr="00DD1DFA">
        <w:rPr>
          <w:noProof/>
        </w:rPr>
        <w:t>resie ochrony środowiska, bezpieczeństwa</w:t>
      </w:r>
      <w:r w:rsidR="00DD1DFA" w:rsidRPr="00DD1DFA">
        <w:rPr>
          <w:noProof/>
        </w:rPr>
        <w:t xml:space="preserve"> i</w:t>
      </w:r>
      <w:r w:rsidR="00DD1DFA">
        <w:rPr>
          <w:noProof/>
        </w:rPr>
        <w:t> </w:t>
      </w:r>
      <w:r w:rsidR="00DD1DFA" w:rsidRPr="00DD1DFA">
        <w:rPr>
          <w:noProof/>
        </w:rPr>
        <w:t>har</w:t>
      </w:r>
      <w:r w:rsidR="004E0779" w:rsidRPr="00DD1DFA">
        <w:rPr>
          <w:noProof/>
        </w:rPr>
        <w:t>monizacji określone</w:t>
      </w:r>
      <w:r w:rsidR="00DD1DFA" w:rsidRPr="00DD1DFA">
        <w:rPr>
          <w:noProof/>
        </w:rPr>
        <w:t xml:space="preserve"> w</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114 Traktatu</w:t>
      </w:r>
      <w:r w:rsidR="00DD1DFA" w:rsidRPr="00DD1DFA">
        <w:rPr>
          <w:noProof/>
        </w:rPr>
        <w:t xml:space="preserve"> o</w:t>
      </w:r>
      <w:r w:rsidR="00DD1DFA">
        <w:rPr>
          <w:noProof/>
        </w:rPr>
        <w:t> </w:t>
      </w:r>
      <w:r w:rsidR="00DD1DFA" w:rsidRPr="00DD1DFA">
        <w:rPr>
          <w:noProof/>
        </w:rPr>
        <w:t>fun</w:t>
      </w:r>
      <w:r w:rsidR="004E0779" w:rsidRPr="00DD1DFA">
        <w:rPr>
          <w:noProof/>
        </w:rPr>
        <w:t>kcjonowaniu Unii Europejskiej, Komisja jest uprawniona do uzupełnienia niniejszego rozporządzenia</w:t>
      </w:r>
      <w:r w:rsidR="00DD1DFA" w:rsidRPr="00DD1DFA">
        <w:rPr>
          <w:noProof/>
        </w:rPr>
        <w:t xml:space="preserve"> w</w:t>
      </w:r>
      <w:r w:rsidR="00DD1DFA">
        <w:rPr>
          <w:noProof/>
        </w:rPr>
        <w:t> </w:t>
      </w:r>
      <w:r w:rsidR="00DD1DFA" w:rsidRPr="00DD1DFA">
        <w:rPr>
          <w:noProof/>
        </w:rPr>
        <w:t>dro</w:t>
      </w:r>
      <w:r w:rsidR="004E0779" w:rsidRPr="00DD1DFA">
        <w:rPr>
          <w:noProof/>
        </w:rPr>
        <w:t>dze aktów delegowanych zgodnie</w:t>
      </w:r>
      <w:r w:rsidR="00DD1DFA" w:rsidRPr="00DD1DFA">
        <w:rPr>
          <w:noProof/>
        </w:rPr>
        <w:t xml:space="preserve"> z</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87 poprzez określenie dla poszczególnych rodzin</w:t>
      </w:r>
      <w:r w:rsidR="00DD1DFA" w:rsidRPr="00DD1DFA">
        <w:rPr>
          <w:noProof/>
        </w:rPr>
        <w:t xml:space="preserve"> i</w:t>
      </w:r>
      <w:r w:rsidR="00DD1DFA">
        <w:rPr>
          <w:noProof/>
        </w:rPr>
        <w:t> </w:t>
      </w:r>
      <w:r w:rsidR="00DD1DFA" w:rsidRPr="00DD1DFA">
        <w:rPr>
          <w:noProof/>
        </w:rPr>
        <w:t>kat</w:t>
      </w:r>
      <w:r w:rsidR="004E0779" w:rsidRPr="00DD1DFA">
        <w:rPr>
          <w:noProof/>
        </w:rPr>
        <w:t>egorii wyrobów następujących elementów:</w:t>
      </w:r>
    </w:p>
    <w:p w14:paraId="1C2817AE" w14:textId="0BC27326" w:rsidR="004E0779" w:rsidRPr="00DD1DFA" w:rsidRDefault="00626BBA" w:rsidP="00626BBA">
      <w:pPr>
        <w:pStyle w:val="Point1"/>
        <w:rPr>
          <w:noProof/>
        </w:rPr>
      </w:pPr>
      <w:r w:rsidRPr="00626BBA">
        <w:rPr>
          <w:noProof/>
        </w:rPr>
        <w:t>a)</w:t>
      </w:r>
      <w:r w:rsidRPr="00626BBA">
        <w:rPr>
          <w:noProof/>
        </w:rPr>
        <w:tab/>
      </w:r>
      <w:r w:rsidR="004E0779" w:rsidRPr="00DD1DFA">
        <w:rPr>
          <w:noProof/>
        </w:rPr>
        <w:t>wartości progowych</w:t>
      </w:r>
      <w:r w:rsidR="00DD1DFA" w:rsidRPr="00DD1DFA">
        <w:rPr>
          <w:noProof/>
        </w:rPr>
        <w:t xml:space="preserve"> i</w:t>
      </w:r>
      <w:r w:rsidR="00DD1DFA">
        <w:rPr>
          <w:noProof/>
        </w:rPr>
        <w:t> </w:t>
      </w:r>
      <w:r w:rsidR="00DD1DFA" w:rsidRPr="00DD1DFA">
        <w:rPr>
          <w:noProof/>
        </w:rPr>
        <w:t>kla</w:t>
      </w:r>
      <w:r w:rsidR="004E0779" w:rsidRPr="00DD1DFA">
        <w:rPr>
          <w:noProof/>
        </w:rPr>
        <w:t>s właściwości użytkowych</w:t>
      </w:r>
      <w:r w:rsidR="00DD1DFA" w:rsidRPr="00DD1DFA">
        <w:rPr>
          <w:noProof/>
        </w:rPr>
        <w:t xml:space="preserve"> w</w:t>
      </w:r>
      <w:r w:rsidR="00DD1DFA">
        <w:rPr>
          <w:noProof/>
        </w:rPr>
        <w:t> </w:t>
      </w:r>
      <w:r w:rsidR="00DD1DFA" w:rsidRPr="00DD1DFA">
        <w:rPr>
          <w:noProof/>
        </w:rPr>
        <w:t>odn</w:t>
      </w:r>
      <w:r w:rsidR="004E0779" w:rsidRPr="00DD1DFA">
        <w:rPr>
          <w:noProof/>
        </w:rPr>
        <w:t>iesieniu do zasadniczych charakterystyk oraz tego, które</w:t>
      </w:r>
      <w:r w:rsidR="00DD1DFA" w:rsidRPr="00DD1DFA">
        <w:rPr>
          <w:noProof/>
        </w:rPr>
        <w:t xml:space="preserve"> z</w:t>
      </w:r>
      <w:r w:rsidR="00DD1DFA">
        <w:rPr>
          <w:noProof/>
        </w:rPr>
        <w:t> </w:t>
      </w:r>
      <w:r w:rsidR="00DD1DFA" w:rsidRPr="00DD1DFA">
        <w:rPr>
          <w:noProof/>
        </w:rPr>
        <w:t>zas</w:t>
      </w:r>
      <w:r w:rsidR="004E0779" w:rsidRPr="00DD1DFA">
        <w:rPr>
          <w:noProof/>
        </w:rPr>
        <w:t xml:space="preserve">adniczych charakterystyk mogą lub muszą być deklarowane przez producentów; </w:t>
      </w:r>
    </w:p>
    <w:p w14:paraId="492134A5" w14:textId="5F6491BE" w:rsidR="00270FE7" w:rsidRPr="00DD1DFA" w:rsidRDefault="00626BBA" w:rsidP="00626BBA">
      <w:pPr>
        <w:pStyle w:val="Point1"/>
        <w:rPr>
          <w:noProof/>
        </w:rPr>
      </w:pPr>
      <w:r w:rsidRPr="00626BBA">
        <w:rPr>
          <w:noProof/>
        </w:rPr>
        <w:t>b)</w:t>
      </w:r>
      <w:r w:rsidRPr="00626BBA">
        <w:rPr>
          <w:noProof/>
        </w:rPr>
        <w:tab/>
      </w:r>
      <w:r w:rsidR="004E0779" w:rsidRPr="00DD1DFA">
        <w:rPr>
          <w:noProof/>
        </w:rPr>
        <w:t>warunków, na jakich wyrób uznaje się za spełniający określoną wartość progową lub za kwalifikujący się do klasy właściwości użytkowych bez badań lub bez dalszych badań.</w:t>
      </w:r>
    </w:p>
    <w:p w14:paraId="19ED6DE4" w14:textId="0DEBA783" w:rsidR="00270FE7" w:rsidRPr="00DD1DFA" w:rsidRDefault="005F7EFA" w:rsidP="005F7EFA">
      <w:pPr>
        <w:pStyle w:val="ManualNumPar1"/>
        <w:rPr>
          <w:noProof/>
        </w:rPr>
      </w:pPr>
      <w:r w:rsidRPr="005F7EFA">
        <w:t>5.</w:t>
      </w:r>
      <w:r w:rsidRPr="005F7EFA">
        <w:tab/>
      </w:r>
      <w:r w:rsidR="004E0779" w:rsidRPr="00DD1DFA">
        <w:rPr>
          <w:noProof/>
        </w:rPr>
        <w:t>Komisja jest uprawniona do zmiany załącznika I część A</w:t>
      </w:r>
      <w:r w:rsidR="00DD1DFA" w:rsidRPr="00DD1DFA">
        <w:rPr>
          <w:noProof/>
        </w:rPr>
        <w:t xml:space="preserve"> w</w:t>
      </w:r>
      <w:r w:rsidR="00DD1DFA">
        <w:rPr>
          <w:noProof/>
        </w:rPr>
        <w:t> </w:t>
      </w:r>
      <w:r w:rsidR="00DD1DFA" w:rsidRPr="00DD1DFA">
        <w:rPr>
          <w:noProof/>
        </w:rPr>
        <w:t>dro</w:t>
      </w:r>
      <w:r w:rsidR="004E0779" w:rsidRPr="00DD1DFA">
        <w:rPr>
          <w:noProof/>
        </w:rPr>
        <w:t>dze aktów delegowanych zgodnie</w:t>
      </w:r>
      <w:r w:rsidR="00DD1DFA" w:rsidRPr="00DD1DFA">
        <w:rPr>
          <w:noProof/>
        </w:rPr>
        <w:t xml:space="preserve"> z</w:t>
      </w:r>
      <w:r w:rsidR="00DD1DFA">
        <w:rPr>
          <w:noProof/>
        </w:rPr>
        <w:t> </w:t>
      </w:r>
      <w:r w:rsidR="00DD1DFA" w:rsidRPr="00DD1DFA">
        <w:rPr>
          <w:noProof/>
        </w:rPr>
        <w:t>art</w:t>
      </w:r>
      <w:r w:rsidR="004E0779" w:rsidRPr="00DD1DFA">
        <w:rPr>
          <w:noProof/>
        </w:rPr>
        <w:t>.</w:t>
      </w:r>
      <w:r w:rsidR="00DD1DFA" w:rsidRPr="00DD1DFA">
        <w:rPr>
          <w:noProof/>
        </w:rPr>
        <w:t> </w:t>
      </w:r>
      <w:r w:rsidR="004E0779" w:rsidRPr="00DD1DFA">
        <w:rPr>
          <w:noProof/>
        </w:rPr>
        <w:t>87</w:t>
      </w:r>
      <w:r w:rsidR="00DD1DFA" w:rsidRPr="00DD1DFA">
        <w:rPr>
          <w:noProof/>
        </w:rPr>
        <w:t xml:space="preserve"> w</w:t>
      </w:r>
      <w:r w:rsidR="00DD1DFA">
        <w:rPr>
          <w:noProof/>
        </w:rPr>
        <w:t> </w:t>
      </w:r>
      <w:r w:rsidR="00DD1DFA" w:rsidRPr="00DD1DFA">
        <w:rPr>
          <w:noProof/>
        </w:rPr>
        <w:t>cel</w:t>
      </w:r>
      <w:r w:rsidR="004E0779" w:rsidRPr="00DD1DFA">
        <w:rPr>
          <w:noProof/>
        </w:rPr>
        <w:t>u dostosowania go do postępu technicznego oraz uwzględnienia nowych rodzajów ryzyka</w:t>
      </w:r>
      <w:r w:rsidR="00DD1DFA" w:rsidRPr="00DD1DFA">
        <w:rPr>
          <w:noProof/>
        </w:rPr>
        <w:t xml:space="preserve"> i</w:t>
      </w:r>
      <w:r w:rsidR="00DD1DFA">
        <w:rPr>
          <w:noProof/>
        </w:rPr>
        <w:t> </w:t>
      </w:r>
      <w:r w:rsidR="00DD1DFA" w:rsidRPr="00DD1DFA">
        <w:rPr>
          <w:noProof/>
        </w:rPr>
        <w:t>asp</w:t>
      </w:r>
      <w:r w:rsidR="004E0779" w:rsidRPr="00DD1DFA">
        <w:rPr>
          <w:noProof/>
        </w:rPr>
        <w:t>ektów środowiskowych.</w:t>
      </w:r>
    </w:p>
    <w:p w14:paraId="449D9666" w14:textId="77777777" w:rsidR="00BC1E12" w:rsidRPr="00DD1DFA" w:rsidRDefault="00BC1E12" w:rsidP="009605D1">
      <w:pPr>
        <w:pStyle w:val="Titrearticle"/>
        <w:rPr>
          <w:noProof/>
        </w:rPr>
      </w:pPr>
      <w:r w:rsidRPr="00DD1DFA">
        <w:rPr>
          <w:noProof/>
        </w:rPr>
        <w:t>Artykuł 5</w:t>
      </w:r>
    </w:p>
    <w:p w14:paraId="6C9FA756" w14:textId="77777777" w:rsidR="00BC1E12" w:rsidRPr="00DD1DFA" w:rsidRDefault="00BC1E12" w:rsidP="009605D1">
      <w:pPr>
        <w:pStyle w:val="Titrearticle"/>
        <w:rPr>
          <w:rFonts w:ascii="Calibri" w:eastAsia="Calibri" w:hAnsi="Calibri" w:cs="DejaVu Sans"/>
          <w:b/>
          <w:noProof/>
          <w:color w:val="00000A"/>
          <w:sz w:val="22"/>
        </w:rPr>
      </w:pPr>
      <w:r w:rsidRPr="00DD1DFA">
        <w:rPr>
          <w:b/>
          <w:noProof/>
        </w:rPr>
        <w:t>Wymogi dotyczące wyrobów</w:t>
      </w:r>
    </w:p>
    <w:p w14:paraId="43E377BE" w14:textId="2264BE77" w:rsidR="00043545" w:rsidRPr="00DD1DFA" w:rsidRDefault="005F7EFA" w:rsidP="005F7EFA">
      <w:pPr>
        <w:pStyle w:val="ManualNumPar1"/>
        <w:rPr>
          <w:noProof/>
        </w:rPr>
      </w:pPr>
      <w:r w:rsidRPr="005F7EFA">
        <w:t>1.</w:t>
      </w:r>
      <w:r w:rsidRPr="005F7EFA">
        <w:tab/>
      </w:r>
      <w:r w:rsidR="00043545" w:rsidRPr="00DD1DFA">
        <w:rPr>
          <w:noProof/>
        </w:rPr>
        <w:t>Przed wprowadzeniem do obrotu lub bezpośrednim montażem wszystkie produkty objęte niniejszym rozporządzeniem spełniają ogólne, bezpośrednio stosowane wymogi dotyczące wyrobów określone</w:t>
      </w:r>
      <w:r w:rsidR="00DD1DFA" w:rsidRPr="00DD1DFA">
        <w:rPr>
          <w:noProof/>
        </w:rPr>
        <w:t xml:space="preserve"> w</w:t>
      </w:r>
      <w:r w:rsidR="00DD1DFA">
        <w:rPr>
          <w:noProof/>
        </w:rPr>
        <w:t> </w:t>
      </w:r>
      <w:r w:rsidR="00DD1DFA" w:rsidRPr="00DD1DFA">
        <w:rPr>
          <w:noProof/>
        </w:rPr>
        <w:t>zał</w:t>
      </w:r>
      <w:r w:rsidR="00043545" w:rsidRPr="00DD1DFA">
        <w:rPr>
          <w:noProof/>
        </w:rPr>
        <w:t>ączniku I część D oraz wymogi dotyczące wyrobów określone</w:t>
      </w:r>
      <w:r w:rsidR="00DD1DFA" w:rsidRPr="00DD1DFA">
        <w:rPr>
          <w:noProof/>
        </w:rPr>
        <w:t xml:space="preserve"> w</w:t>
      </w:r>
      <w:r w:rsidR="00DD1DFA">
        <w:rPr>
          <w:noProof/>
        </w:rPr>
        <w:t> </w:t>
      </w:r>
      <w:r w:rsidR="00DD1DFA" w:rsidRPr="00DD1DFA">
        <w:rPr>
          <w:noProof/>
        </w:rPr>
        <w:t>zał</w:t>
      </w:r>
      <w:r w:rsidR="00043545" w:rsidRPr="00DD1DFA">
        <w:rPr>
          <w:noProof/>
        </w:rPr>
        <w:t>ączniku I część B i C, jak określono dla odpowiedniej rodziny lub kategorii wyrobów zgodnie</w:t>
      </w:r>
      <w:r w:rsidR="00DD1DFA" w:rsidRPr="00DD1DFA">
        <w:rPr>
          <w:noProof/>
        </w:rPr>
        <w:t xml:space="preserve"> z</w:t>
      </w:r>
      <w:r w:rsidR="00DD1DFA">
        <w:rPr>
          <w:noProof/>
        </w:rPr>
        <w:t> </w:t>
      </w:r>
      <w:r w:rsidR="00DD1DFA" w:rsidRPr="00DD1DFA">
        <w:rPr>
          <w:noProof/>
        </w:rPr>
        <w:t>ust</w:t>
      </w:r>
      <w:r w:rsidR="00043545" w:rsidRPr="00DD1DFA">
        <w:rPr>
          <w:noProof/>
        </w:rPr>
        <w:t>.</w:t>
      </w:r>
      <w:r w:rsidR="00DD1DFA" w:rsidRPr="00DD1DFA">
        <w:rPr>
          <w:noProof/>
        </w:rPr>
        <w:t> </w:t>
      </w:r>
      <w:r w:rsidR="00043545" w:rsidRPr="00DD1DFA">
        <w:rPr>
          <w:noProof/>
        </w:rPr>
        <w:t>2. Wymogi dotyczące wyrobów określone</w:t>
      </w:r>
      <w:r w:rsidR="00DD1DFA" w:rsidRPr="00DD1DFA">
        <w:rPr>
          <w:noProof/>
        </w:rPr>
        <w:t xml:space="preserve"> w</w:t>
      </w:r>
      <w:r w:rsidR="00DD1DFA">
        <w:rPr>
          <w:noProof/>
        </w:rPr>
        <w:t> </w:t>
      </w:r>
      <w:r w:rsidR="00DD1DFA" w:rsidRPr="00DD1DFA">
        <w:rPr>
          <w:noProof/>
        </w:rPr>
        <w:t>zał</w:t>
      </w:r>
      <w:r w:rsidR="00043545" w:rsidRPr="00DD1DFA">
        <w:rPr>
          <w:noProof/>
        </w:rPr>
        <w:t>ączniku I część B i C mają zastosowanie wyłącznie wówczas, gdy zostały określone zgodnie</w:t>
      </w:r>
      <w:r w:rsidR="00DD1DFA" w:rsidRPr="00DD1DFA">
        <w:rPr>
          <w:noProof/>
        </w:rPr>
        <w:t xml:space="preserve"> z</w:t>
      </w:r>
      <w:r w:rsidR="00DD1DFA">
        <w:rPr>
          <w:noProof/>
        </w:rPr>
        <w:t> </w:t>
      </w:r>
      <w:r w:rsidR="00DD1DFA" w:rsidRPr="00DD1DFA">
        <w:rPr>
          <w:noProof/>
        </w:rPr>
        <w:t>ust</w:t>
      </w:r>
      <w:r w:rsidR="00043545" w:rsidRPr="00DD1DFA">
        <w:rPr>
          <w:noProof/>
        </w:rPr>
        <w:t>.</w:t>
      </w:r>
      <w:r w:rsidR="00DD1DFA" w:rsidRPr="00DD1DFA">
        <w:rPr>
          <w:noProof/>
        </w:rPr>
        <w:t> </w:t>
      </w:r>
      <w:r w:rsidR="00043545" w:rsidRPr="00DD1DFA">
        <w:rPr>
          <w:noProof/>
        </w:rPr>
        <w:t>2.</w:t>
      </w:r>
    </w:p>
    <w:p w14:paraId="08758446" w14:textId="545029E9" w:rsidR="00043545" w:rsidRPr="00DD1DFA" w:rsidRDefault="005F7EFA" w:rsidP="005F7EFA">
      <w:pPr>
        <w:pStyle w:val="ManualNumPar1"/>
        <w:rPr>
          <w:noProof/>
        </w:rPr>
      </w:pPr>
      <w:r w:rsidRPr="005F7EFA">
        <w:t>2.</w:t>
      </w:r>
      <w:r w:rsidRPr="005F7EFA">
        <w:tab/>
      </w:r>
      <w:r w:rsidR="00043545" w:rsidRPr="00DD1DFA">
        <w:rPr>
          <w:noProof/>
        </w:rPr>
        <w:t>W celu określenia wymogów dotyczących wyrobów,</w:t>
      </w:r>
      <w:r w:rsidR="00DD1DFA" w:rsidRPr="00DD1DFA">
        <w:rPr>
          <w:noProof/>
        </w:rPr>
        <w:t xml:space="preserve"> o</w:t>
      </w:r>
      <w:r w:rsidR="00DD1DFA">
        <w:rPr>
          <w:noProof/>
        </w:rPr>
        <w:t> </w:t>
      </w:r>
      <w:r w:rsidR="00DD1DFA" w:rsidRPr="00DD1DFA">
        <w:rPr>
          <w:noProof/>
        </w:rPr>
        <w:t>któ</w:t>
      </w:r>
      <w:r w:rsidR="00043545" w:rsidRPr="00DD1DFA">
        <w:rPr>
          <w:noProof/>
        </w:rPr>
        <w:t>rych to wymogach jest mowa</w:t>
      </w:r>
      <w:r w:rsidR="00DD1DFA" w:rsidRPr="00DD1DFA">
        <w:rPr>
          <w:noProof/>
        </w:rPr>
        <w:t xml:space="preserve"> w</w:t>
      </w:r>
      <w:r w:rsidR="00DD1DFA">
        <w:rPr>
          <w:noProof/>
        </w:rPr>
        <w:t> </w:t>
      </w:r>
      <w:r w:rsidR="00DD1DFA" w:rsidRPr="00DD1DFA">
        <w:rPr>
          <w:noProof/>
        </w:rPr>
        <w:t>zał</w:t>
      </w:r>
      <w:r w:rsidR="00043545" w:rsidRPr="00DD1DFA">
        <w:rPr>
          <w:noProof/>
        </w:rPr>
        <w:t>ączniku I część B, C i D, Komisja jest uprawniona do uzupełnienia niniejszego rozporządzenia,</w:t>
      </w:r>
      <w:r w:rsidR="00DD1DFA" w:rsidRPr="00DD1DFA">
        <w:rPr>
          <w:noProof/>
        </w:rPr>
        <w:t xml:space="preserve"> w</w:t>
      </w:r>
      <w:r w:rsidR="00DD1DFA">
        <w:rPr>
          <w:noProof/>
        </w:rPr>
        <w:t> </w:t>
      </w:r>
      <w:r w:rsidR="00DD1DFA" w:rsidRPr="00DD1DFA">
        <w:rPr>
          <w:noProof/>
        </w:rPr>
        <w:t>dro</w:t>
      </w:r>
      <w:r w:rsidR="00043545" w:rsidRPr="00DD1DFA">
        <w:rPr>
          <w:noProof/>
        </w:rPr>
        <w:t>dze aktów delegowanych zgodnie</w:t>
      </w:r>
      <w:r w:rsidR="00DD1DFA" w:rsidRPr="00DD1DFA">
        <w:rPr>
          <w:noProof/>
        </w:rPr>
        <w:t xml:space="preserve"> z</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87 poprzez określenie dla poszczególnych rodzin</w:t>
      </w:r>
      <w:r w:rsidR="00DD1DFA" w:rsidRPr="00DD1DFA">
        <w:rPr>
          <w:noProof/>
        </w:rPr>
        <w:t xml:space="preserve"> i</w:t>
      </w:r>
      <w:r w:rsidR="00DD1DFA">
        <w:rPr>
          <w:noProof/>
        </w:rPr>
        <w:t> </w:t>
      </w:r>
      <w:r w:rsidR="00DD1DFA" w:rsidRPr="00DD1DFA">
        <w:rPr>
          <w:noProof/>
        </w:rPr>
        <w:t>kat</w:t>
      </w:r>
      <w:r w:rsidR="00043545" w:rsidRPr="00DD1DFA">
        <w:rPr>
          <w:noProof/>
        </w:rPr>
        <w:t>egorii wyrobów wspomnianych wymogów dotyczących wyrobów oraz poprzez ustanowienie odpowiednich metod oceny. Po określeniu wymogów dotyczących wyrobów</w:t>
      </w:r>
      <w:r w:rsidR="00DD1DFA" w:rsidRPr="00DD1DFA">
        <w:rPr>
          <w:noProof/>
        </w:rPr>
        <w:t xml:space="preserve"> w</w:t>
      </w:r>
      <w:r w:rsidR="00DD1DFA">
        <w:rPr>
          <w:noProof/>
        </w:rPr>
        <w:t> </w:t>
      </w:r>
      <w:r w:rsidR="00DD1DFA" w:rsidRPr="00DD1DFA">
        <w:rPr>
          <w:noProof/>
        </w:rPr>
        <w:t>dro</w:t>
      </w:r>
      <w:r w:rsidR="00043545" w:rsidRPr="00DD1DFA">
        <w:rPr>
          <w:noProof/>
        </w:rPr>
        <w:t>dze aktów delegowanych Komisja może wystawiać zlecenia normalizacji, których celem jest opracowanie dobrowolnych norm zharmonizowanych zapewniających domniemanie zgodności</w:t>
      </w:r>
      <w:r w:rsidR="00DD1DFA" w:rsidRPr="00DD1DFA">
        <w:rPr>
          <w:noProof/>
        </w:rPr>
        <w:t xml:space="preserve"> z</w:t>
      </w:r>
      <w:r w:rsidR="00DD1DFA">
        <w:rPr>
          <w:noProof/>
        </w:rPr>
        <w:t> </w:t>
      </w:r>
      <w:r w:rsidR="00DD1DFA" w:rsidRPr="00DD1DFA">
        <w:rPr>
          <w:noProof/>
        </w:rPr>
        <w:t>obo</w:t>
      </w:r>
      <w:r w:rsidR="00043545" w:rsidRPr="00DD1DFA">
        <w:rPr>
          <w:noProof/>
        </w:rPr>
        <w:t>wiązkowymi wymogami dotyczącymi wyrobów określonymi</w:t>
      </w:r>
      <w:r w:rsidR="00DD1DFA" w:rsidRPr="00DD1DFA">
        <w:rPr>
          <w:noProof/>
        </w:rPr>
        <w:t xml:space="preserve"> w</w:t>
      </w:r>
      <w:r w:rsidR="00DD1DFA">
        <w:rPr>
          <w:noProof/>
        </w:rPr>
        <w:t> </w:t>
      </w:r>
      <w:r w:rsidR="00DD1DFA" w:rsidRPr="00DD1DFA">
        <w:rPr>
          <w:noProof/>
        </w:rPr>
        <w:t>tyc</w:t>
      </w:r>
      <w:r w:rsidR="00043545" w:rsidRPr="00DD1DFA">
        <w:rPr>
          <w:noProof/>
        </w:rPr>
        <w:t>h aktach delegowanych.</w:t>
      </w:r>
    </w:p>
    <w:p w14:paraId="1F603983" w14:textId="6AEE556D" w:rsidR="003F70CF" w:rsidRPr="00DD1DFA" w:rsidRDefault="005F7EFA" w:rsidP="005F7EFA">
      <w:pPr>
        <w:pStyle w:val="ManualNumPar1"/>
        <w:rPr>
          <w:noProof/>
        </w:rPr>
      </w:pPr>
      <w:r w:rsidRPr="005F7EFA">
        <w:t>3.</w:t>
      </w:r>
      <w:r w:rsidRPr="005F7EFA">
        <w:tab/>
      </w:r>
      <w:r w:rsidR="00043545" w:rsidRPr="00DD1DFA">
        <w:rPr>
          <w:noProof/>
        </w:rPr>
        <w:t>Komisja jest uprawniona do zmiany załącznika I część B, C i D</w:t>
      </w:r>
      <w:r w:rsidR="00DD1DFA" w:rsidRPr="00DD1DFA">
        <w:rPr>
          <w:noProof/>
        </w:rPr>
        <w:t xml:space="preserve"> w</w:t>
      </w:r>
      <w:r w:rsidR="00DD1DFA">
        <w:rPr>
          <w:noProof/>
        </w:rPr>
        <w:t> </w:t>
      </w:r>
      <w:r w:rsidR="00DD1DFA" w:rsidRPr="00DD1DFA">
        <w:rPr>
          <w:noProof/>
        </w:rPr>
        <w:t>dro</w:t>
      </w:r>
      <w:r w:rsidR="00043545" w:rsidRPr="00DD1DFA">
        <w:rPr>
          <w:noProof/>
        </w:rPr>
        <w:t>dze aktów delegowanych zgodnie</w:t>
      </w:r>
      <w:r w:rsidR="00DD1DFA" w:rsidRPr="00DD1DFA">
        <w:rPr>
          <w:noProof/>
        </w:rPr>
        <w:t xml:space="preserve"> z</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87</w:t>
      </w:r>
      <w:r w:rsidR="00DD1DFA" w:rsidRPr="00DD1DFA">
        <w:rPr>
          <w:noProof/>
        </w:rPr>
        <w:t xml:space="preserve"> w</w:t>
      </w:r>
      <w:r w:rsidR="00DD1DFA">
        <w:rPr>
          <w:noProof/>
        </w:rPr>
        <w:t> </w:t>
      </w:r>
      <w:r w:rsidR="00DD1DFA" w:rsidRPr="00DD1DFA">
        <w:rPr>
          <w:noProof/>
        </w:rPr>
        <w:t>cel</w:t>
      </w:r>
      <w:r w:rsidR="00043545" w:rsidRPr="00DD1DFA">
        <w:rPr>
          <w:noProof/>
        </w:rPr>
        <w:t>u dostosowania go do postępu technicznego,</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szc</w:t>
      </w:r>
      <w:r w:rsidR="00043545" w:rsidRPr="00DD1DFA">
        <w:rPr>
          <w:noProof/>
        </w:rPr>
        <w:t>zególności</w:t>
      </w:r>
      <w:r w:rsidR="00DD1DFA" w:rsidRPr="00DD1DFA">
        <w:rPr>
          <w:noProof/>
        </w:rPr>
        <w:t xml:space="preserve"> w</w:t>
      </w:r>
      <w:r w:rsidR="00DD1DFA">
        <w:rPr>
          <w:noProof/>
        </w:rPr>
        <w:t> </w:t>
      </w:r>
      <w:r w:rsidR="00DD1DFA" w:rsidRPr="00DD1DFA">
        <w:rPr>
          <w:noProof/>
        </w:rPr>
        <w:t>cel</w:t>
      </w:r>
      <w:r w:rsidR="00043545" w:rsidRPr="00DD1DFA">
        <w:rPr>
          <w:noProof/>
        </w:rPr>
        <w:t>u uwzględnienia nowych rodzajów ryzyka</w:t>
      </w:r>
      <w:r w:rsidR="00DD1DFA" w:rsidRPr="00DD1DFA">
        <w:rPr>
          <w:noProof/>
        </w:rPr>
        <w:t xml:space="preserve"> i</w:t>
      </w:r>
      <w:r w:rsidR="00DD1DFA">
        <w:rPr>
          <w:noProof/>
        </w:rPr>
        <w:t> </w:t>
      </w:r>
      <w:r w:rsidR="00DD1DFA" w:rsidRPr="00DD1DFA">
        <w:rPr>
          <w:noProof/>
        </w:rPr>
        <w:t>asp</w:t>
      </w:r>
      <w:r w:rsidR="00043545" w:rsidRPr="00DD1DFA">
        <w:rPr>
          <w:noProof/>
        </w:rPr>
        <w:t>ektów środowiskowych.</w:t>
      </w:r>
    </w:p>
    <w:p w14:paraId="498B2663" w14:textId="77777777" w:rsidR="00BC1E12" w:rsidRPr="00DD1DFA" w:rsidRDefault="00BC1E12" w:rsidP="00573D42">
      <w:pPr>
        <w:pStyle w:val="Titrearticle"/>
        <w:rPr>
          <w:noProof/>
        </w:rPr>
      </w:pPr>
      <w:r w:rsidRPr="00DD1DFA">
        <w:rPr>
          <w:noProof/>
        </w:rPr>
        <w:t>Artykuł 6</w:t>
      </w:r>
    </w:p>
    <w:p w14:paraId="7A4C8EF6" w14:textId="0798FAD5" w:rsidR="00BC1E12" w:rsidRPr="00DD1DFA" w:rsidRDefault="00043545" w:rsidP="00573D42">
      <w:pPr>
        <w:pStyle w:val="Titrearticle"/>
        <w:rPr>
          <w:rFonts w:ascii="Calibri" w:eastAsia="Calibri" w:hAnsi="Calibri" w:cs="DejaVu Sans"/>
          <w:b/>
          <w:noProof/>
          <w:color w:val="00000A"/>
          <w:sz w:val="22"/>
        </w:rPr>
      </w:pPr>
      <w:r w:rsidRPr="00DD1DFA">
        <w:rPr>
          <w:b/>
          <w:bCs/>
          <w:noProof/>
        </w:rPr>
        <w:t>Systemy oceny</w:t>
      </w:r>
      <w:r w:rsidR="00DD1DFA" w:rsidRPr="00DD1DFA">
        <w:rPr>
          <w:b/>
          <w:bCs/>
          <w:noProof/>
        </w:rPr>
        <w:t xml:space="preserve"> i</w:t>
      </w:r>
      <w:r w:rsidR="00DD1DFA">
        <w:rPr>
          <w:b/>
          <w:bCs/>
          <w:noProof/>
        </w:rPr>
        <w:t> </w:t>
      </w:r>
      <w:r w:rsidR="00DD1DFA" w:rsidRPr="00DD1DFA">
        <w:rPr>
          <w:b/>
          <w:bCs/>
          <w:noProof/>
        </w:rPr>
        <w:t>wer</w:t>
      </w:r>
      <w:r w:rsidRPr="00DD1DFA">
        <w:rPr>
          <w:b/>
          <w:bCs/>
          <w:noProof/>
        </w:rPr>
        <w:t>yfikacji oraz ich warunki dotyczące konkretnych wyrobów</w:t>
      </w:r>
    </w:p>
    <w:p w14:paraId="66155BE4" w14:textId="07E157B4" w:rsidR="008E7D12" w:rsidRPr="00DD1DFA" w:rsidRDefault="005F7EFA" w:rsidP="005F7EFA">
      <w:pPr>
        <w:pStyle w:val="ManualNumPar1"/>
        <w:rPr>
          <w:noProof/>
        </w:rPr>
      </w:pPr>
      <w:r w:rsidRPr="005F7EFA">
        <w:t>1.</w:t>
      </w:r>
      <w:r w:rsidRPr="005F7EFA">
        <w:tab/>
      </w:r>
      <w:r w:rsidR="008E7D12" w:rsidRPr="00DD1DFA">
        <w:rPr>
          <w:noProof/>
        </w:rPr>
        <w:t>W celu zastosowania podejścia dostosowanego do potrzeb</w:t>
      </w:r>
      <w:r w:rsidR="00DD1DFA" w:rsidRPr="00DD1DFA">
        <w:rPr>
          <w:noProof/>
        </w:rPr>
        <w:t xml:space="preserve"> i</w:t>
      </w:r>
      <w:r w:rsidR="00DD1DFA">
        <w:rPr>
          <w:noProof/>
        </w:rPr>
        <w:t> </w:t>
      </w:r>
      <w:r w:rsidR="00DD1DFA" w:rsidRPr="00DD1DFA">
        <w:rPr>
          <w:noProof/>
        </w:rPr>
        <w:t>zmi</w:t>
      </w:r>
      <w:r w:rsidR="008E7D12" w:rsidRPr="00DD1DFA">
        <w:rPr>
          <w:noProof/>
        </w:rPr>
        <w:t>nimalizowania potencjalnego obciążenia producentów przy jednoczesnym zapewnieniu wysokiego poziomu ochrony zdrowia, bezpieczeństwa</w:t>
      </w:r>
      <w:r w:rsidR="00DD1DFA" w:rsidRPr="00DD1DFA">
        <w:rPr>
          <w:noProof/>
        </w:rPr>
        <w:t xml:space="preserve"> i</w:t>
      </w:r>
      <w:r w:rsidR="00DD1DFA">
        <w:rPr>
          <w:noProof/>
        </w:rPr>
        <w:t> </w:t>
      </w:r>
      <w:r w:rsidR="00DD1DFA" w:rsidRPr="00DD1DFA">
        <w:rPr>
          <w:noProof/>
        </w:rPr>
        <w:t>śro</w:t>
      </w:r>
      <w:r w:rsidR="008E7D12" w:rsidRPr="00DD1DFA">
        <w:rPr>
          <w:noProof/>
        </w:rPr>
        <w:t>dowiska Komisja jest uprawniona do uzupełnienia niniejszego rozporządzenia</w:t>
      </w:r>
      <w:r w:rsidR="00DD1DFA" w:rsidRPr="00DD1DFA">
        <w:rPr>
          <w:noProof/>
        </w:rPr>
        <w:t xml:space="preserve"> w</w:t>
      </w:r>
      <w:r w:rsidR="00DD1DFA">
        <w:rPr>
          <w:noProof/>
        </w:rPr>
        <w:t> </w:t>
      </w:r>
      <w:r w:rsidR="00DD1DFA" w:rsidRPr="00DD1DFA">
        <w:rPr>
          <w:noProof/>
        </w:rPr>
        <w:t>dro</w:t>
      </w:r>
      <w:r w:rsidR="008E7D12" w:rsidRPr="00DD1DFA">
        <w:rPr>
          <w:noProof/>
        </w:rPr>
        <w:t>dze aktów delegowanych zgodnie</w:t>
      </w:r>
      <w:r w:rsidR="00DD1DFA" w:rsidRPr="00DD1DFA">
        <w:rPr>
          <w:noProof/>
        </w:rPr>
        <w:t xml:space="preserve"> z</w:t>
      </w:r>
      <w:r w:rsidR="00DD1DFA">
        <w:rPr>
          <w:noProof/>
        </w:rPr>
        <w:t> </w:t>
      </w:r>
      <w:r w:rsidR="00DD1DFA" w:rsidRPr="00DD1DFA">
        <w:rPr>
          <w:noProof/>
        </w:rPr>
        <w:t>art</w:t>
      </w:r>
      <w:r w:rsidR="008E7D12" w:rsidRPr="00DD1DFA">
        <w:rPr>
          <w:noProof/>
        </w:rPr>
        <w:t>.</w:t>
      </w:r>
      <w:r w:rsidR="00DD1DFA" w:rsidRPr="00DD1DFA">
        <w:rPr>
          <w:noProof/>
        </w:rPr>
        <w:t> </w:t>
      </w:r>
      <w:r w:rsidR="008E7D12" w:rsidRPr="00DD1DFA">
        <w:rPr>
          <w:noProof/>
        </w:rPr>
        <w:t>87 poprzez określenie dla każdej rodziny lub kategorii wyrobów mającego zastosowanie systemu oceny</w:t>
      </w:r>
      <w:r w:rsidR="00DD1DFA" w:rsidRPr="00DD1DFA">
        <w:rPr>
          <w:noProof/>
        </w:rPr>
        <w:t xml:space="preserve"> i</w:t>
      </w:r>
      <w:r w:rsidR="00DD1DFA">
        <w:rPr>
          <w:noProof/>
        </w:rPr>
        <w:t> </w:t>
      </w:r>
      <w:r w:rsidR="00DD1DFA" w:rsidRPr="00DD1DFA">
        <w:rPr>
          <w:noProof/>
        </w:rPr>
        <w:t>wer</w:t>
      </w:r>
      <w:r w:rsidR="008E7D12" w:rsidRPr="00DD1DFA">
        <w:rPr>
          <w:noProof/>
        </w:rPr>
        <w:t>yfikacji spośród systemów określonych</w:t>
      </w:r>
      <w:r w:rsidR="00DD1DFA" w:rsidRPr="00DD1DFA">
        <w:rPr>
          <w:noProof/>
        </w:rPr>
        <w:t xml:space="preserve"> w</w:t>
      </w:r>
      <w:r w:rsidR="00DD1DFA">
        <w:rPr>
          <w:noProof/>
        </w:rPr>
        <w:t> </w:t>
      </w:r>
      <w:r w:rsidR="00DD1DFA" w:rsidRPr="00DD1DFA">
        <w:rPr>
          <w:noProof/>
        </w:rPr>
        <w:t>zał</w:t>
      </w:r>
      <w:r w:rsidR="008E7D12" w:rsidRPr="00DD1DFA">
        <w:rPr>
          <w:noProof/>
        </w:rPr>
        <w:t>ączniku V. Komisja może również określić różne systemy oceny</w:t>
      </w:r>
      <w:r w:rsidR="00DD1DFA" w:rsidRPr="00DD1DFA">
        <w:rPr>
          <w:noProof/>
        </w:rPr>
        <w:t xml:space="preserve"> i</w:t>
      </w:r>
      <w:r w:rsidR="00DD1DFA">
        <w:rPr>
          <w:noProof/>
        </w:rPr>
        <w:t> </w:t>
      </w:r>
      <w:r w:rsidR="00DD1DFA" w:rsidRPr="00DD1DFA">
        <w:rPr>
          <w:noProof/>
        </w:rPr>
        <w:t>wer</w:t>
      </w:r>
      <w:r w:rsidR="008E7D12" w:rsidRPr="00DD1DFA">
        <w:rPr>
          <w:noProof/>
        </w:rPr>
        <w:t>yfikacji dla tej samej rodziny lub kategorii wyrobów,</w:t>
      </w:r>
      <w:r w:rsidR="00DD1DFA" w:rsidRPr="00DD1DFA">
        <w:rPr>
          <w:noProof/>
        </w:rPr>
        <w:t xml:space="preserve"> w</w:t>
      </w:r>
      <w:r w:rsidR="00DD1DFA">
        <w:rPr>
          <w:noProof/>
        </w:rPr>
        <w:t> </w:t>
      </w:r>
      <w:r w:rsidR="00DD1DFA" w:rsidRPr="00DD1DFA">
        <w:rPr>
          <w:noProof/>
        </w:rPr>
        <w:t>zal</w:t>
      </w:r>
      <w:r w:rsidR="008E7D12" w:rsidRPr="00DD1DFA">
        <w:rPr>
          <w:noProof/>
        </w:rPr>
        <w:t>eżności od zasadniczej charakterystyki lub wymogu dotyczącego wyrobów.</w:t>
      </w:r>
    </w:p>
    <w:p w14:paraId="5C7322A7" w14:textId="5FE24E43" w:rsidR="008E7D12" w:rsidRPr="00DD1DFA" w:rsidRDefault="005F7EFA" w:rsidP="005F7EFA">
      <w:pPr>
        <w:pStyle w:val="ManualNumPar1"/>
        <w:rPr>
          <w:noProof/>
        </w:rPr>
      </w:pPr>
      <w:r w:rsidRPr="005F7EFA">
        <w:t>2.</w:t>
      </w:r>
      <w:r w:rsidRPr="005F7EFA">
        <w:tab/>
      </w:r>
      <w:r w:rsidR="008E7D12" w:rsidRPr="00DD1DFA">
        <w:rPr>
          <w:noProof/>
        </w:rPr>
        <w:t>W celu ułatwienia</w:t>
      </w:r>
      <w:r w:rsidR="00DD1DFA" w:rsidRPr="00DD1DFA">
        <w:rPr>
          <w:noProof/>
        </w:rPr>
        <w:t xml:space="preserve"> i</w:t>
      </w:r>
      <w:r w:rsidR="00DD1DFA">
        <w:rPr>
          <w:noProof/>
        </w:rPr>
        <w:t> </w:t>
      </w:r>
      <w:r w:rsidR="00DD1DFA" w:rsidRPr="00DD1DFA">
        <w:rPr>
          <w:noProof/>
        </w:rPr>
        <w:t>zha</w:t>
      </w:r>
      <w:r w:rsidR="008E7D12" w:rsidRPr="00DD1DFA">
        <w:rPr>
          <w:noProof/>
        </w:rPr>
        <w:t>rmonizowania stosowania wymogów lub obowiązków zawartych</w:t>
      </w:r>
      <w:r w:rsidR="00DD1DFA" w:rsidRPr="00DD1DFA">
        <w:rPr>
          <w:noProof/>
        </w:rPr>
        <w:t xml:space="preserve"> w</w:t>
      </w:r>
      <w:r w:rsidR="00DD1DFA">
        <w:rPr>
          <w:noProof/>
        </w:rPr>
        <w:t> </w:t>
      </w:r>
      <w:r w:rsidR="00DD1DFA" w:rsidRPr="00DD1DFA">
        <w:rPr>
          <w:noProof/>
        </w:rPr>
        <w:t>zał</w:t>
      </w:r>
      <w:r w:rsidR="008E7D12" w:rsidRPr="00DD1DFA">
        <w:rPr>
          <w:noProof/>
        </w:rPr>
        <w:t>ączniku V Komisja jest uprawniona do uzupełnienia niniejszego rozporządzenia,</w:t>
      </w:r>
      <w:r w:rsidR="00DD1DFA" w:rsidRPr="00DD1DFA">
        <w:rPr>
          <w:noProof/>
        </w:rPr>
        <w:t xml:space="preserve"> w</w:t>
      </w:r>
      <w:r w:rsidR="00DD1DFA">
        <w:rPr>
          <w:noProof/>
        </w:rPr>
        <w:t> </w:t>
      </w:r>
      <w:r w:rsidR="00DD1DFA" w:rsidRPr="00DD1DFA">
        <w:rPr>
          <w:noProof/>
        </w:rPr>
        <w:t>dro</w:t>
      </w:r>
      <w:r w:rsidR="008E7D12" w:rsidRPr="00DD1DFA">
        <w:rPr>
          <w:noProof/>
        </w:rPr>
        <w:t>dze aktów delegowanych zgodnie</w:t>
      </w:r>
      <w:r w:rsidR="00DD1DFA" w:rsidRPr="00DD1DFA">
        <w:rPr>
          <w:noProof/>
        </w:rPr>
        <w:t xml:space="preserve"> z</w:t>
      </w:r>
      <w:r w:rsidR="00DD1DFA">
        <w:rPr>
          <w:noProof/>
        </w:rPr>
        <w:t> </w:t>
      </w:r>
      <w:r w:rsidR="00DD1DFA" w:rsidRPr="00DD1DFA">
        <w:rPr>
          <w:noProof/>
        </w:rPr>
        <w:t>art</w:t>
      </w:r>
      <w:r w:rsidR="008E7D12" w:rsidRPr="00DD1DFA">
        <w:rPr>
          <w:noProof/>
        </w:rPr>
        <w:t>.</w:t>
      </w:r>
      <w:r w:rsidR="00DD1DFA" w:rsidRPr="00DD1DFA">
        <w:rPr>
          <w:noProof/>
        </w:rPr>
        <w:t> </w:t>
      </w:r>
      <w:r w:rsidR="008E7D12" w:rsidRPr="00DD1DFA">
        <w:rPr>
          <w:noProof/>
        </w:rPr>
        <w:t>87 poprzez określenie tych wymogów</w:t>
      </w:r>
      <w:r w:rsidR="00DD1DFA" w:rsidRPr="00DD1DFA">
        <w:rPr>
          <w:noProof/>
        </w:rPr>
        <w:t xml:space="preserve"> i</w:t>
      </w:r>
      <w:r w:rsidR="00DD1DFA">
        <w:rPr>
          <w:noProof/>
        </w:rPr>
        <w:t> </w:t>
      </w:r>
      <w:r w:rsidR="00DD1DFA" w:rsidRPr="00DD1DFA">
        <w:rPr>
          <w:noProof/>
        </w:rPr>
        <w:t>obo</w:t>
      </w:r>
      <w:r w:rsidR="008E7D12" w:rsidRPr="00DD1DFA">
        <w:rPr>
          <w:noProof/>
        </w:rPr>
        <w:t>wiązków dla danej rodziny lub kategorii wyrobów.</w:t>
      </w:r>
    </w:p>
    <w:p w14:paraId="48053EED" w14:textId="70F41BFB" w:rsidR="00BC1E12" w:rsidRPr="00DD1DFA" w:rsidRDefault="005F7EFA" w:rsidP="005F7EFA">
      <w:pPr>
        <w:pStyle w:val="ManualNumPar1"/>
        <w:rPr>
          <w:noProof/>
        </w:rPr>
      </w:pPr>
      <w:r w:rsidRPr="005F7EFA">
        <w:t>3.</w:t>
      </w:r>
      <w:r w:rsidRPr="005F7EFA">
        <w:tab/>
      </w:r>
      <w:r w:rsidR="008E7D12" w:rsidRPr="00DD1DFA">
        <w:rPr>
          <w:noProof/>
        </w:rPr>
        <w:t>W celu przeciwdziałania systematycznym niezgodnościom jednostek notyfikowanych lub producentów lub</w:t>
      </w:r>
      <w:r w:rsidR="00DD1DFA" w:rsidRPr="00DD1DFA">
        <w:rPr>
          <w:noProof/>
        </w:rPr>
        <w:t xml:space="preserve"> w</w:t>
      </w:r>
      <w:r w:rsidR="00DD1DFA">
        <w:rPr>
          <w:noProof/>
        </w:rPr>
        <w:t> </w:t>
      </w:r>
      <w:r w:rsidR="00DD1DFA" w:rsidRPr="00DD1DFA">
        <w:rPr>
          <w:noProof/>
        </w:rPr>
        <w:t>cel</w:t>
      </w:r>
      <w:r w:rsidR="008E7D12" w:rsidRPr="00DD1DFA">
        <w:rPr>
          <w:noProof/>
        </w:rPr>
        <w:t>u dostosowania do postępu technicznego Komisja jest uprawniona do zmiany niniejszego rozporządzenia</w:t>
      </w:r>
      <w:r w:rsidR="00DD1DFA" w:rsidRPr="00DD1DFA">
        <w:rPr>
          <w:noProof/>
        </w:rPr>
        <w:t xml:space="preserve"> w</w:t>
      </w:r>
      <w:r w:rsidR="00DD1DFA">
        <w:rPr>
          <w:noProof/>
        </w:rPr>
        <w:t> </w:t>
      </w:r>
      <w:r w:rsidR="00DD1DFA" w:rsidRPr="00DD1DFA">
        <w:rPr>
          <w:noProof/>
        </w:rPr>
        <w:t>dro</w:t>
      </w:r>
      <w:r w:rsidR="008E7D12" w:rsidRPr="00DD1DFA">
        <w:rPr>
          <w:noProof/>
        </w:rPr>
        <w:t>dze aktów delegowanych zgodnie</w:t>
      </w:r>
      <w:r w:rsidR="00DD1DFA" w:rsidRPr="00DD1DFA">
        <w:rPr>
          <w:noProof/>
        </w:rPr>
        <w:t xml:space="preserve"> z</w:t>
      </w:r>
      <w:r w:rsidR="00DD1DFA">
        <w:rPr>
          <w:noProof/>
        </w:rPr>
        <w:t> </w:t>
      </w:r>
      <w:r w:rsidR="00DD1DFA" w:rsidRPr="00DD1DFA">
        <w:rPr>
          <w:noProof/>
        </w:rPr>
        <w:t>art</w:t>
      </w:r>
      <w:r w:rsidR="008E7D12" w:rsidRPr="00DD1DFA">
        <w:rPr>
          <w:noProof/>
        </w:rPr>
        <w:t>.</w:t>
      </w:r>
      <w:r w:rsidR="00DD1DFA" w:rsidRPr="00DD1DFA">
        <w:rPr>
          <w:noProof/>
        </w:rPr>
        <w:t> </w:t>
      </w:r>
      <w:r w:rsidR="008E7D12" w:rsidRPr="00DD1DFA">
        <w:rPr>
          <w:noProof/>
        </w:rPr>
        <w:t>87 przez wprowadzenie dodatkowych etapów oceny lub weryfikacji</w:t>
      </w:r>
      <w:r w:rsidR="00DD1DFA" w:rsidRPr="00DD1DFA">
        <w:rPr>
          <w:noProof/>
        </w:rPr>
        <w:t xml:space="preserve"> w</w:t>
      </w:r>
      <w:r w:rsidR="00DD1DFA">
        <w:rPr>
          <w:noProof/>
        </w:rPr>
        <w:t> </w:t>
      </w:r>
      <w:r w:rsidR="00DD1DFA" w:rsidRPr="00DD1DFA">
        <w:rPr>
          <w:noProof/>
        </w:rPr>
        <w:t>ram</w:t>
      </w:r>
      <w:r w:rsidR="008E7D12" w:rsidRPr="00DD1DFA">
        <w:rPr>
          <w:noProof/>
        </w:rPr>
        <w:t>ach systemów określonych</w:t>
      </w:r>
      <w:r w:rsidR="00DD1DFA" w:rsidRPr="00DD1DFA">
        <w:rPr>
          <w:noProof/>
        </w:rPr>
        <w:t xml:space="preserve"> w</w:t>
      </w:r>
      <w:r w:rsidR="00DD1DFA">
        <w:rPr>
          <w:noProof/>
        </w:rPr>
        <w:t> </w:t>
      </w:r>
      <w:r w:rsidR="00DD1DFA" w:rsidRPr="00DD1DFA">
        <w:rPr>
          <w:noProof/>
        </w:rPr>
        <w:t>zał</w:t>
      </w:r>
      <w:r w:rsidR="008E7D12" w:rsidRPr="00DD1DFA">
        <w:rPr>
          <w:noProof/>
        </w:rPr>
        <w:t>ączniku V.</w:t>
      </w:r>
    </w:p>
    <w:p w14:paraId="0C4BF746" w14:textId="77777777" w:rsidR="00BC1E12" w:rsidRPr="00DD1DFA" w:rsidRDefault="00BC1E12" w:rsidP="00B47319">
      <w:pPr>
        <w:pStyle w:val="Titrearticle"/>
        <w:rPr>
          <w:noProof/>
        </w:rPr>
      </w:pPr>
      <w:r w:rsidRPr="00DD1DFA">
        <w:rPr>
          <w:i w:val="0"/>
          <w:iCs/>
          <w:noProof/>
          <w:color w:val="000000"/>
          <w:szCs w:val="24"/>
        </w:rPr>
        <w:t>Artykuł 7</w:t>
      </w:r>
    </w:p>
    <w:p w14:paraId="5959DE7E" w14:textId="040619D8" w:rsidR="00BC1E12" w:rsidRPr="00DD1DFA" w:rsidRDefault="00BC1E12" w:rsidP="00B47319">
      <w:pPr>
        <w:pStyle w:val="Titrearticle"/>
        <w:rPr>
          <w:noProof/>
        </w:rPr>
      </w:pPr>
      <w:r w:rsidRPr="00DD1DFA">
        <w:rPr>
          <w:b/>
          <w:bCs/>
          <w:i w:val="0"/>
          <w:noProof/>
          <w:color w:val="000000"/>
          <w:szCs w:val="24"/>
        </w:rPr>
        <w:t>Strefa zharmonizowana</w:t>
      </w:r>
      <w:r w:rsidR="00DD1DFA" w:rsidRPr="00DD1DFA">
        <w:rPr>
          <w:b/>
          <w:bCs/>
          <w:i w:val="0"/>
          <w:noProof/>
          <w:color w:val="000000"/>
          <w:szCs w:val="24"/>
        </w:rPr>
        <w:t xml:space="preserve"> i</w:t>
      </w:r>
      <w:r w:rsidR="00DD1DFA">
        <w:rPr>
          <w:b/>
          <w:bCs/>
          <w:i w:val="0"/>
          <w:noProof/>
          <w:color w:val="000000"/>
          <w:szCs w:val="24"/>
        </w:rPr>
        <w:t> </w:t>
      </w:r>
      <w:r w:rsidR="00DD1DFA" w:rsidRPr="00DD1DFA">
        <w:rPr>
          <w:b/>
          <w:bCs/>
          <w:i w:val="0"/>
          <w:noProof/>
          <w:color w:val="000000"/>
          <w:szCs w:val="24"/>
        </w:rPr>
        <w:t>kra</w:t>
      </w:r>
      <w:r w:rsidRPr="00DD1DFA">
        <w:rPr>
          <w:b/>
          <w:bCs/>
          <w:i w:val="0"/>
          <w:noProof/>
          <w:color w:val="000000"/>
          <w:szCs w:val="24"/>
        </w:rPr>
        <w:t>jowe środki</w:t>
      </w:r>
    </w:p>
    <w:p w14:paraId="67B96C1A" w14:textId="3CF07CE4" w:rsidR="00043545" w:rsidRPr="00DD1DFA" w:rsidRDefault="005F7EFA" w:rsidP="005F7EFA">
      <w:pPr>
        <w:pStyle w:val="ManualNumPar1"/>
        <w:rPr>
          <w:noProof/>
        </w:rPr>
      </w:pPr>
      <w:r w:rsidRPr="005F7EFA">
        <w:t>1.</w:t>
      </w:r>
      <w:r w:rsidRPr="005F7EFA">
        <w:tab/>
      </w:r>
      <w:r w:rsidR="00043545" w:rsidRPr="00DD1DFA">
        <w:rPr>
          <w:noProof/>
        </w:rPr>
        <w:t>Przyjmuje się, że strefa zharmonizowana ma charakter kompleksowy</w:t>
      </w:r>
      <w:r w:rsidR="00DD1DFA" w:rsidRPr="00DD1DFA">
        <w:rPr>
          <w:noProof/>
        </w:rPr>
        <w:t xml:space="preserve"> i</w:t>
      </w:r>
      <w:r w:rsidR="00DD1DFA">
        <w:rPr>
          <w:noProof/>
        </w:rPr>
        <w:t> </w:t>
      </w:r>
      <w:r w:rsidR="00DD1DFA" w:rsidRPr="00DD1DFA">
        <w:rPr>
          <w:noProof/>
        </w:rPr>
        <w:t>obe</w:t>
      </w:r>
      <w:r w:rsidR="00043545" w:rsidRPr="00DD1DFA">
        <w:rPr>
          <w:noProof/>
        </w:rPr>
        <w:t>jmuje wszystkie potencjalne wymogi dotyczące wyrobów inne niż objęte innymi przepisami prawa Unii.</w:t>
      </w:r>
    </w:p>
    <w:p w14:paraId="4F75039A" w14:textId="2EA2F728" w:rsidR="00043545" w:rsidRPr="00DD1DFA" w:rsidRDefault="005F7EFA" w:rsidP="005F7EFA">
      <w:pPr>
        <w:pStyle w:val="ManualNumPar1"/>
        <w:rPr>
          <w:noProof/>
        </w:rPr>
      </w:pPr>
      <w:r w:rsidRPr="005F7EFA">
        <w:t>2.</w:t>
      </w:r>
      <w:r w:rsidRPr="005F7EFA">
        <w:tab/>
      </w:r>
      <w:r w:rsidR="00043545" w:rsidRPr="00DD1DFA">
        <w:rPr>
          <w:noProof/>
        </w:rPr>
        <w:t>Państwa członkowskie przestrzegają strefy zharmonizowanej</w:t>
      </w:r>
      <w:r w:rsidR="00DD1DFA" w:rsidRPr="00DD1DFA">
        <w:rPr>
          <w:noProof/>
        </w:rPr>
        <w:t xml:space="preserve"> w</w:t>
      </w:r>
      <w:r w:rsidR="00DD1DFA">
        <w:rPr>
          <w:noProof/>
        </w:rPr>
        <w:t> </w:t>
      </w:r>
      <w:r w:rsidR="00DD1DFA" w:rsidRPr="00DD1DFA">
        <w:rPr>
          <w:noProof/>
        </w:rPr>
        <w:t>swo</w:t>
      </w:r>
      <w:r w:rsidR="00043545" w:rsidRPr="00DD1DFA">
        <w:rPr>
          <w:noProof/>
        </w:rPr>
        <w:t>im prawie krajowym, innych przepisach lub działaniach administracyjnych</w:t>
      </w:r>
      <w:r w:rsidR="00DD1DFA" w:rsidRPr="00DD1DFA">
        <w:rPr>
          <w:noProof/>
        </w:rPr>
        <w:t xml:space="preserve"> i</w:t>
      </w:r>
      <w:r w:rsidR="00DD1DFA">
        <w:rPr>
          <w:noProof/>
        </w:rPr>
        <w:t> </w:t>
      </w:r>
      <w:r w:rsidR="00DD1DFA" w:rsidRPr="00DD1DFA">
        <w:rPr>
          <w:noProof/>
        </w:rPr>
        <w:t>nie</w:t>
      </w:r>
      <w:r w:rsidR="00043545" w:rsidRPr="00DD1DFA">
        <w:rPr>
          <w:noProof/>
        </w:rPr>
        <w:t xml:space="preserve"> ustanawiają dodatkowych wymogów dotyczących wyrobów objętych tą strefą. Dotyczy to</w:t>
      </w:r>
      <w:r w:rsidR="00DD1DFA" w:rsidRPr="00DD1DFA">
        <w:rPr>
          <w:noProof/>
        </w:rPr>
        <w:t xml:space="preserve"> w</w:t>
      </w:r>
      <w:r w:rsidR="00DD1DFA">
        <w:rPr>
          <w:noProof/>
        </w:rPr>
        <w:t> </w:t>
      </w:r>
      <w:r w:rsidR="00DD1DFA" w:rsidRPr="00DD1DFA">
        <w:rPr>
          <w:noProof/>
        </w:rPr>
        <w:t>szc</w:t>
      </w:r>
      <w:r w:rsidR="00043545" w:rsidRPr="00DD1DFA">
        <w:rPr>
          <w:noProof/>
        </w:rPr>
        <w:t>zególności następujących zasad:</w:t>
      </w:r>
    </w:p>
    <w:p w14:paraId="571802D6" w14:textId="0D2A0DB7" w:rsidR="00043545" w:rsidRPr="00DD1DFA" w:rsidRDefault="00626BBA" w:rsidP="00626BBA">
      <w:pPr>
        <w:pStyle w:val="Point1"/>
        <w:rPr>
          <w:noProof/>
        </w:rPr>
      </w:pPr>
      <w:r w:rsidRPr="00626BBA">
        <w:rPr>
          <w:noProof/>
        </w:rPr>
        <w:t>a)</w:t>
      </w:r>
      <w:r w:rsidRPr="00626BBA">
        <w:rPr>
          <w:noProof/>
        </w:rPr>
        <w:tab/>
      </w:r>
      <w:r w:rsidR="00043545" w:rsidRPr="00DD1DFA">
        <w:rPr>
          <w:noProof/>
        </w:rPr>
        <w:t>nie ustanawia się żadnych innych wymogów informacyjnych, rejestracyjnych ani innych niż te, które zostały określone</w:t>
      </w:r>
      <w:r w:rsidR="00DD1DFA" w:rsidRPr="00DD1DFA">
        <w:rPr>
          <w:noProof/>
        </w:rPr>
        <w:t xml:space="preserve"> w</w:t>
      </w:r>
      <w:r w:rsidR="00DD1DFA">
        <w:rPr>
          <w:noProof/>
        </w:rPr>
        <w:t> </w:t>
      </w:r>
      <w:r w:rsidR="00DD1DFA" w:rsidRPr="00DD1DFA">
        <w:rPr>
          <w:noProof/>
        </w:rPr>
        <w:t>ram</w:t>
      </w:r>
      <w:r w:rsidR="00043545" w:rsidRPr="00DD1DFA">
        <w:rPr>
          <w:noProof/>
        </w:rPr>
        <w:t>ach strefy zharmonizowanej;</w:t>
      </w:r>
    </w:p>
    <w:p w14:paraId="4F31A80E" w14:textId="2CACE54A" w:rsidR="00043545" w:rsidRPr="00DD1DFA" w:rsidRDefault="00626BBA" w:rsidP="00626BBA">
      <w:pPr>
        <w:pStyle w:val="Point1"/>
        <w:rPr>
          <w:noProof/>
        </w:rPr>
      </w:pPr>
      <w:r w:rsidRPr="00626BBA">
        <w:rPr>
          <w:noProof/>
        </w:rPr>
        <w:t>b)</w:t>
      </w:r>
      <w:r w:rsidRPr="00626BBA">
        <w:rPr>
          <w:noProof/>
        </w:rPr>
        <w:tab/>
      </w:r>
      <w:r w:rsidR="00043545" w:rsidRPr="00DD1DFA">
        <w:rPr>
          <w:noProof/>
        </w:rPr>
        <w:t>nie wprowadza się obowiązku dokonywania ocen innych niż te, które zostały określone</w:t>
      </w:r>
      <w:r w:rsidR="00DD1DFA" w:rsidRPr="00DD1DFA">
        <w:rPr>
          <w:noProof/>
        </w:rPr>
        <w:t xml:space="preserve"> w</w:t>
      </w:r>
      <w:r w:rsidR="00DD1DFA">
        <w:rPr>
          <w:noProof/>
        </w:rPr>
        <w:t> </w:t>
      </w:r>
      <w:r w:rsidR="00DD1DFA" w:rsidRPr="00DD1DFA">
        <w:rPr>
          <w:noProof/>
        </w:rPr>
        <w:t>ram</w:t>
      </w:r>
      <w:r w:rsidR="00043545" w:rsidRPr="00DD1DFA">
        <w:rPr>
          <w:noProof/>
        </w:rPr>
        <w:t>ach strefy zharmonizowanej;</w:t>
      </w:r>
    </w:p>
    <w:p w14:paraId="3F08F289" w14:textId="52268482" w:rsidR="00043545" w:rsidRPr="00DD1DFA" w:rsidRDefault="00626BBA" w:rsidP="00626BBA">
      <w:pPr>
        <w:pStyle w:val="Point1"/>
        <w:rPr>
          <w:noProof/>
        </w:rPr>
      </w:pPr>
      <w:r w:rsidRPr="00626BBA">
        <w:rPr>
          <w:noProof/>
        </w:rPr>
        <w:t>c)</w:t>
      </w:r>
      <w:r w:rsidRPr="00626BBA">
        <w:rPr>
          <w:noProof/>
        </w:rPr>
        <w:tab/>
      </w:r>
      <w:r w:rsidR="00043545" w:rsidRPr="00DD1DFA">
        <w:rPr>
          <w:noProof/>
        </w:rPr>
        <w:t>o ile nie określono inaczej zgodnie</w:t>
      </w:r>
      <w:r w:rsidR="00DD1DFA" w:rsidRPr="00DD1DFA">
        <w:rPr>
          <w:noProof/>
        </w:rPr>
        <w:t xml:space="preserve"> z</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5 ust.</w:t>
      </w:r>
      <w:r w:rsidR="00DD1DFA" w:rsidRPr="00DD1DFA">
        <w:rPr>
          <w:noProof/>
        </w:rPr>
        <w:t> </w:t>
      </w:r>
      <w:r w:rsidR="00043545" w:rsidRPr="00DD1DFA">
        <w:rPr>
          <w:noProof/>
        </w:rPr>
        <w:t>3, prawo krajowe, inne przepisy lub działania administracyjne nie powielają ani nie przekraczają wymogów dotyczących wyrobów określonych zgodnie</w:t>
      </w:r>
      <w:r w:rsidR="00DD1DFA" w:rsidRPr="00DD1DFA">
        <w:rPr>
          <w:noProof/>
        </w:rPr>
        <w:t xml:space="preserve"> z</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5 lub wartości progowe ustanowione zgodnie</w:t>
      </w:r>
      <w:r w:rsidR="00DD1DFA" w:rsidRPr="00DD1DFA">
        <w:rPr>
          <w:noProof/>
        </w:rPr>
        <w:t xml:space="preserve"> z</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4 ust.</w:t>
      </w:r>
      <w:r w:rsidR="00DD1DFA" w:rsidRPr="00DD1DFA">
        <w:rPr>
          <w:noProof/>
        </w:rPr>
        <w:t> </w:t>
      </w:r>
      <w:r w:rsidR="00043545" w:rsidRPr="00DD1DFA">
        <w:rPr>
          <w:noProof/>
        </w:rPr>
        <w:t>4;</w:t>
      </w:r>
    </w:p>
    <w:p w14:paraId="554D3641" w14:textId="66505D80" w:rsidR="00043545" w:rsidRPr="00DD1DFA" w:rsidRDefault="00626BBA" w:rsidP="00626BBA">
      <w:pPr>
        <w:pStyle w:val="Point1"/>
        <w:rPr>
          <w:noProof/>
        </w:rPr>
      </w:pPr>
      <w:r w:rsidRPr="00626BBA">
        <w:rPr>
          <w:noProof/>
        </w:rPr>
        <w:t>d)</w:t>
      </w:r>
      <w:r w:rsidRPr="00626BBA">
        <w:rPr>
          <w:noProof/>
        </w:rPr>
        <w:tab/>
      </w:r>
      <w:r w:rsidR="00043545" w:rsidRPr="00DD1DFA">
        <w:rPr>
          <w:noProof/>
        </w:rPr>
        <w:t>prawo krajowe, inne przepisy lub działania administracyjne nie mogą wymagać większej liczby ocen</w:t>
      </w:r>
      <w:r w:rsidR="00DD1DFA" w:rsidRPr="00DD1DFA">
        <w:rPr>
          <w:noProof/>
        </w:rPr>
        <w:t xml:space="preserve"> i</w:t>
      </w:r>
      <w:r w:rsidR="00DD1DFA">
        <w:rPr>
          <w:noProof/>
        </w:rPr>
        <w:t> </w:t>
      </w:r>
      <w:r w:rsidR="00DD1DFA" w:rsidRPr="00DD1DFA">
        <w:rPr>
          <w:noProof/>
        </w:rPr>
        <w:t>wer</w:t>
      </w:r>
      <w:r w:rsidR="00043545" w:rsidRPr="00DD1DFA">
        <w:rPr>
          <w:noProof/>
        </w:rPr>
        <w:t>yfikacji niż określono</w:t>
      </w:r>
      <w:r w:rsidR="00DD1DFA" w:rsidRPr="00DD1DFA">
        <w:rPr>
          <w:noProof/>
        </w:rPr>
        <w:t xml:space="preserve"> w</w:t>
      </w:r>
      <w:r w:rsidR="00DD1DFA">
        <w:rPr>
          <w:noProof/>
        </w:rPr>
        <w:t> </w:t>
      </w:r>
      <w:r w:rsidR="00DD1DFA" w:rsidRPr="00DD1DFA">
        <w:rPr>
          <w:noProof/>
        </w:rPr>
        <w:t>zał</w:t>
      </w:r>
      <w:r w:rsidR="00043545" w:rsidRPr="00DD1DFA">
        <w:rPr>
          <w:noProof/>
        </w:rPr>
        <w:t>ączniku V</w:t>
      </w:r>
      <w:r w:rsidR="00DD1DFA" w:rsidRPr="00DD1DFA">
        <w:rPr>
          <w:noProof/>
        </w:rPr>
        <w:t xml:space="preserve"> i</w:t>
      </w:r>
      <w:r w:rsidR="00DD1DFA">
        <w:rPr>
          <w:noProof/>
        </w:rPr>
        <w:t> </w:t>
      </w:r>
      <w:r w:rsidR="00DD1DFA" w:rsidRPr="00DD1DFA">
        <w:rPr>
          <w:noProof/>
        </w:rPr>
        <w:t>nie</w:t>
      </w:r>
      <w:r w:rsidR="00043545" w:rsidRPr="00DD1DFA">
        <w:rPr>
          <w:noProof/>
        </w:rPr>
        <w:t xml:space="preserve"> mogą rozszerzać zakresu ocen</w:t>
      </w:r>
      <w:r w:rsidR="00DD1DFA" w:rsidRPr="00DD1DFA">
        <w:rPr>
          <w:noProof/>
        </w:rPr>
        <w:t xml:space="preserve"> i</w:t>
      </w:r>
      <w:r w:rsidR="00DD1DFA">
        <w:rPr>
          <w:noProof/>
        </w:rPr>
        <w:t> </w:t>
      </w:r>
      <w:r w:rsidR="00DD1DFA" w:rsidRPr="00DD1DFA">
        <w:rPr>
          <w:noProof/>
        </w:rPr>
        <w:t>wer</w:t>
      </w:r>
      <w:r w:rsidR="00043545" w:rsidRPr="00DD1DFA">
        <w:rPr>
          <w:noProof/>
        </w:rPr>
        <w:t>yfikacji zawartych</w:t>
      </w:r>
      <w:r w:rsidR="00DD1DFA" w:rsidRPr="00DD1DFA">
        <w:rPr>
          <w:noProof/>
        </w:rPr>
        <w:t xml:space="preserve"> w</w:t>
      </w:r>
      <w:r w:rsidR="00DD1DFA">
        <w:rPr>
          <w:noProof/>
        </w:rPr>
        <w:t> </w:t>
      </w:r>
      <w:r w:rsidR="00DD1DFA" w:rsidRPr="00DD1DFA">
        <w:rPr>
          <w:noProof/>
        </w:rPr>
        <w:t>zał</w:t>
      </w:r>
      <w:r w:rsidR="00043545" w:rsidRPr="00DD1DFA">
        <w:rPr>
          <w:noProof/>
        </w:rPr>
        <w:t>ączniku V;</w:t>
      </w:r>
    </w:p>
    <w:p w14:paraId="0E273634" w14:textId="72D1954D" w:rsidR="00043545" w:rsidRPr="00DD1DFA" w:rsidRDefault="00626BBA" w:rsidP="00626BBA">
      <w:pPr>
        <w:pStyle w:val="Point1"/>
        <w:rPr>
          <w:noProof/>
        </w:rPr>
      </w:pPr>
      <w:r w:rsidRPr="00626BBA">
        <w:rPr>
          <w:noProof/>
        </w:rPr>
        <w:t>e)</w:t>
      </w:r>
      <w:r w:rsidRPr="00626BBA">
        <w:rPr>
          <w:noProof/>
        </w:rPr>
        <w:tab/>
      </w:r>
      <w:r w:rsidR="00043545" w:rsidRPr="00DD1DFA">
        <w:rPr>
          <w:noProof/>
        </w:rPr>
        <w:t>prawo krajowe, inne przepisy lub działania administracyjne powielają się</w:t>
      </w:r>
      <w:r w:rsidR="00DD1DFA" w:rsidRPr="00DD1DFA">
        <w:rPr>
          <w:noProof/>
        </w:rPr>
        <w:t xml:space="preserve"> i</w:t>
      </w:r>
      <w:r w:rsidR="00DD1DFA">
        <w:rPr>
          <w:noProof/>
        </w:rPr>
        <w:t> </w:t>
      </w:r>
      <w:r w:rsidR="00DD1DFA" w:rsidRPr="00DD1DFA">
        <w:rPr>
          <w:noProof/>
        </w:rPr>
        <w:t>nie</w:t>
      </w:r>
      <w:r w:rsidR="00043545" w:rsidRPr="00DD1DFA">
        <w:rPr>
          <w:noProof/>
        </w:rPr>
        <w:t xml:space="preserve"> wymagają więcej lub mniej niż to, co zostało wymagane</w:t>
      </w:r>
      <w:r w:rsidR="00DD1DFA" w:rsidRPr="00DD1DFA">
        <w:rPr>
          <w:noProof/>
        </w:rPr>
        <w:t xml:space="preserve"> w</w:t>
      </w:r>
      <w:r w:rsidR="00DD1DFA">
        <w:rPr>
          <w:noProof/>
        </w:rPr>
        <w:t> </w:t>
      </w:r>
      <w:r w:rsidR="00DD1DFA" w:rsidRPr="00DD1DFA">
        <w:rPr>
          <w:noProof/>
        </w:rPr>
        <w:t>ram</w:t>
      </w:r>
      <w:r w:rsidR="00043545" w:rsidRPr="00DD1DFA">
        <w:rPr>
          <w:noProof/>
        </w:rPr>
        <w:t>ach wartości progowych ustanowionych zgodnie</w:t>
      </w:r>
      <w:r w:rsidR="00DD1DFA" w:rsidRPr="00DD1DFA">
        <w:rPr>
          <w:noProof/>
        </w:rPr>
        <w:t xml:space="preserve"> z</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4 ust.</w:t>
      </w:r>
      <w:r w:rsidR="00DD1DFA" w:rsidRPr="00DD1DFA">
        <w:rPr>
          <w:noProof/>
        </w:rPr>
        <w:t> </w:t>
      </w:r>
      <w:r w:rsidR="00043545" w:rsidRPr="00DD1DFA">
        <w:rPr>
          <w:noProof/>
        </w:rPr>
        <w:t>4;</w:t>
      </w:r>
    </w:p>
    <w:p w14:paraId="11573386" w14:textId="4C2052C3" w:rsidR="00043545" w:rsidRPr="00DD1DFA" w:rsidRDefault="00626BBA" w:rsidP="00626BBA">
      <w:pPr>
        <w:pStyle w:val="Point1"/>
        <w:rPr>
          <w:noProof/>
        </w:rPr>
      </w:pPr>
      <w:r w:rsidRPr="00626BBA">
        <w:rPr>
          <w:noProof/>
        </w:rPr>
        <w:t>f)</w:t>
      </w:r>
      <w:r w:rsidRPr="00626BBA">
        <w:rPr>
          <w:noProof/>
        </w:rPr>
        <w:tab/>
      </w:r>
      <w:r w:rsidR="00043545" w:rsidRPr="00DD1DFA">
        <w:rPr>
          <w:noProof/>
        </w:rPr>
        <w:t>prawo krajowe, inne przepisy lub działania administracyjne nie mogą być oparte na klasach, podklasach lub klasach dodatkowych innych niż te, które zostały ustanowione zgodnie</w:t>
      </w:r>
      <w:r w:rsidR="00DD1DFA" w:rsidRPr="00DD1DFA">
        <w:rPr>
          <w:noProof/>
        </w:rPr>
        <w:t xml:space="preserve"> z</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4 ust.</w:t>
      </w:r>
      <w:r w:rsidR="00DD1DFA" w:rsidRPr="00DD1DFA">
        <w:rPr>
          <w:noProof/>
        </w:rPr>
        <w:t> </w:t>
      </w:r>
      <w:r w:rsidR="00043545" w:rsidRPr="00DD1DFA">
        <w:rPr>
          <w:noProof/>
        </w:rPr>
        <w:t>4;</w:t>
      </w:r>
    </w:p>
    <w:p w14:paraId="59604BDB" w14:textId="2571AA01" w:rsidR="00043545" w:rsidRPr="00DD1DFA" w:rsidRDefault="00626BBA" w:rsidP="00626BBA">
      <w:pPr>
        <w:pStyle w:val="Point1"/>
        <w:rPr>
          <w:noProof/>
        </w:rPr>
      </w:pPr>
      <w:r w:rsidRPr="00626BBA">
        <w:rPr>
          <w:noProof/>
        </w:rPr>
        <w:t>g)</w:t>
      </w:r>
      <w:r w:rsidRPr="00626BBA">
        <w:rPr>
          <w:noProof/>
        </w:rPr>
        <w:tab/>
      </w:r>
      <w:r w:rsidR="00043545" w:rsidRPr="00DD1DFA">
        <w:rPr>
          <w:noProof/>
        </w:rPr>
        <w:t>jeżeli metody oceny ustalono zgodnie</w:t>
      </w:r>
      <w:r w:rsidR="00DD1DFA" w:rsidRPr="00DD1DFA">
        <w:rPr>
          <w:noProof/>
        </w:rPr>
        <w:t xml:space="preserve"> z</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4 ust.</w:t>
      </w:r>
      <w:r w:rsidR="00DD1DFA" w:rsidRPr="00DD1DFA">
        <w:rPr>
          <w:noProof/>
        </w:rPr>
        <w:t> </w:t>
      </w:r>
      <w:r w:rsidR="00043545" w:rsidRPr="00DD1DFA">
        <w:rPr>
          <w:noProof/>
        </w:rPr>
        <w:t>2 lub art.</w:t>
      </w:r>
      <w:r w:rsidR="00DD1DFA" w:rsidRPr="00DD1DFA">
        <w:rPr>
          <w:noProof/>
        </w:rPr>
        <w:t> </w:t>
      </w:r>
      <w:r w:rsidR="00043545" w:rsidRPr="00DD1DFA">
        <w:rPr>
          <w:noProof/>
        </w:rPr>
        <w:t>5 ust.</w:t>
      </w:r>
      <w:r w:rsidR="00DD1DFA" w:rsidRPr="00DD1DFA">
        <w:rPr>
          <w:noProof/>
        </w:rPr>
        <w:t> </w:t>
      </w:r>
      <w:r w:rsidR="00043545" w:rsidRPr="00DD1DFA">
        <w:rPr>
          <w:noProof/>
        </w:rPr>
        <w:t>2, prawo krajowe, inne przepisy lub działania administracyjne, zarówno</w:t>
      </w:r>
      <w:r w:rsidR="00DD1DFA" w:rsidRPr="00DD1DFA">
        <w:rPr>
          <w:noProof/>
        </w:rPr>
        <w:t xml:space="preserve"> w</w:t>
      </w:r>
      <w:r w:rsidR="00DD1DFA">
        <w:rPr>
          <w:noProof/>
        </w:rPr>
        <w:t> </w:t>
      </w:r>
      <w:r w:rsidR="00DD1DFA" w:rsidRPr="00DD1DFA">
        <w:rPr>
          <w:noProof/>
        </w:rPr>
        <w:t>odn</w:t>
      </w:r>
      <w:r w:rsidR="00043545" w:rsidRPr="00DD1DFA">
        <w:rPr>
          <w:noProof/>
        </w:rPr>
        <w:t>iesieniu do obiektów budowlanych, jak</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odn</w:t>
      </w:r>
      <w:r w:rsidR="00043545" w:rsidRPr="00DD1DFA">
        <w:rPr>
          <w:noProof/>
        </w:rPr>
        <w:t>iesieniu do charakterystyk lub wymogów dotyczących wyrobów, nie mogą odwoływać się do innych metod oceny ani też zmieniać lub uzupełniać tych metod oceny bądź wybierać jedynie ich części.</w:t>
      </w:r>
    </w:p>
    <w:p w14:paraId="5E4B08E4" w14:textId="6BEEE128" w:rsidR="00043545" w:rsidRPr="00DD1DFA" w:rsidRDefault="00043545" w:rsidP="00300D3C">
      <w:pPr>
        <w:pStyle w:val="Text1"/>
        <w:rPr>
          <w:noProof/>
        </w:rPr>
      </w:pPr>
      <w:r w:rsidRPr="00DD1DFA">
        <w:rPr>
          <w:noProof/>
        </w:rPr>
        <w:t>Niniejszy ustęp ma również zastosowanie do przetargów publicznych lub bezpośredniego udzielania zamówień, jeżeli te przetargi publiczne lub bezpośrednie udzielanie zamówień są realizowane pod bezpośrednią lub pośrednią kontrolą podmiotów publicznych lub są realizowane</w:t>
      </w:r>
      <w:r w:rsidR="00DD1DFA" w:rsidRPr="00DD1DFA">
        <w:rPr>
          <w:noProof/>
        </w:rPr>
        <w:t xml:space="preserve"> w</w:t>
      </w:r>
      <w:r w:rsidR="00DD1DFA">
        <w:rPr>
          <w:noProof/>
        </w:rPr>
        <w:t> </w:t>
      </w:r>
      <w:r w:rsidR="00DD1DFA" w:rsidRPr="00DD1DFA">
        <w:rPr>
          <w:noProof/>
        </w:rPr>
        <w:t>odn</w:t>
      </w:r>
      <w:r w:rsidRPr="00DD1DFA">
        <w:rPr>
          <w:noProof/>
        </w:rPr>
        <w:t>iesieniu do przepisów publicznych dotyczących przetargów publicznych lub bezpośredniego udzielania zamówień. Niniejszy ustęp ma również zastosowanie do dotacji lub innych pozytywnych zachęt,</w:t>
      </w:r>
      <w:r w:rsidR="00DD1DFA" w:rsidRPr="00DD1DFA">
        <w:rPr>
          <w:noProof/>
        </w:rPr>
        <w:t xml:space="preserve"> z</w:t>
      </w:r>
      <w:r w:rsidR="00DD1DFA">
        <w:rPr>
          <w:noProof/>
        </w:rPr>
        <w:t> </w:t>
      </w:r>
      <w:r w:rsidR="00DD1DFA" w:rsidRPr="00DD1DFA">
        <w:rPr>
          <w:noProof/>
        </w:rPr>
        <w:t>wyj</w:t>
      </w:r>
      <w:r w:rsidRPr="00DD1DFA">
        <w:rPr>
          <w:noProof/>
        </w:rPr>
        <w:t>ątkiem bodźców podatkowych</w:t>
      </w:r>
      <w:r w:rsidR="00DD1DFA" w:rsidRPr="00DD1DFA">
        <w:rPr>
          <w:noProof/>
        </w:rPr>
        <w:t>. W</w:t>
      </w:r>
      <w:r w:rsidR="00DD1DFA">
        <w:rPr>
          <w:noProof/>
        </w:rPr>
        <w:t> </w:t>
      </w:r>
      <w:r w:rsidR="00DD1DFA" w:rsidRPr="00DD1DFA">
        <w:rPr>
          <w:noProof/>
        </w:rPr>
        <w:t>ram</w:t>
      </w:r>
      <w:r w:rsidRPr="00DD1DFA">
        <w:rPr>
          <w:noProof/>
        </w:rPr>
        <w:t>ach zharmonizowanych specyfikacji technicznych można jednak zezwalać lub zalecać państwom członkowskim powiązanie decyzji</w:t>
      </w:r>
      <w:r w:rsidR="00DD1DFA" w:rsidRPr="00DD1DFA">
        <w:rPr>
          <w:noProof/>
        </w:rPr>
        <w:t xml:space="preserve"> w</w:t>
      </w:r>
      <w:r w:rsidR="00DD1DFA">
        <w:rPr>
          <w:noProof/>
        </w:rPr>
        <w:t> </w:t>
      </w:r>
      <w:r w:rsidR="00DD1DFA" w:rsidRPr="00DD1DFA">
        <w:rPr>
          <w:noProof/>
        </w:rPr>
        <w:t>spr</w:t>
      </w:r>
      <w:r w:rsidRPr="00DD1DFA">
        <w:rPr>
          <w:noProof/>
        </w:rPr>
        <w:t>awie przyznania zamówień publicznych, umów, dotacji lub innych pozytywnych zachęt</w:t>
      </w:r>
      <w:r w:rsidR="00DD1DFA" w:rsidRPr="00DD1DFA">
        <w:rPr>
          <w:noProof/>
        </w:rPr>
        <w:t xml:space="preserve"> z</w:t>
      </w:r>
      <w:r w:rsidR="00DD1DFA">
        <w:rPr>
          <w:noProof/>
        </w:rPr>
        <w:t> </w:t>
      </w:r>
      <w:r w:rsidR="00DD1DFA" w:rsidRPr="00DD1DFA">
        <w:rPr>
          <w:noProof/>
        </w:rPr>
        <w:t>pod</w:t>
      </w:r>
      <w:r w:rsidRPr="00DD1DFA">
        <w:rPr>
          <w:noProof/>
        </w:rPr>
        <w:t>klasami lub klasami dodatkowymi innymi niż ustanowione na podstawie art.</w:t>
      </w:r>
      <w:r w:rsidR="00DD1DFA" w:rsidRPr="00DD1DFA">
        <w:rPr>
          <w:noProof/>
        </w:rPr>
        <w:t> </w:t>
      </w:r>
      <w:r w:rsidRPr="00DD1DFA">
        <w:rPr>
          <w:noProof/>
        </w:rPr>
        <w:t>4 ust.</w:t>
      </w:r>
      <w:r w:rsidR="00DD1DFA" w:rsidRPr="00DD1DFA">
        <w:rPr>
          <w:noProof/>
        </w:rPr>
        <w:t> </w:t>
      </w:r>
      <w:r w:rsidRPr="00DD1DFA">
        <w:rPr>
          <w:noProof/>
        </w:rPr>
        <w:t>4, jeżeli nadal odnoszą się one do efektywności środowiskowej ocenianej na podstawie tych zharmonizowanych specyfikacji technicznych.</w:t>
      </w:r>
    </w:p>
    <w:p w14:paraId="7FA10816" w14:textId="7DB54848" w:rsidR="00043545" w:rsidRPr="00DD1DFA" w:rsidRDefault="005F7EFA" w:rsidP="005F7EFA">
      <w:pPr>
        <w:pStyle w:val="ManualNumPar1"/>
        <w:rPr>
          <w:noProof/>
        </w:rPr>
      </w:pPr>
      <w:r w:rsidRPr="005F7EFA">
        <w:t>3.</w:t>
      </w:r>
      <w:r w:rsidRPr="005F7EFA">
        <w:tab/>
      </w:r>
      <w:r w:rsidR="00043545" w:rsidRPr="00DD1DFA">
        <w:rPr>
          <w:noProof/>
        </w:rPr>
        <w:t>Państwa członkowskie informują pozostałe państwa członkowskie oraz Komisję</w:t>
      </w:r>
      <w:r w:rsidR="00DD1DFA" w:rsidRPr="00DD1DFA">
        <w:rPr>
          <w:noProof/>
        </w:rPr>
        <w:t xml:space="preserve"> o</w:t>
      </w:r>
      <w:r w:rsidR="00DD1DFA">
        <w:rPr>
          <w:noProof/>
        </w:rPr>
        <w:t> </w:t>
      </w:r>
      <w:r w:rsidR="00DD1DFA" w:rsidRPr="00DD1DFA">
        <w:rPr>
          <w:noProof/>
        </w:rPr>
        <w:t>zas</w:t>
      </w:r>
      <w:r w:rsidR="00043545" w:rsidRPr="00DD1DFA">
        <w:rPr>
          <w:noProof/>
        </w:rPr>
        <w:t>adniczych charakterystykach, których wymagają</w:t>
      </w:r>
      <w:r w:rsidR="00DD1DFA" w:rsidRPr="00DD1DFA">
        <w:rPr>
          <w:noProof/>
        </w:rPr>
        <w:t xml:space="preserve"> w</w:t>
      </w:r>
      <w:r w:rsidR="00DD1DFA">
        <w:rPr>
          <w:noProof/>
        </w:rPr>
        <w:t> </w:t>
      </w:r>
      <w:r w:rsidR="00DD1DFA" w:rsidRPr="00DD1DFA">
        <w:rPr>
          <w:noProof/>
        </w:rPr>
        <w:t>odn</w:t>
      </w:r>
      <w:r w:rsidR="00043545" w:rsidRPr="00DD1DFA">
        <w:rPr>
          <w:noProof/>
        </w:rPr>
        <w:t>iesieniu do każdej rodziny lub kategorii wyrobów,</w:t>
      </w:r>
      <w:r w:rsidR="00DD1DFA" w:rsidRPr="00DD1DFA">
        <w:rPr>
          <w:noProof/>
        </w:rPr>
        <w:t xml:space="preserve"> o</w:t>
      </w:r>
      <w:r w:rsidR="00DD1DFA">
        <w:rPr>
          <w:noProof/>
        </w:rPr>
        <w:t> </w:t>
      </w:r>
      <w:r w:rsidR="00DD1DFA" w:rsidRPr="00DD1DFA">
        <w:rPr>
          <w:noProof/>
        </w:rPr>
        <w:t>odp</w:t>
      </w:r>
      <w:r w:rsidR="00043545" w:rsidRPr="00DD1DFA">
        <w:rPr>
          <w:noProof/>
        </w:rPr>
        <w:t>owiednich wymogach dotyczących wyrobów oraz</w:t>
      </w:r>
      <w:r w:rsidR="00DD1DFA" w:rsidRPr="00DD1DFA">
        <w:rPr>
          <w:noProof/>
        </w:rPr>
        <w:t xml:space="preserve"> o</w:t>
      </w:r>
      <w:r w:rsidR="00DD1DFA">
        <w:rPr>
          <w:noProof/>
        </w:rPr>
        <w:t> </w:t>
      </w:r>
      <w:r w:rsidR="00DD1DFA" w:rsidRPr="00DD1DFA">
        <w:rPr>
          <w:noProof/>
        </w:rPr>
        <w:t>sto</w:t>
      </w:r>
      <w:r w:rsidR="00043545" w:rsidRPr="00DD1DFA">
        <w:rPr>
          <w:noProof/>
        </w:rPr>
        <w:t>sowanych przez siebie metodach oceny. Muszą one czynnie odnosić się do tych zasadniczych charakterystyk, wymogów</w:t>
      </w:r>
      <w:r w:rsidR="00DD1DFA" w:rsidRPr="00DD1DFA">
        <w:rPr>
          <w:noProof/>
        </w:rPr>
        <w:t xml:space="preserve"> i</w:t>
      </w:r>
      <w:r w:rsidR="00DD1DFA">
        <w:rPr>
          <w:noProof/>
        </w:rPr>
        <w:t> </w:t>
      </w:r>
      <w:r w:rsidR="00DD1DFA" w:rsidRPr="00DD1DFA">
        <w:rPr>
          <w:noProof/>
        </w:rPr>
        <w:t>met</w:t>
      </w:r>
      <w:r w:rsidR="00043545" w:rsidRPr="00DD1DFA">
        <w:rPr>
          <w:noProof/>
        </w:rPr>
        <w:t>od oceny na wszystkich forach</w:t>
      </w:r>
      <w:r w:rsidR="00DD1DFA" w:rsidRPr="00DD1DFA">
        <w:rPr>
          <w:noProof/>
        </w:rPr>
        <w:t xml:space="preserve"> i</w:t>
      </w:r>
      <w:r w:rsidR="00DD1DFA">
        <w:rPr>
          <w:noProof/>
        </w:rPr>
        <w:t> </w:t>
      </w:r>
      <w:r w:rsidR="00DD1DFA" w:rsidRPr="00DD1DFA">
        <w:rPr>
          <w:noProof/>
        </w:rPr>
        <w:t>prz</w:t>
      </w:r>
      <w:r w:rsidR="00043545" w:rsidRPr="00DD1DFA">
        <w:rPr>
          <w:noProof/>
        </w:rPr>
        <w:t>y wszystkich okazjach związanych</w:t>
      </w:r>
      <w:r w:rsidR="00DD1DFA" w:rsidRPr="00DD1DFA">
        <w:rPr>
          <w:noProof/>
        </w:rPr>
        <w:t xml:space="preserve"> z</w:t>
      </w:r>
      <w:r w:rsidR="00DD1DFA">
        <w:rPr>
          <w:noProof/>
        </w:rPr>
        <w:t> </w:t>
      </w:r>
      <w:r w:rsidR="00DD1DFA" w:rsidRPr="00DD1DFA">
        <w:rPr>
          <w:noProof/>
        </w:rPr>
        <w:t>opr</w:t>
      </w:r>
      <w:r w:rsidR="00043545" w:rsidRPr="00DD1DFA">
        <w:rPr>
          <w:noProof/>
        </w:rPr>
        <w:t>acowywaniem zharmonizowanych specyfikacji technicznych. Fora, na których opracowuje się zharmonizowane specyfikacje techniczne, muszą uwzględniać te zasadnicze charakterystyki, wymogi</w:t>
      </w:r>
      <w:r w:rsidR="00DD1DFA" w:rsidRPr="00DD1DFA">
        <w:rPr>
          <w:noProof/>
        </w:rPr>
        <w:t xml:space="preserve"> i</w:t>
      </w:r>
      <w:r w:rsidR="00DD1DFA">
        <w:rPr>
          <w:noProof/>
        </w:rPr>
        <w:t> </w:t>
      </w:r>
      <w:r w:rsidR="00DD1DFA" w:rsidRPr="00DD1DFA">
        <w:rPr>
          <w:noProof/>
        </w:rPr>
        <w:t>met</w:t>
      </w:r>
      <w:r w:rsidR="00043545" w:rsidRPr="00DD1DFA">
        <w:rPr>
          <w:noProof/>
        </w:rPr>
        <w:t>ody oceny. Zasadnicze charakterystyki muszą</w:t>
      </w:r>
      <w:r w:rsidR="00DD1DFA" w:rsidRPr="00DD1DFA">
        <w:rPr>
          <w:noProof/>
        </w:rPr>
        <w:t xml:space="preserve"> w</w:t>
      </w:r>
      <w:r w:rsidR="00DD1DFA">
        <w:rPr>
          <w:noProof/>
        </w:rPr>
        <w:t> </w:t>
      </w:r>
      <w:r w:rsidR="00DD1DFA" w:rsidRPr="00DD1DFA">
        <w:rPr>
          <w:noProof/>
        </w:rPr>
        <w:t>moż</w:t>
      </w:r>
      <w:r w:rsidR="00043545" w:rsidRPr="00DD1DFA">
        <w:rPr>
          <w:noProof/>
        </w:rPr>
        <w:t xml:space="preserve">liwie jak największym zakresie być objęte zharmonizowanymi specyfikacjami technicznymi. </w:t>
      </w:r>
    </w:p>
    <w:p w14:paraId="5FC03E75" w14:textId="7AE9FDA9" w:rsidR="00F67A5A" w:rsidRPr="00DD1DFA" w:rsidRDefault="005F7EFA" w:rsidP="005F7EFA">
      <w:pPr>
        <w:pStyle w:val="ManualNumPar1"/>
        <w:rPr>
          <w:noProof/>
        </w:rPr>
      </w:pPr>
      <w:r w:rsidRPr="005F7EFA">
        <w:t>4.</w:t>
      </w:r>
      <w:r w:rsidRPr="005F7EFA">
        <w:tab/>
      </w:r>
      <w:r w:rsidR="00043545" w:rsidRPr="00DD1DFA">
        <w:rPr>
          <w:noProof/>
        </w:rPr>
        <w:t>Jeżeli państwo członkowskie uzna za konieczne –</w:t>
      </w:r>
      <w:r w:rsidR="00DD1DFA" w:rsidRPr="00DD1DFA">
        <w:rPr>
          <w:noProof/>
        </w:rPr>
        <w:t xml:space="preserve"> w</w:t>
      </w:r>
      <w:r w:rsidR="00DD1DFA">
        <w:rPr>
          <w:noProof/>
        </w:rPr>
        <w:t> </w:t>
      </w:r>
      <w:r w:rsidR="00DD1DFA" w:rsidRPr="00DD1DFA">
        <w:rPr>
          <w:noProof/>
        </w:rPr>
        <w:t>nal</w:t>
      </w:r>
      <w:r w:rsidR="00043545" w:rsidRPr="00DD1DFA">
        <w:rPr>
          <w:noProof/>
        </w:rPr>
        <w:t>eżycie uzasadnionych, szczególnie pilnych przypadkach związanych</w:t>
      </w:r>
      <w:r w:rsidR="00DD1DFA" w:rsidRPr="00DD1DFA">
        <w:rPr>
          <w:noProof/>
        </w:rPr>
        <w:t xml:space="preserve"> z</w:t>
      </w:r>
      <w:r w:rsidR="00DD1DFA">
        <w:rPr>
          <w:noProof/>
        </w:rPr>
        <w:t> </w:t>
      </w:r>
      <w:r w:rsidR="00DD1DFA" w:rsidRPr="00DD1DFA">
        <w:rPr>
          <w:noProof/>
        </w:rPr>
        <w:t>och</w:t>
      </w:r>
      <w:r w:rsidR="00043545" w:rsidRPr="00DD1DFA">
        <w:rPr>
          <w:noProof/>
        </w:rPr>
        <w:t>roną zdrowia, bezpieczeństwem</w:t>
      </w:r>
      <w:r w:rsidR="00DD1DFA" w:rsidRPr="00DD1DFA">
        <w:rPr>
          <w:noProof/>
        </w:rPr>
        <w:t xml:space="preserve"> i</w:t>
      </w:r>
      <w:r w:rsidR="00DD1DFA">
        <w:rPr>
          <w:noProof/>
        </w:rPr>
        <w:t> </w:t>
      </w:r>
      <w:r w:rsidR="00DD1DFA" w:rsidRPr="00DD1DFA">
        <w:rPr>
          <w:noProof/>
        </w:rPr>
        <w:t>och</w:t>
      </w:r>
      <w:r w:rsidR="00043545" w:rsidRPr="00DD1DFA">
        <w:rPr>
          <w:noProof/>
        </w:rPr>
        <w:t>roną środowiska,</w:t>
      </w:r>
      <w:r w:rsidR="00DD1DFA" w:rsidRPr="00DD1DFA">
        <w:rPr>
          <w:noProof/>
        </w:rPr>
        <w:t xml:space="preserve"> w</w:t>
      </w:r>
      <w:r w:rsidR="00DD1DFA">
        <w:rPr>
          <w:noProof/>
        </w:rPr>
        <w:t> </w:t>
      </w:r>
      <w:r w:rsidR="00DD1DFA" w:rsidRPr="00DD1DFA">
        <w:rPr>
          <w:noProof/>
        </w:rPr>
        <w:t>tym</w:t>
      </w:r>
      <w:r w:rsidR="00043545" w:rsidRPr="00DD1DFA">
        <w:rPr>
          <w:noProof/>
        </w:rPr>
        <w:t xml:space="preserve"> klimatu – ustanowienie wymogów</w:t>
      </w:r>
      <w:r w:rsidR="00DD1DFA" w:rsidRPr="00DD1DFA">
        <w:rPr>
          <w:noProof/>
        </w:rPr>
        <w:t xml:space="preserve"> w</w:t>
      </w:r>
      <w:r w:rsidR="00DD1DFA">
        <w:rPr>
          <w:noProof/>
        </w:rPr>
        <w:t> </w:t>
      </w:r>
      <w:r w:rsidR="00DD1DFA" w:rsidRPr="00DD1DFA">
        <w:rPr>
          <w:noProof/>
        </w:rPr>
        <w:t>dro</w:t>
      </w:r>
      <w:r w:rsidR="00043545" w:rsidRPr="00DD1DFA">
        <w:rPr>
          <w:noProof/>
        </w:rPr>
        <w:t>dze rozporządzenia lub wprowadzenie środków administracyjnych na zasadzie odstępstwa od ust.</w:t>
      </w:r>
      <w:r w:rsidR="00DD1DFA" w:rsidRPr="00DD1DFA">
        <w:rPr>
          <w:noProof/>
        </w:rPr>
        <w:t> </w:t>
      </w:r>
      <w:r w:rsidR="00043545" w:rsidRPr="00DD1DFA">
        <w:rPr>
          <w:noProof/>
        </w:rPr>
        <w:t>2, powiadamia</w:t>
      </w:r>
      <w:r w:rsidR="00DD1DFA" w:rsidRPr="00DD1DFA">
        <w:rPr>
          <w:noProof/>
        </w:rPr>
        <w:t xml:space="preserve"> o</w:t>
      </w:r>
      <w:r w:rsidR="00DD1DFA">
        <w:rPr>
          <w:noProof/>
        </w:rPr>
        <w:t> </w:t>
      </w:r>
      <w:r w:rsidR="00DD1DFA" w:rsidRPr="00DD1DFA">
        <w:rPr>
          <w:noProof/>
        </w:rPr>
        <w:t>tym</w:t>
      </w:r>
      <w:r w:rsidR="00043545" w:rsidRPr="00DD1DFA">
        <w:rPr>
          <w:noProof/>
        </w:rPr>
        <w:t xml:space="preserve"> Komisję, uzasadniając potrzebę ustanowienia obowiązków proceduralnych</w:t>
      </w:r>
      <w:r w:rsidR="00DD1DFA" w:rsidRPr="00DD1DFA">
        <w:rPr>
          <w:noProof/>
        </w:rPr>
        <w:t xml:space="preserve"> i</w:t>
      </w:r>
      <w:r w:rsidR="00DD1DFA">
        <w:rPr>
          <w:noProof/>
        </w:rPr>
        <w:t> </w:t>
      </w:r>
      <w:r w:rsidR="00DD1DFA" w:rsidRPr="00DD1DFA">
        <w:rPr>
          <w:noProof/>
        </w:rPr>
        <w:t>wyj</w:t>
      </w:r>
      <w:r w:rsidR="00043545" w:rsidRPr="00DD1DFA">
        <w:rPr>
          <w:noProof/>
        </w:rPr>
        <w:t>aśniając potrzebę regulacyjną, którą ma spełnić, oraz przedstawiając dowody wskazujące zarówno na istnienie potrzeby regulacyjnej, jak i na brak objęcia jej zakresem strefy zharmonizowanej</w:t>
      </w:r>
      <w:r w:rsidR="00DD1DFA" w:rsidRPr="00DD1DFA">
        <w:rPr>
          <w:noProof/>
        </w:rPr>
        <w:t xml:space="preserve"> i</w:t>
      </w:r>
      <w:r w:rsidR="00DD1DFA">
        <w:rPr>
          <w:noProof/>
        </w:rPr>
        <w:t> </w:t>
      </w:r>
      <w:r w:rsidR="00DD1DFA" w:rsidRPr="00DD1DFA">
        <w:rPr>
          <w:noProof/>
        </w:rPr>
        <w:t>inn</w:t>
      </w:r>
      <w:r w:rsidR="00043545" w:rsidRPr="00DD1DFA">
        <w:rPr>
          <w:noProof/>
        </w:rPr>
        <w:t>ych przepisów prawa unijnego</w:t>
      </w:r>
      <w:r w:rsidR="00DD1DFA" w:rsidRPr="00DD1DFA">
        <w:rPr>
          <w:noProof/>
        </w:rPr>
        <w:t>. W</w:t>
      </w:r>
      <w:r w:rsidR="00DD1DFA">
        <w:rPr>
          <w:noProof/>
        </w:rPr>
        <w:t> </w:t>
      </w:r>
      <w:r w:rsidR="00DD1DFA" w:rsidRPr="00DD1DFA">
        <w:rPr>
          <w:noProof/>
        </w:rPr>
        <w:t>tym</w:t>
      </w:r>
      <w:r w:rsidR="00043545" w:rsidRPr="00DD1DFA">
        <w:rPr>
          <w:noProof/>
        </w:rPr>
        <w:t xml:space="preserve"> celu państwa członkowskie stosują</w:t>
      </w:r>
      <w:r w:rsidR="00DD1DFA" w:rsidRPr="00DD1DFA">
        <w:rPr>
          <w:noProof/>
        </w:rPr>
        <w:t xml:space="preserve"> w</w:t>
      </w:r>
      <w:r w:rsidR="00DD1DFA">
        <w:rPr>
          <w:noProof/>
        </w:rPr>
        <w:t> </w:t>
      </w:r>
      <w:r w:rsidR="00DD1DFA" w:rsidRPr="00DD1DFA">
        <w:rPr>
          <w:noProof/>
        </w:rPr>
        <w:t>sto</w:t>
      </w:r>
      <w:r w:rsidR="00043545" w:rsidRPr="00DD1DFA">
        <w:rPr>
          <w:noProof/>
        </w:rPr>
        <w:t>sownych przypadkach procedurę notyfikacyjną zgodnie</w:t>
      </w:r>
      <w:r w:rsidR="00DD1DFA" w:rsidRPr="00DD1DFA">
        <w:rPr>
          <w:noProof/>
        </w:rPr>
        <w:t xml:space="preserve"> z</w:t>
      </w:r>
      <w:r w:rsidR="00DD1DFA">
        <w:rPr>
          <w:noProof/>
        </w:rPr>
        <w:t> </w:t>
      </w:r>
      <w:r w:rsidR="00DD1DFA" w:rsidRPr="00DD1DFA">
        <w:rPr>
          <w:noProof/>
        </w:rPr>
        <w:t>dyr</w:t>
      </w:r>
      <w:r w:rsidR="00043545" w:rsidRPr="00DD1DFA">
        <w:rPr>
          <w:noProof/>
        </w:rPr>
        <w:t xml:space="preserve">ektywą (UE) 2015/1535. </w:t>
      </w:r>
    </w:p>
    <w:p w14:paraId="6D29021E" w14:textId="726DD750" w:rsidR="00043545" w:rsidRPr="00DD1DFA" w:rsidRDefault="005F7EFA" w:rsidP="005F7EFA">
      <w:pPr>
        <w:pStyle w:val="ManualNumPar1"/>
        <w:rPr>
          <w:noProof/>
        </w:rPr>
      </w:pPr>
      <w:r w:rsidRPr="005F7EFA">
        <w:t>5.</w:t>
      </w:r>
      <w:r w:rsidRPr="005F7EFA">
        <w:tab/>
      </w:r>
      <w:r w:rsidR="00043545" w:rsidRPr="00DD1DFA">
        <w:rPr>
          <w:noProof/>
        </w:rPr>
        <w:t>Komisja</w:t>
      </w:r>
      <w:r w:rsidR="00DD1DFA" w:rsidRPr="00DD1DFA">
        <w:rPr>
          <w:noProof/>
        </w:rPr>
        <w:t xml:space="preserve"> w</w:t>
      </w:r>
      <w:r w:rsidR="00DD1DFA">
        <w:rPr>
          <w:noProof/>
        </w:rPr>
        <w:t> </w:t>
      </w:r>
      <w:r w:rsidR="00DD1DFA" w:rsidRPr="00DD1DFA">
        <w:rPr>
          <w:noProof/>
        </w:rPr>
        <w:t>dro</w:t>
      </w:r>
      <w:r w:rsidR="00043545" w:rsidRPr="00DD1DFA">
        <w:rPr>
          <w:noProof/>
        </w:rPr>
        <w:t>dze aktów wykonawczych zatwierdza środek krajowy zgłoszony na podstawie ust.</w:t>
      </w:r>
      <w:r w:rsidR="00DD1DFA" w:rsidRPr="00DD1DFA">
        <w:rPr>
          <w:noProof/>
        </w:rPr>
        <w:t> </w:t>
      </w:r>
      <w:r w:rsidR="00043545" w:rsidRPr="00DD1DFA">
        <w:rPr>
          <w:noProof/>
        </w:rPr>
        <w:t>4, jeżeli:</w:t>
      </w:r>
    </w:p>
    <w:p w14:paraId="59431D27" w14:textId="3E6EFD4F" w:rsidR="00043545" w:rsidRPr="00DD1DFA" w:rsidRDefault="00626BBA" w:rsidP="00626BBA">
      <w:pPr>
        <w:pStyle w:val="Point1"/>
        <w:rPr>
          <w:noProof/>
        </w:rPr>
      </w:pPr>
      <w:r w:rsidRPr="00626BBA">
        <w:rPr>
          <w:noProof/>
        </w:rPr>
        <w:t>a)</w:t>
      </w:r>
      <w:r w:rsidRPr="00626BBA">
        <w:rPr>
          <w:noProof/>
        </w:rPr>
        <w:tab/>
      </w:r>
      <w:r w:rsidR="00043545" w:rsidRPr="00DD1DFA">
        <w:rPr>
          <w:noProof/>
        </w:rPr>
        <w:t>stwierdzi, że rozporządzenie lub środek administracyjny wydaje się należycie uzasadniony nadrzędnymi względami zdrowia, bezpieczeństwa lub ochrony środowiska,</w:t>
      </w:r>
      <w:r w:rsidR="00DD1DFA" w:rsidRPr="00DD1DFA">
        <w:rPr>
          <w:noProof/>
        </w:rPr>
        <w:t xml:space="preserve"> o</w:t>
      </w:r>
      <w:r w:rsidR="00DD1DFA">
        <w:rPr>
          <w:noProof/>
        </w:rPr>
        <w:t> </w:t>
      </w:r>
      <w:r w:rsidR="00DD1DFA" w:rsidRPr="00DD1DFA">
        <w:rPr>
          <w:noProof/>
        </w:rPr>
        <w:t>któ</w:t>
      </w:r>
      <w:r w:rsidR="00043545" w:rsidRPr="00DD1DFA">
        <w:rPr>
          <w:noProof/>
        </w:rPr>
        <w:t>rych mowa</w:t>
      </w:r>
      <w:r w:rsidR="00DD1DFA" w:rsidRPr="00DD1DFA">
        <w:rPr>
          <w:noProof/>
        </w:rPr>
        <w:t xml:space="preserve"> w</w:t>
      </w:r>
      <w:r w:rsidR="00DD1DFA">
        <w:rPr>
          <w:noProof/>
        </w:rPr>
        <w:t> </w:t>
      </w:r>
      <w:r w:rsidR="00DD1DFA" w:rsidRPr="00DD1DFA">
        <w:rPr>
          <w:noProof/>
        </w:rPr>
        <w:t>ust</w:t>
      </w:r>
      <w:r w:rsidR="00043545" w:rsidRPr="00DD1DFA">
        <w:rPr>
          <w:noProof/>
        </w:rPr>
        <w:t>.</w:t>
      </w:r>
      <w:r w:rsidR="00DD1DFA" w:rsidRPr="00DD1DFA">
        <w:rPr>
          <w:noProof/>
        </w:rPr>
        <w:t> </w:t>
      </w:r>
      <w:r w:rsidR="00043545" w:rsidRPr="00DD1DFA">
        <w:rPr>
          <w:noProof/>
        </w:rPr>
        <w:t>4;</w:t>
      </w:r>
    </w:p>
    <w:p w14:paraId="7EC23C81" w14:textId="12BDBF18" w:rsidR="00043545" w:rsidRPr="00DD1DFA" w:rsidRDefault="00626BBA" w:rsidP="00626BBA">
      <w:pPr>
        <w:pStyle w:val="Point1"/>
        <w:rPr>
          <w:noProof/>
        </w:rPr>
      </w:pPr>
      <w:r w:rsidRPr="00626BBA">
        <w:rPr>
          <w:noProof/>
        </w:rPr>
        <w:t>b)</w:t>
      </w:r>
      <w:r w:rsidRPr="00626BBA">
        <w:rPr>
          <w:noProof/>
        </w:rPr>
        <w:tab/>
      </w:r>
      <w:r w:rsidR="00043545" w:rsidRPr="00DD1DFA">
        <w:rPr>
          <w:noProof/>
        </w:rPr>
        <w:t>potrzeba regulacyjna nie jest objęta strefą zharmonizowaną ani innym prawem Unii;</w:t>
      </w:r>
    </w:p>
    <w:p w14:paraId="7C980ACF" w14:textId="035D1A7E" w:rsidR="00043545" w:rsidRPr="00DD1DFA" w:rsidRDefault="00626BBA" w:rsidP="00626BBA">
      <w:pPr>
        <w:pStyle w:val="Point1"/>
        <w:rPr>
          <w:noProof/>
        </w:rPr>
      </w:pPr>
      <w:r w:rsidRPr="00626BBA">
        <w:rPr>
          <w:noProof/>
        </w:rPr>
        <w:t>c)</w:t>
      </w:r>
      <w:r w:rsidRPr="00626BBA">
        <w:rPr>
          <w:noProof/>
        </w:rPr>
        <w:tab/>
      </w:r>
      <w:r w:rsidR="00043545" w:rsidRPr="00DD1DFA">
        <w:rPr>
          <w:noProof/>
        </w:rPr>
        <w:t>zgłoszone rozporządzenie lub środek administracyjny nie dyskryminuje podmiotów gospodarczych</w:t>
      </w:r>
      <w:r w:rsidR="00DD1DFA" w:rsidRPr="00DD1DFA">
        <w:rPr>
          <w:noProof/>
        </w:rPr>
        <w:t xml:space="preserve"> z</w:t>
      </w:r>
      <w:r w:rsidR="00DD1DFA">
        <w:rPr>
          <w:noProof/>
        </w:rPr>
        <w:t> </w:t>
      </w:r>
      <w:r w:rsidR="00DD1DFA" w:rsidRPr="00DD1DFA">
        <w:rPr>
          <w:noProof/>
        </w:rPr>
        <w:t>inn</w:t>
      </w:r>
      <w:r w:rsidR="00043545" w:rsidRPr="00DD1DFA">
        <w:rPr>
          <w:noProof/>
        </w:rPr>
        <w:t>ych państw członkowskich;</w:t>
      </w:r>
    </w:p>
    <w:p w14:paraId="6FE3A168" w14:textId="407BE335" w:rsidR="00043545" w:rsidRPr="00DD1DFA" w:rsidRDefault="00626BBA" w:rsidP="00626BBA">
      <w:pPr>
        <w:pStyle w:val="Point1"/>
        <w:rPr>
          <w:noProof/>
        </w:rPr>
      </w:pPr>
      <w:r w:rsidRPr="00626BBA">
        <w:rPr>
          <w:noProof/>
        </w:rPr>
        <w:t>d)</w:t>
      </w:r>
      <w:r w:rsidRPr="00626BBA">
        <w:rPr>
          <w:noProof/>
        </w:rPr>
        <w:tab/>
      </w:r>
      <w:r w:rsidR="00043545" w:rsidRPr="00DD1DFA">
        <w:rPr>
          <w:noProof/>
        </w:rPr>
        <w:t xml:space="preserve">zgłoszone rozporządzenie lub środek administracyjny może zaspokoić daną potrzebę regulacyjną; </w:t>
      </w:r>
    </w:p>
    <w:p w14:paraId="0AB3F684" w14:textId="735EC596" w:rsidR="00043545" w:rsidRPr="00DD1DFA" w:rsidRDefault="00626BBA" w:rsidP="00626BBA">
      <w:pPr>
        <w:pStyle w:val="Point1"/>
        <w:rPr>
          <w:noProof/>
        </w:rPr>
      </w:pPr>
      <w:r w:rsidRPr="00626BBA">
        <w:rPr>
          <w:noProof/>
        </w:rPr>
        <w:t>e)</w:t>
      </w:r>
      <w:r w:rsidRPr="00626BBA">
        <w:rPr>
          <w:noProof/>
        </w:rPr>
        <w:tab/>
      </w:r>
      <w:r w:rsidR="00043545" w:rsidRPr="00DD1DFA">
        <w:rPr>
          <w:noProof/>
        </w:rPr>
        <w:t>zgłoszone rozporządzenie lub środek administracyjny nie stanowi nieproporcjonalnie dużej przeszkody</w:t>
      </w:r>
      <w:r w:rsidR="00DD1DFA" w:rsidRPr="00DD1DFA">
        <w:rPr>
          <w:noProof/>
        </w:rPr>
        <w:t xml:space="preserve"> w</w:t>
      </w:r>
      <w:r w:rsidR="00DD1DFA">
        <w:rPr>
          <w:noProof/>
        </w:rPr>
        <w:t> </w:t>
      </w:r>
      <w:r w:rsidR="00DD1DFA" w:rsidRPr="00DD1DFA">
        <w:rPr>
          <w:noProof/>
        </w:rPr>
        <w:t>fun</w:t>
      </w:r>
      <w:r w:rsidR="00043545" w:rsidRPr="00DD1DFA">
        <w:rPr>
          <w:noProof/>
        </w:rPr>
        <w:t>kcjonowaniu rynku Unii; oraz</w:t>
      </w:r>
    </w:p>
    <w:p w14:paraId="3504D070" w14:textId="70D464E0" w:rsidR="00043545" w:rsidRPr="00DD1DFA" w:rsidRDefault="00626BBA" w:rsidP="00626BBA">
      <w:pPr>
        <w:pStyle w:val="Point1"/>
        <w:rPr>
          <w:noProof/>
        </w:rPr>
      </w:pPr>
      <w:r w:rsidRPr="00626BBA">
        <w:rPr>
          <w:noProof/>
        </w:rPr>
        <w:t>f)</w:t>
      </w:r>
      <w:r w:rsidRPr="00626BBA">
        <w:rPr>
          <w:noProof/>
        </w:rPr>
        <w:tab/>
      </w:r>
      <w:r w:rsidR="00043545" w:rsidRPr="00DD1DFA">
        <w:rPr>
          <w:noProof/>
        </w:rPr>
        <w:t>Komisja nie poinformuje</w:t>
      </w:r>
      <w:r w:rsidR="00DD1DFA" w:rsidRPr="00DD1DFA">
        <w:rPr>
          <w:noProof/>
        </w:rPr>
        <w:t xml:space="preserve"> w</w:t>
      </w:r>
      <w:r w:rsidR="00DD1DFA">
        <w:rPr>
          <w:noProof/>
        </w:rPr>
        <w:t> </w:t>
      </w:r>
      <w:r w:rsidR="00DD1DFA" w:rsidRPr="00DD1DFA">
        <w:rPr>
          <w:noProof/>
        </w:rPr>
        <w:t>liś</w:t>
      </w:r>
      <w:r w:rsidR="00043545" w:rsidRPr="00DD1DFA">
        <w:rPr>
          <w:noProof/>
        </w:rPr>
        <w:t>cie intencyjnym skierowanym do państw członkowskich</w:t>
      </w:r>
      <w:r w:rsidR="00DD1DFA" w:rsidRPr="00DD1DFA">
        <w:rPr>
          <w:noProof/>
        </w:rPr>
        <w:t xml:space="preserve"> o</w:t>
      </w:r>
      <w:r w:rsidR="00DD1DFA">
        <w:rPr>
          <w:noProof/>
        </w:rPr>
        <w:t> </w:t>
      </w:r>
      <w:r w:rsidR="00DD1DFA" w:rsidRPr="00DD1DFA">
        <w:rPr>
          <w:noProof/>
        </w:rPr>
        <w:t>swo</w:t>
      </w:r>
      <w:r w:rsidR="00043545" w:rsidRPr="00DD1DFA">
        <w:rPr>
          <w:noProof/>
        </w:rPr>
        <w:t>im zamiarze opublikowania lub przytoczenia,</w:t>
      </w:r>
      <w:r w:rsidR="00DD1DFA" w:rsidRPr="00DD1DFA">
        <w:rPr>
          <w:noProof/>
        </w:rPr>
        <w:t xml:space="preserve"> w</w:t>
      </w:r>
      <w:r w:rsidR="00DD1DFA">
        <w:rPr>
          <w:noProof/>
        </w:rPr>
        <w:t> </w:t>
      </w:r>
      <w:r w:rsidR="00DD1DFA" w:rsidRPr="00DD1DFA">
        <w:rPr>
          <w:noProof/>
        </w:rPr>
        <w:t>ter</w:t>
      </w:r>
      <w:r w:rsidR="00043545" w:rsidRPr="00DD1DFA">
        <w:rPr>
          <w:noProof/>
        </w:rPr>
        <w:t>minie jednego roku od daty notyfikacji zgodnie</w:t>
      </w:r>
      <w:r w:rsidR="00DD1DFA" w:rsidRPr="00DD1DFA">
        <w:rPr>
          <w:noProof/>
        </w:rPr>
        <w:t xml:space="preserve"> z</w:t>
      </w:r>
      <w:r w:rsidR="00DD1DFA">
        <w:rPr>
          <w:noProof/>
        </w:rPr>
        <w:t> </w:t>
      </w:r>
      <w:r w:rsidR="00DD1DFA" w:rsidRPr="00DD1DFA">
        <w:rPr>
          <w:noProof/>
        </w:rPr>
        <w:t>ust</w:t>
      </w:r>
      <w:r w:rsidR="00043545" w:rsidRPr="00DD1DFA">
        <w:rPr>
          <w:noProof/>
        </w:rPr>
        <w:t>.</w:t>
      </w:r>
      <w:r w:rsidR="00DD1DFA" w:rsidRPr="00DD1DFA">
        <w:rPr>
          <w:noProof/>
        </w:rPr>
        <w:t> </w:t>
      </w:r>
      <w:r w:rsidR="00043545" w:rsidRPr="00DD1DFA">
        <w:rPr>
          <w:noProof/>
        </w:rPr>
        <w:t>4,</w:t>
      </w:r>
      <w:r w:rsidR="00DD1DFA" w:rsidRPr="00DD1DFA">
        <w:rPr>
          <w:noProof/>
        </w:rPr>
        <w:t xml:space="preserve"> w</w:t>
      </w:r>
      <w:r w:rsidR="00DD1DFA">
        <w:rPr>
          <w:noProof/>
        </w:rPr>
        <w:t> </w:t>
      </w:r>
      <w:r w:rsidR="00DD1DFA" w:rsidRPr="00DD1DFA">
        <w:rPr>
          <w:noProof/>
        </w:rPr>
        <w:t>Dzi</w:t>
      </w:r>
      <w:r w:rsidR="00043545" w:rsidRPr="00DD1DFA">
        <w:rPr>
          <w:noProof/>
        </w:rPr>
        <w:t>enniku Urzędowym zharmonizowanej specyfikacji technicznej lub przyjęcia aktu prawnego</w:t>
      </w:r>
      <w:r w:rsidR="00DD1DFA" w:rsidRPr="00DD1DFA">
        <w:rPr>
          <w:noProof/>
        </w:rPr>
        <w:t xml:space="preserve"> o</w:t>
      </w:r>
      <w:r w:rsidR="00DD1DFA">
        <w:rPr>
          <w:noProof/>
        </w:rPr>
        <w:t> </w:t>
      </w:r>
      <w:r w:rsidR="00DD1DFA" w:rsidRPr="00DD1DFA">
        <w:rPr>
          <w:noProof/>
        </w:rPr>
        <w:t>zas</w:t>
      </w:r>
      <w:r w:rsidR="00043545" w:rsidRPr="00DD1DFA">
        <w:rPr>
          <w:noProof/>
        </w:rPr>
        <w:t>ięgu ogólnym, który dotyczyłby danej potrzeby.</w:t>
      </w:r>
    </w:p>
    <w:p w14:paraId="14BD3228" w14:textId="21571EBB" w:rsidR="00043545" w:rsidRPr="00DD1DFA" w:rsidRDefault="00043545" w:rsidP="00300D3C">
      <w:pPr>
        <w:pStyle w:val="Text1"/>
        <w:rPr>
          <w:noProof/>
        </w:rPr>
      </w:pPr>
      <w:r w:rsidRPr="00DD1DFA">
        <w:rPr>
          <w:noProof/>
        </w:rPr>
        <w:t>Te akty wykonawcze przyjmuje się zgodnie</w:t>
      </w:r>
      <w:r w:rsidR="00DD1DFA" w:rsidRPr="00DD1DFA">
        <w:rPr>
          <w:noProof/>
        </w:rPr>
        <w:t xml:space="preserve"> z</w:t>
      </w:r>
      <w:r w:rsidR="00DD1DFA">
        <w:rPr>
          <w:noProof/>
        </w:rPr>
        <w:t> </w:t>
      </w:r>
      <w:r w:rsidR="00DD1DFA" w:rsidRPr="00DD1DFA">
        <w:rPr>
          <w:noProof/>
        </w:rPr>
        <w:t>pro</w:t>
      </w:r>
      <w:r w:rsidRPr="00DD1DFA">
        <w:rPr>
          <w:noProof/>
        </w:rPr>
        <w:t>cedurą sprawdzającą,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2.</w:t>
      </w:r>
    </w:p>
    <w:p w14:paraId="0B3AA23F" w14:textId="229CA846" w:rsidR="001F69DE" w:rsidRPr="00DD1DFA" w:rsidRDefault="001F69DE" w:rsidP="00300D3C">
      <w:pPr>
        <w:pStyle w:val="Text1"/>
        <w:rPr>
          <w:noProof/>
        </w:rPr>
      </w:pPr>
      <w:r w:rsidRPr="00DD1DFA">
        <w:rPr>
          <w:noProof/>
        </w:rPr>
        <w:t>W należycie uzasadnionych szczególnie pilnych przypadkach związanych ze zdrowiem</w:t>
      </w:r>
      <w:r w:rsidR="00DD1DFA" w:rsidRPr="00DD1DFA">
        <w:rPr>
          <w:noProof/>
        </w:rPr>
        <w:t xml:space="preserve"> i</w:t>
      </w:r>
      <w:r w:rsidR="00DD1DFA">
        <w:rPr>
          <w:noProof/>
        </w:rPr>
        <w:t> </w:t>
      </w:r>
      <w:r w:rsidR="00DD1DFA" w:rsidRPr="00DD1DFA">
        <w:rPr>
          <w:noProof/>
        </w:rPr>
        <w:t>bez</w:t>
      </w:r>
      <w:r w:rsidRPr="00DD1DFA">
        <w:rPr>
          <w:noProof/>
        </w:rPr>
        <w:t>pieczeństwem ludzi lub ochroną środowiska Komisja przyjmuje, zgodnie</w:t>
      </w:r>
      <w:r w:rsidR="00DD1DFA" w:rsidRPr="00DD1DFA">
        <w:rPr>
          <w:noProof/>
        </w:rPr>
        <w:t xml:space="preserve"> z</w:t>
      </w:r>
      <w:r w:rsidR="00DD1DFA">
        <w:rPr>
          <w:noProof/>
        </w:rPr>
        <w:t> </w:t>
      </w:r>
      <w:r w:rsidR="00DD1DFA" w:rsidRPr="00DD1DFA">
        <w:rPr>
          <w:noProof/>
        </w:rPr>
        <w:t>pro</w:t>
      </w:r>
      <w:r w:rsidRPr="00DD1DFA">
        <w:rPr>
          <w:noProof/>
        </w:rPr>
        <w:t>cedurą,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3, akty wykonawcze mające natychmiastowe zastosowanie.</w:t>
      </w:r>
    </w:p>
    <w:p w14:paraId="3939D75D" w14:textId="6691621D" w:rsidR="00043545" w:rsidRPr="00DD1DFA" w:rsidRDefault="005F7EFA" w:rsidP="005F7EFA">
      <w:pPr>
        <w:pStyle w:val="ManualNumPar1"/>
        <w:rPr>
          <w:noProof/>
        </w:rPr>
      </w:pPr>
      <w:r w:rsidRPr="005F7EFA">
        <w:t>6.</w:t>
      </w:r>
      <w:r w:rsidRPr="005F7EFA">
        <w:tab/>
      </w:r>
      <w:r w:rsidR="00043545" w:rsidRPr="00DD1DFA">
        <w:rPr>
          <w:noProof/>
        </w:rPr>
        <w:t>Państwa członkowskie rejestrują</w:t>
      </w:r>
      <w:r w:rsidR="00DD1DFA" w:rsidRPr="00DD1DFA">
        <w:rPr>
          <w:noProof/>
        </w:rPr>
        <w:t xml:space="preserve"> w</w:t>
      </w:r>
      <w:r w:rsidR="00DD1DFA">
        <w:rPr>
          <w:noProof/>
        </w:rPr>
        <w:t> </w:t>
      </w:r>
      <w:r w:rsidR="00DD1DFA" w:rsidRPr="00DD1DFA">
        <w:rPr>
          <w:noProof/>
        </w:rPr>
        <w:t>jed</w:t>
      </w:r>
      <w:r w:rsidR="00043545" w:rsidRPr="00DD1DFA">
        <w:rPr>
          <w:noProof/>
        </w:rPr>
        <w:t>nolitym portalu cyfrowym wszystkie przepisy krajowe</w:t>
      </w:r>
      <w:r w:rsidR="00DD1DFA" w:rsidRPr="00DD1DFA">
        <w:rPr>
          <w:noProof/>
        </w:rPr>
        <w:t xml:space="preserve"> i</w:t>
      </w:r>
      <w:r w:rsidR="00DD1DFA">
        <w:rPr>
          <w:noProof/>
        </w:rPr>
        <w:t> </w:t>
      </w:r>
      <w:r w:rsidR="00DD1DFA" w:rsidRPr="00DD1DFA">
        <w:rPr>
          <w:noProof/>
        </w:rPr>
        <w:t>śro</w:t>
      </w:r>
      <w:r w:rsidR="00043545" w:rsidRPr="00DD1DFA">
        <w:rPr>
          <w:noProof/>
        </w:rPr>
        <w:t>dki administracyjne mające bezpośredni lub pośredni wpływ na użyteczność wyrobów na ich terytorium.</w:t>
      </w:r>
    </w:p>
    <w:p w14:paraId="7B07D26A" w14:textId="2DC7D70A" w:rsidR="00043545" w:rsidRPr="00DD1DFA" w:rsidRDefault="005F7EFA" w:rsidP="005F7EFA">
      <w:pPr>
        <w:pStyle w:val="ManualNumPar1"/>
        <w:rPr>
          <w:noProof/>
        </w:rPr>
      </w:pPr>
      <w:r w:rsidRPr="005F7EFA">
        <w:t>7.</w:t>
      </w:r>
      <w:r w:rsidRPr="005F7EFA">
        <w:tab/>
      </w:r>
      <w:r w:rsidR="00043545" w:rsidRPr="00DD1DFA">
        <w:rPr>
          <w:noProof/>
        </w:rPr>
        <w:t>Niniejsze rozporządzenie nie utrudnia państwom członkowskim wprowadzenia obowiązkowych systemów zwrotu kaucji, zobowiązania producentów do przyjmowania wyrobów używanych lub nieużywanych bezpośrednio lub za pośrednictwem importerów</w:t>
      </w:r>
      <w:r w:rsidR="00DD1DFA" w:rsidRPr="00DD1DFA">
        <w:rPr>
          <w:noProof/>
        </w:rPr>
        <w:t xml:space="preserve"> i</w:t>
      </w:r>
      <w:r w:rsidR="00DD1DFA">
        <w:rPr>
          <w:noProof/>
        </w:rPr>
        <w:t> </w:t>
      </w:r>
      <w:r w:rsidR="00DD1DFA" w:rsidRPr="00DD1DFA">
        <w:rPr>
          <w:noProof/>
        </w:rPr>
        <w:t>dys</w:t>
      </w:r>
      <w:r w:rsidR="00043545" w:rsidRPr="00DD1DFA">
        <w:rPr>
          <w:noProof/>
        </w:rPr>
        <w:t>trybutorów oraz ustanowienia obowiązków</w:t>
      </w:r>
      <w:r w:rsidR="00DD1DFA" w:rsidRPr="00DD1DFA">
        <w:rPr>
          <w:noProof/>
        </w:rPr>
        <w:t xml:space="preserve"> w</w:t>
      </w:r>
      <w:r w:rsidR="00DD1DFA">
        <w:rPr>
          <w:noProof/>
        </w:rPr>
        <w:t> </w:t>
      </w:r>
      <w:r w:rsidR="00DD1DFA" w:rsidRPr="00DD1DFA">
        <w:rPr>
          <w:noProof/>
        </w:rPr>
        <w:t>zak</w:t>
      </w:r>
      <w:r w:rsidR="00043545" w:rsidRPr="00DD1DFA">
        <w:rPr>
          <w:noProof/>
        </w:rPr>
        <w:t>resie zbierania</w:t>
      </w:r>
      <w:r w:rsidR="00DD1DFA" w:rsidRPr="00DD1DFA">
        <w:rPr>
          <w:noProof/>
        </w:rPr>
        <w:t xml:space="preserve"> i</w:t>
      </w:r>
      <w:r w:rsidR="00DD1DFA">
        <w:rPr>
          <w:noProof/>
        </w:rPr>
        <w:t> </w:t>
      </w:r>
      <w:r w:rsidR="00DD1DFA" w:rsidRPr="00DD1DFA">
        <w:rPr>
          <w:noProof/>
        </w:rPr>
        <w:t>prz</w:t>
      </w:r>
      <w:r w:rsidR="00043545" w:rsidRPr="00DD1DFA">
        <w:rPr>
          <w:noProof/>
        </w:rPr>
        <w:t>etwarzania odpadów powstałych</w:t>
      </w:r>
      <w:r w:rsidR="00DD1DFA" w:rsidRPr="00DD1DFA">
        <w:rPr>
          <w:noProof/>
        </w:rPr>
        <w:t xml:space="preserve"> z</w:t>
      </w:r>
      <w:r w:rsidR="00DD1DFA">
        <w:rPr>
          <w:noProof/>
        </w:rPr>
        <w:t> </w:t>
      </w:r>
      <w:r w:rsidR="00DD1DFA" w:rsidRPr="00DD1DFA">
        <w:rPr>
          <w:noProof/>
        </w:rPr>
        <w:t>wyr</w:t>
      </w:r>
      <w:r w:rsidR="00043545" w:rsidRPr="00DD1DFA">
        <w:rPr>
          <w:noProof/>
        </w:rPr>
        <w:t>obów, pod warunkiem że spełnione są wszystkie poniższe warunki:</w:t>
      </w:r>
    </w:p>
    <w:p w14:paraId="76201F38" w14:textId="2BBD4229" w:rsidR="00043545" w:rsidRPr="00DD1DFA" w:rsidRDefault="00626BBA" w:rsidP="00626BBA">
      <w:pPr>
        <w:pStyle w:val="Point1"/>
        <w:rPr>
          <w:noProof/>
        </w:rPr>
      </w:pPr>
      <w:r w:rsidRPr="00626BBA">
        <w:rPr>
          <w:noProof/>
        </w:rPr>
        <w:t>a)</w:t>
      </w:r>
      <w:r w:rsidRPr="00626BBA">
        <w:rPr>
          <w:noProof/>
        </w:rPr>
        <w:tab/>
      </w:r>
      <w:r w:rsidR="00043545" w:rsidRPr="00DD1DFA">
        <w:rPr>
          <w:noProof/>
        </w:rPr>
        <w:t>właściciel wyrobu, mając do wyboru producenta, importera lub dystrybutora jako adresata, jest odpowiedzialny za transport zwrotny do dystrybutora, importera lub producenta;</w:t>
      </w:r>
    </w:p>
    <w:p w14:paraId="495AAB24" w14:textId="627B0C52" w:rsidR="00043545" w:rsidRPr="00DD1DFA" w:rsidRDefault="00626BBA" w:rsidP="00626BBA">
      <w:pPr>
        <w:pStyle w:val="Point1"/>
        <w:rPr>
          <w:noProof/>
        </w:rPr>
      </w:pPr>
      <w:r w:rsidRPr="00626BBA">
        <w:rPr>
          <w:noProof/>
        </w:rPr>
        <w:t>b)</w:t>
      </w:r>
      <w:r w:rsidRPr="00626BBA">
        <w:rPr>
          <w:noProof/>
        </w:rPr>
        <w:tab/>
      </w:r>
      <w:r w:rsidR="00043545" w:rsidRPr="00DD1DFA">
        <w:rPr>
          <w:noProof/>
        </w:rPr>
        <w:t>podmioty gospodarcze</w:t>
      </w:r>
      <w:r w:rsidR="00DD1DFA" w:rsidRPr="00DD1DFA">
        <w:rPr>
          <w:noProof/>
        </w:rPr>
        <w:t xml:space="preserve"> w</w:t>
      </w:r>
      <w:r w:rsidR="00DD1DFA">
        <w:rPr>
          <w:noProof/>
        </w:rPr>
        <w:t> </w:t>
      </w:r>
      <w:r w:rsidR="00DD1DFA" w:rsidRPr="00DD1DFA">
        <w:rPr>
          <w:noProof/>
        </w:rPr>
        <w:t>inn</w:t>
      </w:r>
      <w:r w:rsidR="00043545" w:rsidRPr="00DD1DFA">
        <w:rPr>
          <w:noProof/>
        </w:rPr>
        <w:t>ych państwach członkowskich nie są dyskryminowane</w:t>
      </w:r>
      <w:r w:rsidR="00DD1DFA" w:rsidRPr="00DD1DFA">
        <w:rPr>
          <w:noProof/>
        </w:rPr>
        <w:t xml:space="preserve"> w</w:t>
      </w:r>
      <w:r w:rsidR="00DD1DFA">
        <w:rPr>
          <w:noProof/>
        </w:rPr>
        <w:t> </w:t>
      </w:r>
      <w:r w:rsidR="00DD1DFA" w:rsidRPr="00DD1DFA">
        <w:rPr>
          <w:noProof/>
        </w:rPr>
        <w:t>jak</w:t>
      </w:r>
      <w:r w:rsidR="00043545" w:rsidRPr="00DD1DFA">
        <w:rPr>
          <w:noProof/>
        </w:rPr>
        <w:t>ikolwiek sposób, bezpośrednio lub pośrednio.</w:t>
      </w:r>
    </w:p>
    <w:p w14:paraId="36647166" w14:textId="3E1459DA" w:rsidR="00BD768D" w:rsidRPr="00DD1DFA" w:rsidRDefault="005F7EFA" w:rsidP="005F7EFA">
      <w:pPr>
        <w:pStyle w:val="ManualNumPar1"/>
        <w:rPr>
          <w:noProof/>
        </w:rPr>
      </w:pPr>
      <w:r w:rsidRPr="005F7EFA">
        <w:t>8.</w:t>
      </w:r>
      <w:r w:rsidRPr="005F7EFA">
        <w:tab/>
      </w:r>
      <w:r w:rsidR="00043545" w:rsidRPr="00DD1DFA">
        <w:rPr>
          <w:noProof/>
        </w:rPr>
        <w:t>Państwa członkowskie mogą zakazać niszczenia wyrobów zwróconych zgodnie</w:t>
      </w:r>
      <w:r w:rsidR="00DD1DFA" w:rsidRPr="00DD1DFA">
        <w:rPr>
          <w:noProof/>
        </w:rPr>
        <w:t xml:space="preserve"> z</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22 ust.</w:t>
      </w:r>
      <w:r w:rsidR="00DD1DFA" w:rsidRPr="00DD1DFA">
        <w:rPr>
          <w:noProof/>
        </w:rPr>
        <w:t> </w:t>
      </w:r>
      <w:r w:rsidR="00043545" w:rsidRPr="00DD1DFA">
        <w:rPr>
          <w:noProof/>
        </w:rPr>
        <w:t>2 lit.</w:t>
      </w:r>
      <w:r w:rsidR="00DD1DFA" w:rsidRPr="00DD1DFA">
        <w:rPr>
          <w:noProof/>
        </w:rPr>
        <w:t> </w:t>
      </w:r>
      <w:r w:rsidR="00043545" w:rsidRPr="00DD1DFA">
        <w:rPr>
          <w:noProof/>
        </w:rPr>
        <w:t>j)</w:t>
      </w:r>
      <w:r w:rsidR="00DD1DFA" w:rsidRPr="00DD1DFA">
        <w:rPr>
          <w:noProof/>
        </w:rPr>
        <w:t xml:space="preserve"> i</w:t>
      </w:r>
      <w:r w:rsidR="00DD1DFA">
        <w:rPr>
          <w:noProof/>
        </w:rPr>
        <w:t> </w:t>
      </w:r>
      <w:r w:rsidR="00DD1DFA" w:rsidRPr="00DD1DFA">
        <w:rPr>
          <w:noProof/>
        </w:rPr>
        <w:t>art</w:t>
      </w:r>
      <w:r w:rsidR="00043545" w:rsidRPr="00DD1DFA">
        <w:rPr>
          <w:noProof/>
        </w:rPr>
        <w:t>.</w:t>
      </w:r>
      <w:r w:rsidR="00DD1DFA" w:rsidRPr="00DD1DFA">
        <w:rPr>
          <w:noProof/>
        </w:rPr>
        <w:t> </w:t>
      </w:r>
      <w:r w:rsidR="00043545" w:rsidRPr="00DD1DFA">
        <w:rPr>
          <w:noProof/>
        </w:rPr>
        <w:t>26 lub uzależnić niszczenie tych wyrobów od ich wcześniejszego udostępnienia na krajowej platformie pośrednictwa</w:t>
      </w:r>
      <w:r w:rsidR="00DD1DFA" w:rsidRPr="00DD1DFA">
        <w:rPr>
          <w:noProof/>
        </w:rPr>
        <w:t xml:space="preserve"> w</w:t>
      </w:r>
      <w:r w:rsidR="00DD1DFA">
        <w:rPr>
          <w:noProof/>
        </w:rPr>
        <w:t> </w:t>
      </w:r>
      <w:r w:rsidR="00DD1DFA" w:rsidRPr="00DD1DFA">
        <w:rPr>
          <w:noProof/>
        </w:rPr>
        <w:t>zak</w:t>
      </w:r>
      <w:r w:rsidR="00043545" w:rsidRPr="00DD1DFA">
        <w:rPr>
          <w:noProof/>
        </w:rPr>
        <w:t>resie niekomercyjnego użycia wyrobów.</w:t>
      </w:r>
    </w:p>
    <w:p w14:paraId="465F306B" w14:textId="77777777" w:rsidR="00BC1E12" w:rsidRPr="00DD1DFA" w:rsidRDefault="00BC1E12" w:rsidP="00E11BC8">
      <w:pPr>
        <w:pStyle w:val="Titrearticle"/>
        <w:rPr>
          <w:noProof/>
        </w:rPr>
      </w:pPr>
      <w:r w:rsidRPr="00DD1DFA">
        <w:rPr>
          <w:noProof/>
        </w:rPr>
        <w:t>Artykuł 8</w:t>
      </w:r>
    </w:p>
    <w:p w14:paraId="4CD154F5" w14:textId="6DF37648" w:rsidR="00BC1E12" w:rsidRPr="00DD1DFA" w:rsidRDefault="00BC1E12" w:rsidP="00E11BC8">
      <w:pPr>
        <w:pStyle w:val="Titrearticle"/>
        <w:rPr>
          <w:rFonts w:ascii="Calibri" w:eastAsia="Calibri" w:hAnsi="Calibri" w:cs="DejaVu Sans"/>
          <w:b/>
          <w:noProof/>
          <w:color w:val="00000A"/>
          <w:sz w:val="22"/>
        </w:rPr>
      </w:pPr>
      <w:r w:rsidRPr="00DD1DFA">
        <w:rPr>
          <w:b/>
          <w:noProof/>
        </w:rPr>
        <w:t>Związek</w:t>
      </w:r>
      <w:r w:rsidR="00DD1DFA" w:rsidRPr="00DD1DFA">
        <w:rPr>
          <w:b/>
          <w:noProof/>
        </w:rPr>
        <w:t xml:space="preserve"> z</w:t>
      </w:r>
      <w:r w:rsidR="00DD1DFA">
        <w:rPr>
          <w:b/>
          <w:noProof/>
        </w:rPr>
        <w:t> </w:t>
      </w:r>
      <w:r w:rsidR="00DD1DFA" w:rsidRPr="00DD1DFA">
        <w:rPr>
          <w:b/>
          <w:noProof/>
        </w:rPr>
        <w:t>inn</w:t>
      </w:r>
      <w:r w:rsidRPr="00DD1DFA">
        <w:rPr>
          <w:b/>
          <w:noProof/>
        </w:rPr>
        <w:t>ymi przepisami prawa Unii</w:t>
      </w:r>
    </w:p>
    <w:p w14:paraId="15B51DEA" w14:textId="12213028" w:rsidR="00BC1E12" w:rsidRPr="00DD1DFA" w:rsidRDefault="006D437B" w:rsidP="006D437B">
      <w:pPr>
        <w:rPr>
          <w:rFonts w:ascii="Calibri" w:eastAsia="Calibri" w:hAnsi="Calibri" w:cs="DejaVu Sans"/>
          <w:noProof/>
          <w:color w:val="00000A"/>
          <w:sz w:val="22"/>
        </w:rPr>
      </w:pPr>
      <w:r w:rsidRPr="00DD1DFA">
        <w:rPr>
          <w:noProof/>
        </w:rPr>
        <w:t>Aby uniknąć podwójnej oceny wyrobów, Komisja jest uprawniona do uzupełnienia niniejszego rozporządzenia</w:t>
      </w:r>
      <w:r w:rsidR="00DD1DFA" w:rsidRPr="00DD1DFA">
        <w:rPr>
          <w:noProof/>
        </w:rPr>
        <w:t xml:space="preserve"> w</w:t>
      </w:r>
      <w:r w:rsidR="00DD1DFA">
        <w:rPr>
          <w:noProof/>
        </w:rPr>
        <w:t> </w:t>
      </w:r>
      <w:r w:rsidR="00DD1DFA" w:rsidRPr="00DD1DFA">
        <w:rPr>
          <w:noProof/>
        </w:rPr>
        <w:t>dro</w:t>
      </w:r>
      <w:r w:rsidRPr="00DD1DFA">
        <w:rPr>
          <w:noProof/>
        </w:rPr>
        <w:t>dze aktów delegowanych przyjętych na podstawie art.</w:t>
      </w:r>
      <w:r w:rsidR="00DD1DFA" w:rsidRPr="00DD1DFA">
        <w:rPr>
          <w:noProof/>
        </w:rPr>
        <w:t> </w:t>
      </w:r>
      <w:r w:rsidRPr="00DD1DFA">
        <w:rPr>
          <w:noProof/>
        </w:rPr>
        <w:t xml:space="preserve">87 poprzez </w:t>
      </w:r>
      <w:r w:rsidRPr="00DD1DFA">
        <w:rPr>
          <w:noProof/>
          <w:color w:val="00000A"/>
        </w:rPr>
        <w:t>określenie warunków, na jakich</w:t>
      </w:r>
      <w:r w:rsidR="00DD1DFA" w:rsidRPr="00DD1DFA">
        <w:rPr>
          <w:noProof/>
          <w:color w:val="00000A"/>
        </w:rPr>
        <w:t xml:space="preserve"> w</w:t>
      </w:r>
      <w:r w:rsidR="00DD1DFA">
        <w:rPr>
          <w:noProof/>
          <w:color w:val="00000A"/>
        </w:rPr>
        <w:t> </w:t>
      </w:r>
      <w:r w:rsidR="00DD1DFA" w:rsidRPr="00DD1DFA">
        <w:rPr>
          <w:noProof/>
          <w:color w:val="00000A"/>
        </w:rPr>
        <w:t>wyn</w:t>
      </w:r>
      <w:r w:rsidRPr="00DD1DFA">
        <w:rPr>
          <w:noProof/>
          <w:color w:val="00000A"/>
        </w:rPr>
        <w:t>iku spełnienia obowiązków wynikających</w:t>
      </w:r>
      <w:r w:rsidR="00DD1DFA" w:rsidRPr="00DD1DFA">
        <w:rPr>
          <w:noProof/>
          <w:color w:val="00000A"/>
        </w:rPr>
        <w:t xml:space="preserve"> z</w:t>
      </w:r>
      <w:r w:rsidR="00DD1DFA">
        <w:rPr>
          <w:noProof/>
          <w:color w:val="00000A"/>
        </w:rPr>
        <w:t> </w:t>
      </w:r>
      <w:r w:rsidR="00DD1DFA" w:rsidRPr="00DD1DFA">
        <w:rPr>
          <w:noProof/>
          <w:color w:val="00000A"/>
        </w:rPr>
        <w:t>inn</w:t>
      </w:r>
      <w:r w:rsidRPr="00DD1DFA">
        <w:rPr>
          <w:noProof/>
          <w:color w:val="00000A"/>
        </w:rPr>
        <w:t>ych przepisów prawa unijnego zostają również spełnione niektóre obowiązki wynikające</w:t>
      </w:r>
      <w:r w:rsidR="00DD1DFA" w:rsidRPr="00DD1DFA">
        <w:rPr>
          <w:noProof/>
          <w:color w:val="00000A"/>
        </w:rPr>
        <w:t xml:space="preserve"> z</w:t>
      </w:r>
      <w:r w:rsidR="00DD1DFA">
        <w:rPr>
          <w:noProof/>
          <w:color w:val="00000A"/>
        </w:rPr>
        <w:t> </w:t>
      </w:r>
      <w:r w:rsidR="00DD1DFA" w:rsidRPr="00DD1DFA">
        <w:rPr>
          <w:noProof/>
          <w:color w:val="00000A"/>
        </w:rPr>
        <w:t>nin</w:t>
      </w:r>
      <w:r w:rsidRPr="00DD1DFA">
        <w:rPr>
          <w:noProof/>
          <w:color w:val="00000A"/>
        </w:rPr>
        <w:t>iejszego rozporządzenia,</w:t>
      </w:r>
      <w:r w:rsidR="00DD1DFA" w:rsidRPr="00DD1DFA">
        <w:rPr>
          <w:noProof/>
          <w:color w:val="00000A"/>
        </w:rPr>
        <w:t xml:space="preserve"> w</w:t>
      </w:r>
      <w:r w:rsidR="00DD1DFA">
        <w:rPr>
          <w:noProof/>
          <w:color w:val="00000A"/>
        </w:rPr>
        <w:t> </w:t>
      </w:r>
      <w:r w:rsidR="00DD1DFA" w:rsidRPr="00DD1DFA">
        <w:rPr>
          <w:noProof/>
          <w:color w:val="00000A"/>
        </w:rPr>
        <w:t>prz</w:t>
      </w:r>
      <w:r w:rsidRPr="00DD1DFA">
        <w:rPr>
          <w:noProof/>
          <w:color w:val="00000A"/>
        </w:rPr>
        <w:t>ypadku gdy</w:t>
      </w:r>
      <w:r w:rsidR="00DD1DFA" w:rsidRPr="00DD1DFA">
        <w:rPr>
          <w:noProof/>
          <w:color w:val="00000A"/>
        </w:rPr>
        <w:t xml:space="preserve"> w</w:t>
      </w:r>
      <w:r w:rsidR="00DD1DFA">
        <w:rPr>
          <w:noProof/>
          <w:color w:val="00000A"/>
        </w:rPr>
        <w:t> </w:t>
      </w:r>
      <w:r w:rsidR="00DD1DFA" w:rsidRPr="00DD1DFA">
        <w:rPr>
          <w:noProof/>
          <w:color w:val="00000A"/>
        </w:rPr>
        <w:t>prz</w:t>
      </w:r>
      <w:r w:rsidRPr="00DD1DFA">
        <w:rPr>
          <w:noProof/>
          <w:color w:val="00000A"/>
        </w:rPr>
        <w:t>eciwnym razie ten sam aspekt dotyczący zdrowia, bezpieczeństwa lub ochrony środowiska byłby oceniany równolegle na podstawie niniejszego rozporządzenia</w:t>
      </w:r>
      <w:r w:rsidR="00DD1DFA" w:rsidRPr="00DD1DFA">
        <w:rPr>
          <w:noProof/>
          <w:color w:val="00000A"/>
        </w:rPr>
        <w:t xml:space="preserve"> i</w:t>
      </w:r>
      <w:r w:rsidR="00DD1DFA">
        <w:rPr>
          <w:noProof/>
          <w:color w:val="00000A"/>
        </w:rPr>
        <w:t> </w:t>
      </w:r>
      <w:r w:rsidR="00DD1DFA" w:rsidRPr="00DD1DFA">
        <w:rPr>
          <w:noProof/>
          <w:color w:val="00000A"/>
        </w:rPr>
        <w:t>inn</w:t>
      </w:r>
      <w:r w:rsidRPr="00DD1DFA">
        <w:rPr>
          <w:noProof/>
          <w:color w:val="00000A"/>
        </w:rPr>
        <w:t>ych przepisów prawa Unii.</w:t>
      </w:r>
    </w:p>
    <w:p w14:paraId="6049447E" w14:textId="77777777" w:rsidR="00BC1E12" w:rsidRPr="00DD1DFA" w:rsidRDefault="00BC1E12" w:rsidP="001311DA">
      <w:pPr>
        <w:pStyle w:val="ChapterTitle"/>
        <w:rPr>
          <w:noProof/>
          <w:sz w:val="24"/>
          <w:szCs w:val="24"/>
        </w:rPr>
      </w:pPr>
      <w:r w:rsidRPr="00DD1DFA">
        <w:rPr>
          <w:noProof/>
          <w:sz w:val="24"/>
          <w:szCs w:val="24"/>
        </w:rPr>
        <w:t>ROZDZIAŁ II</w:t>
      </w:r>
    </w:p>
    <w:p w14:paraId="75D56F3C" w14:textId="77777777" w:rsidR="00BC1E12" w:rsidRPr="00DD1DFA" w:rsidRDefault="00BC1E12" w:rsidP="001311DA">
      <w:pPr>
        <w:pStyle w:val="ChapterTitle"/>
        <w:rPr>
          <w:rFonts w:ascii="Calibri" w:eastAsia="Calibri" w:hAnsi="Calibri" w:cs="DejaVu Sans"/>
          <w:noProof/>
          <w:color w:val="00000A"/>
          <w:sz w:val="24"/>
          <w:szCs w:val="24"/>
        </w:rPr>
      </w:pPr>
      <w:r w:rsidRPr="00DD1DFA">
        <w:rPr>
          <w:noProof/>
          <w:sz w:val="24"/>
          <w:szCs w:val="24"/>
        </w:rPr>
        <w:t>PROCEDURA, DEKLARACJE I OZNAKOWANIA</w:t>
      </w:r>
    </w:p>
    <w:p w14:paraId="18194C5B" w14:textId="77777777" w:rsidR="00BC1E12" w:rsidRPr="00DD1DFA" w:rsidRDefault="00BC1E12" w:rsidP="001311DA">
      <w:pPr>
        <w:pStyle w:val="Titrearticle"/>
        <w:rPr>
          <w:noProof/>
        </w:rPr>
      </w:pPr>
      <w:r w:rsidRPr="00DD1DFA">
        <w:rPr>
          <w:noProof/>
        </w:rPr>
        <w:t>Artykuł 9</w:t>
      </w:r>
    </w:p>
    <w:p w14:paraId="1D9306C4" w14:textId="77777777" w:rsidR="00BC1E12" w:rsidRPr="00DD1DFA" w:rsidRDefault="00EB4BAD" w:rsidP="001311DA">
      <w:pPr>
        <w:pStyle w:val="Titrearticle"/>
        <w:rPr>
          <w:rFonts w:ascii="Calibri" w:eastAsia="Calibri" w:hAnsi="Calibri" w:cs="DejaVu Sans"/>
          <w:b/>
          <w:noProof/>
          <w:color w:val="00000A"/>
          <w:sz w:val="22"/>
        </w:rPr>
      </w:pPr>
      <w:r w:rsidRPr="00DD1DFA">
        <w:rPr>
          <w:b/>
          <w:noProof/>
        </w:rPr>
        <w:t>Deklaracja właściwości użytkowych</w:t>
      </w:r>
    </w:p>
    <w:p w14:paraId="2C776086" w14:textId="75A10A48" w:rsidR="002E4E7F" w:rsidRPr="00DD1DFA" w:rsidRDefault="005F7EFA" w:rsidP="005F7EFA">
      <w:pPr>
        <w:pStyle w:val="ManualNumPar1"/>
        <w:rPr>
          <w:rFonts w:eastAsia="Times New Roman"/>
          <w:noProof/>
        </w:rPr>
      </w:pPr>
      <w:r w:rsidRPr="005F7EFA">
        <w:t>1.</w:t>
      </w:r>
      <w:r w:rsidRPr="005F7EFA">
        <w:tab/>
      </w:r>
      <w:r w:rsidR="002E4E7F" w:rsidRPr="00DD1DFA">
        <w:rPr>
          <w:noProof/>
        </w:rPr>
        <w:t>Jeżeli wyrób objęty jest zharmonizowaną specyfikacją techniczną przyjętą na podstawie art.</w:t>
      </w:r>
      <w:r w:rsidR="00DD1DFA" w:rsidRPr="00DD1DFA">
        <w:rPr>
          <w:noProof/>
        </w:rPr>
        <w:t> </w:t>
      </w:r>
      <w:r w:rsidR="002E4E7F" w:rsidRPr="00DD1DFA">
        <w:rPr>
          <w:noProof/>
        </w:rPr>
        <w:t>4 ust.</w:t>
      </w:r>
      <w:r w:rsidR="00DD1DFA" w:rsidRPr="00DD1DFA">
        <w:rPr>
          <w:noProof/>
        </w:rPr>
        <w:t> </w:t>
      </w:r>
      <w:r w:rsidR="002E4E7F" w:rsidRPr="00DD1DFA">
        <w:rPr>
          <w:noProof/>
        </w:rPr>
        <w:t>2 lub</w:t>
      </w:r>
      <w:r w:rsidR="00DD1DFA" w:rsidRPr="00DD1DFA">
        <w:rPr>
          <w:noProof/>
        </w:rPr>
        <w:t> </w:t>
      </w:r>
      <w:r w:rsidR="002E4E7F" w:rsidRPr="00DD1DFA">
        <w:rPr>
          <w:noProof/>
        </w:rPr>
        <w:t>3, producent zostaje poddany obowiązującemu systemowi oceny</w:t>
      </w:r>
      <w:r w:rsidR="00DD1DFA" w:rsidRPr="00DD1DFA">
        <w:rPr>
          <w:noProof/>
        </w:rPr>
        <w:t xml:space="preserve"> i</w:t>
      </w:r>
      <w:r w:rsidR="00DD1DFA">
        <w:rPr>
          <w:noProof/>
        </w:rPr>
        <w:t> </w:t>
      </w:r>
      <w:r w:rsidR="00DD1DFA" w:rsidRPr="00DD1DFA">
        <w:rPr>
          <w:noProof/>
        </w:rPr>
        <w:t>wer</w:t>
      </w:r>
      <w:r w:rsidR="002E4E7F" w:rsidRPr="00DD1DFA">
        <w:rPr>
          <w:noProof/>
        </w:rPr>
        <w:t>yfikacji określonemu</w:t>
      </w:r>
      <w:r w:rsidR="00DD1DFA" w:rsidRPr="00DD1DFA">
        <w:rPr>
          <w:noProof/>
        </w:rPr>
        <w:t xml:space="preserve"> w</w:t>
      </w:r>
      <w:r w:rsidR="00DD1DFA">
        <w:rPr>
          <w:noProof/>
        </w:rPr>
        <w:t> </w:t>
      </w:r>
      <w:r w:rsidR="00DD1DFA" w:rsidRPr="00DD1DFA">
        <w:rPr>
          <w:noProof/>
        </w:rPr>
        <w:t>zał</w:t>
      </w:r>
      <w:r w:rsidR="002E4E7F" w:rsidRPr="00DD1DFA">
        <w:rPr>
          <w:noProof/>
        </w:rPr>
        <w:t>ączniku V oraz sporządza deklarację właściwości użytkowych przed wprowadzeniem takiego wyrobu do obrotu. Producent wyrobu, który nie jest objęty żadną zharmonizowaną specyfikacją techniczną, może wydać deklarację właściwości użytkowych zgodnie</w:t>
      </w:r>
      <w:r w:rsidR="00DD1DFA" w:rsidRPr="00DD1DFA">
        <w:rPr>
          <w:noProof/>
        </w:rPr>
        <w:t xml:space="preserve"> z</w:t>
      </w:r>
      <w:r w:rsidR="00DD1DFA">
        <w:rPr>
          <w:noProof/>
        </w:rPr>
        <w:t> </w:t>
      </w:r>
      <w:r w:rsidR="00DD1DFA" w:rsidRPr="00DD1DFA">
        <w:rPr>
          <w:noProof/>
        </w:rPr>
        <w:t>odp</w:t>
      </w:r>
      <w:r w:rsidR="002E4E7F" w:rsidRPr="00DD1DFA">
        <w:rPr>
          <w:noProof/>
        </w:rPr>
        <w:t>owiednim europejskim dokumentem oceny</w:t>
      </w:r>
      <w:r w:rsidR="00DD1DFA" w:rsidRPr="00DD1DFA">
        <w:rPr>
          <w:noProof/>
        </w:rPr>
        <w:t xml:space="preserve"> i</w:t>
      </w:r>
      <w:r w:rsidR="00DD1DFA">
        <w:rPr>
          <w:noProof/>
        </w:rPr>
        <w:t> </w:t>
      </w:r>
      <w:r w:rsidR="00DD1DFA" w:rsidRPr="00DD1DFA">
        <w:rPr>
          <w:noProof/>
        </w:rPr>
        <w:t>eur</w:t>
      </w:r>
      <w:r w:rsidR="002E4E7F" w:rsidRPr="00DD1DFA">
        <w:rPr>
          <w:noProof/>
        </w:rPr>
        <w:t>opejską oceną techniczną.</w:t>
      </w:r>
    </w:p>
    <w:p w14:paraId="7ABECDEB" w14:textId="333AE647" w:rsidR="002E4E7F" w:rsidRPr="00DD1DFA" w:rsidRDefault="005F7EFA" w:rsidP="005F7EFA">
      <w:pPr>
        <w:pStyle w:val="ManualNumPar1"/>
        <w:rPr>
          <w:rFonts w:eastAsia="Times New Roman"/>
          <w:noProof/>
        </w:rPr>
      </w:pPr>
      <w:r w:rsidRPr="005F7EFA">
        <w:t>2.</w:t>
      </w:r>
      <w:r w:rsidRPr="005F7EFA">
        <w:tab/>
      </w:r>
      <w:r w:rsidR="002E4E7F" w:rsidRPr="00DD1DFA">
        <w:rPr>
          <w:noProof/>
        </w:rPr>
        <w:t>Jeżeli wyrób objęty jest zharmonizowaną specyfikacją techniczną, informacje</w:t>
      </w:r>
      <w:r w:rsidR="00DD1DFA" w:rsidRPr="00DD1DFA">
        <w:rPr>
          <w:noProof/>
        </w:rPr>
        <w:t xml:space="preserve"> o</w:t>
      </w:r>
      <w:r w:rsidR="00DD1DFA">
        <w:rPr>
          <w:noProof/>
        </w:rPr>
        <w:t> </w:t>
      </w:r>
      <w:r w:rsidR="00DD1DFA" w:rsidRPr="00DD1DFA">
        <w:rPr>
          <w:noProof/>
        </w:rPr>
        <w:t>jeg</w:t>
      </w:r>
      <w:r w:rsidR="002E4E7F" w:rsidRPr="00DD1DFA">
        <w:rPr>
          <w:noProof/>
        </w:rPr>
        <w:t>o właściwościach użytkowych</w:t>
      </w:r>
      <w:r w:rsidR="00DD1DFA" w:rsidRPr="00DD1DFA">
        <w:rPr>
          <w:noProof/>
        </w:rPr>
        <w:t xml:space="preserve"> w</w:t>
      </w:r>
      <w:r w:rsidR="00DD1DFA">
        <w:rPr>
          <w:noProof/>
        </w:rPr>
        <w:t> </w:t>
      </w:r>
      <w:r w:rsidR="00DD1DFA" w:rsidRPr="00DD1DFA">
        <w:rPr>
          <w:noProof/>
        </w:rPr>
        <w:t>odn</w:t>
      </w:r>
      <w:r w:rsidR="002E4E7F" w:rsidRPr="00DD1DFA">
        <w:rPr>
          <w:noProof/>
        </w:rPr>
        <w:t>iesieniu do zasadniczych charakterystyk określonych</w:t>
      </w:r>
      <w:r w:rsidR="00DD1DFA" w:rsidRPr="00DD1DFA">
        <w:rPr>
          <w:noProof/>
        </w:rPr>
        <w:t xml:space="preserve"> w</w:t>
      </w:r>
      <w:r w:rsidR="00DD1DFA">
        <w:rPr>
          <w:noProof/>
        </w:rPr>
        <w:t> </w:t>
      </w:r>
      <w:r w:rsidR="00DD1DFA" w:rsidRPr="00DD1DFA">
        <w:rPr>
          <w:noProof/>
        </w:rPr>
        <w:t>maj</w:t>
      </w:r>
      <w:r w:rsidR="002E4E7F" w:rsidRPr="00DD1DFA">
        <w:rPr>
          <w:noProof/>
        </w:rPr>
        <w:t>ącej zastosowanie zharmonizowanej specyfikacji technicznej można podać</w:t>
      </w:r>
      <w:r w:rsidR="00DD1DFA" w:rsidRPr="00DD1DFA">
        <w:rPr>
          <w:noProof/>
        </w:rPr>
        <w:t xml:space="preserve"> w</w:t>
      </w:r>
      <w:r w:rsidR="00DD1DFA">
        <w:rPr>
          <w:noProof/>
        </w:rPr>
        <w:t> </w:t>
      </w:r>
      <w:r w:rsidR="00DD1DFA" w:rsidRPr="00DD1DFA">
        <w:rPr>
          <w:noProof/>
        </w:rPr>
        <w:t>inn</w:t>
      </w:r>
      <w:r w:rsidR="002E4E7F" w:rsidRPr="00DD1DFA">
        <w:rPr>
          <w:noProof/>
        </w:rPr>
        <w:t>ym miejscu niż</w:t>
      </w:r>
      <w:r w:rsidR="00DD1DFA" w:rsidRPr="00DD1DFA">
        <w:rPr>
          <w:noProof/>
        </w:rPr>
        <w:t xml:space="preserve"> w</w:t>
      </w:r>
      <w:r w:rsidR="00DD1DFA">
        <w:rPr>
          <w:noProof/>
        </w:rPr>
        <w:t> </w:t>
      </w:r>
      <w:r w:rsidR="00DD1DFA" w:rsidRPr="00DD1DFA">
        <w:rPr>
          <w:noProof/>
        </w:rPr>
        <w:t>dek</w:t>
      </w:r>
      <w:r w:rsidR="002E4E7F" w:rsidRPr="00DD1DFA">
        <w:rPr>
          <w:noProof/>
        </w:rPr>
        <w:t>laracji właściwości użytkowych wyłącznie wówczas, gdy przedstawiono je równolegle</w:t>
      </w:r>
      <w:r w:rsidR="00DD1DFA" w:rsidRPr="00DD1DFA">
        <w:rPr>
          <w:noProof/>
        </w:rPr>
        <w:t xml:space="preserve"> w</w:t>
      </w:r>
      <w:r w:rsidR="00DD1DFA">
        <w:rPr>
          <w:noProof/>
        </w:rPr>
        <w:t> </w:t>
      </w:r>
      <w:r w:rsidR="00DD1DFA" w:rsidRPr="00DD1DFA">
        <w:rPr>
          <w:noProof/>
        </w:rPr>
        <w:t>dek</w:t>
      </w:r>
      <w:r w:rsidR="002E4E7F" w:rsidRPr="00DD1DFA">
        <w:rPr>
          <w:noProof/>
        </w:rPr>
        <w:t>laracji właściwości użytkowych. Obowiązek ten nie dotyczy sytuacji,</w:t>
      </w:r>
      <w:r w:rsidR="00DD1DFA" w:rsidRPr="00DD1DFA">
        <w:rPr>
          <w:noProof/>
        </w:rPr>
        <w:t xml:space="preserve"> w</w:t>
      </w:r>
      <w:r w:rsidR="00DD1DFA">
        <w:rPr>
          <w:noProof/>
        </w:rPr>
        <w:t> </w:t>
      </w:r>
      <w:r w:rsidR="00DD1DFA" w:rsidRPr="00DD1DFA">
        <w:rPr>
          <w:noProof/>
        </w:rPr>
        <w:t>któ</w:t>
      </w:r>
      <w:r w:rsidR="002E4E7F" w:rsidRPr="00DD1DFA">
        <w:rPr>
          <w:noProof/>
        </w:rPr>
        <w:t>rych żadna deklaracja właściwości użytkowych nie została sporządzona zgodnie</w:t>
      </w:r>
      <w:r w:rsidR="00DD1DFA" w:rsidRPr="00DD1DFA">
        <w:rPr>
          <w:noProof/>
        </w:rPr>
        <w:t xml:space="preserve"> z</w:t>
      </w:r>
      <w:r w:rsidR="00DD1DFA">
        <w:rPr>
          <w:noProof/>
        </w:rPr>
        <w:t> </w:t>
      </w:r>
      <w:r w:rsidR="00DD1DFA" w:rsidRPr="00DD1DFA">
        <w:rPr>
          <w:noProof/>
        </w:rPr>
        <w:t>art</w:t>
      </w:r>
      <w:r w:rsidR="002E4E7F" w:rsidRPr="00DD1DFA">
        <w:rPr>
          <w:noProof/>
        </w:rPr>
        <w:t>.</w:t>
      </w:r>
      <w:r w:rsidR="00DD1DFA" w:rsidRPr="00DD1DFA">
        <w:rPr>
          <w:noProof/>
        </w:rPr>
        <w:t> </w:t>
      </w:r>
      <w:r w:rsidR="002E4E7F" w:rsidRPr="00DD1DFA">
        <w:rPr>
          <w:noProof/>
        </w:rPr>
        <w:t>10.</w:t>
      </w:r>
    </w:p>
    <w:p w14:paraId="04EE9707" w14:textId="23273C24" w:rsidR="00BC1E12" w:rsidRPr="00DD1DFA" w:rsidRDefault="005F7EFA" w:rsidP="005F7EFA">
      <w:pPr>
        <w:pStyle w:val="ManualNumPar1"/>
        <w:rPr>
          <w:rFonts w:ascii="Calibri" w:eastAsia="Calibri" w:hAnsi="Calibri" w:cs="DejaVu Sans"/>
          <w:noProof/>
          <w:color w:val="00000A"/>
          <w:sz w:val="22"/>
        </w:rPr>
      </w:pPr>
      <w:r w:rsidRPr="005F7EFA">
        <w:t>3.</w:t>
      </w:r>
      <w:r w:rsidRPr="005F7EFA">
        <w:tab/>
      </w:r>
      <w:r w:rsidR="002E4E7F" w:rsidRPr="00DD1DFA">
        <w:rPr>
          <w:noProof/>
        </w:rPr>
        <w:t>Przez sporządzenie deklaracji właściwości użytkowych producent przyjmuje na siebie odpowiedzialność za zgodność wyrobu</w:t>
      </w:r>
      <w:r w:rsidR="00DD1DFA" w:rsidRPr="00DD1DFA">
        <w:rPr>
          <w:noProof/>
        </w:rPr>
        <w:t xml:space="preserve"> z</w:t>
      </w:r>
      <w:r w:rsidR="00DD1DFA">
        <w:rPr>
          <w:noProof/>
        </w:rPr>
        <w:t> </w:t>
      </w:r>
      <w:r w:rsidR="00DD1DFA" w:rsidRPr="00DD1DFA">
        <w:rPr>
          <w:noProof/>
        </w:rPr>
        <w:t>zad</w:t>
      </w:r>
      <w:r w:rsidR="002E4E7F" w:rsidRPr="00DD1DFA">
        <w:rPr>
          <w:noProof/>
        </w:rPr>
        <w:t>eklarowanymi</w:t>
      </w:r>
      <w:r w:rsidR="00DD1DFA" w:rsidRPr="00DD1DFA">
        <w:rPr>
          <w:noProof/>
        </w:rPr>
        <w:t xml:space="preserve"> w</w:t>
      </w:r>
      <w:r w:rsidR="00DD1DFA">
        <w:rPr>
          <w:noProof/>
        </w:rPr>
        <w:t> </w:t>
      </w:r>
      <w:r w:rsidR="00DD1DFA" w:rsidRPr="00DD1DFA">
        <w:rPr>
          <w:noProof/>
        </w:rPr>
        <w:t>ten</w:t>
      </w:r>
      <w:r w:rsidR="002E4E7F" w:rsidRPr="00DD1DFA">
        <w:rPr>
          <w:noProof/>
        </w:rPr>
        <w:t xml:space="preserve"> sposób właściwościami użytkowymi oraz ponosi odpowiedzialność zgodnie</w:t>
      </w:r>
      <w:r w:rsidR="00DD1DFA" w:rsidRPr="00DD1DFA">
        <w:rPr>
          <w:noProof/>
        </w:rPr>
        <w:t xml:space="preserve"> z</w:t>
      </w:r>
      <w:r w:rsidR="00DD1DFA">
        <w:rPr>
          <w:noProof/>
        </w:rPr>
        <w:t> </w:t>
      </w:r>
      <w:r w:rsidR="00DD1DFA" w:rsidRPr="00DD1DFA">
        <w:rPr>
          <w:noProof/>
        </w:rPr>
        <w:t>uni</w:t>
      </w:r>
      <w:r w:rsidR="002E4E7F" w:rsidRPr="00DD1DFA">
        <w:rPr>
          <w:noProof/>
        </w:rPr>
        <w:t>jnymi</w:t>
      </w:r>
      <w:r w:rsidR="00DD1DFA" w:rsidRPr="00DD1DFA">
        <w:rPr>
          <w:noProof/>
        </w:rPr>
        <w:t xml:space="preserve"> i</w:t>
      </w:r>
      <w:r w:rsidR="00DD1DFA">
        <w:rPr>
          <w:noProof/>
        </w:rPr>
        <w:t> </w:t>
      </w:r>
      <w:r w:rsidR="00DD1DFA" w:rsidRPr="00DD1DFA">
        <w:rPr>
          <w:noProof/>
        </w:rPr>
        <w:t>kra</w:t>
      </w:r>
      <w:r w:rsidR="002E4E7F" w:rsidRPr="00DD1DFA">
        <w:rPr>
          <w:noProof/>
        </w:rPr>
        <w:t>jowymi przepisami dotyczącymi odpowiedzialności umownej</w:t>
      </w:r>
      <w:r w:rsidR="00DD1DFA" w:rsidRPr="00DD1DFA">
        <w:rPr>
          <w:noProof/>
        </w:rPr>
        <w:t xml:space="preserve"> i</w:t>
      </w:r>
      <w:r w:rsidR="00DD1DFA">
        <w:rPr>
          <w:noProof/>
        </w:rPr>
        <w:t> </w:t>
      </w:r>
      <w:r w:rsidR="00DD1DFA" w:rsidRPr="00DD1DFA">
        <w:rPr>
          <w:noProof/>
        </w:rPr>
        <w:t>poz</w:t>
      </w:r>
      <w:r w:rsidR="002E4E7F" w:rsidRPr="00DD1DFA">
        <w:rPr>
          <w:noProof/>
        </w:rPr>
        <w:t>aumownej, nawet jeśli nie dopuścił się zaniedbania</w:t>
      </w:r>
      <w:r w:rsidR="00DD1DFA" w:rsidRPr="00DD1DFA">
        <w:rPr>
          <w:noProof/>
        </w:rPr>
        <w:t>. O</w:t>
      </w:r>
      <w:r w:rsidR="00DD1DFA">
        <w:rPr>
          <w:noProof/>
        </w:rPr>
        <w:t> </w:t>
      </w:r>
      <w:r w:rsidR="00DD1DFA" w:rsidRPr="00DD1DFA">
        <w:rPr>
          <w:noProof/>
        </w:rPr>
        <w:t>ile</w:t>
      </w:r>
      <w:r w:rsidR="002E4E7F" w:rsidRPr="00DD1DFA">
        <w:rPr>
          <w:noProof/>
        </w:rPr>
        <w:t xml:space="preserve"> brak obiektywnych wskazań, że jest inaczej, państwa członkowskie przyjmują, że deklaracja właściwości użytkowych sporządzona przez producenta jest dokładna</w:t>
      </w:r>
      <w:r w:rsidR="00DD1DFA" w:rsidRPr="00DD1DFA">
        <w:rPr>
          <w:noProof/>
        </w:rPr>
        <w:t xml:space="preserve"> i</w:t>
      </w:r>
      <w:r w:rsidR="00DD1DFA">
        <w:rPr>
          <w:noProof/>
        </w:rPr>
        <w:t> </w:t>
      </w:r>
      <w:r w:rsidR="00DD1DFA" w:rsidRPr="00DD1DFA">
        <w:rPr>
          <w:noProof/>
        </w:rPr>
        <w:t>wia</w:t>
      </w:r>
      <w:r w:rsidR="002E4E7F" w:rsidRPr="00DD1DFA">
        <w:rPr>
          <w:noProof/>
        </w:rPr>
        <w:t>rygodna.</w:t>
      </w:r>
    </w:p>
    <w:p w14:paraId="50249553" w14:textId="77777777" w:rsidR="00BC1E12" w:rsidRPr="00DD1DFA" w:rsidRDefault="00BC1E12" w:rsidP="00A04476">
      <w:pPr>
        <w:pStyle w:val="Titrearticle"/>
        <w:rPr>
          <w:rFonts w:ascii="Calibri" w:eastAsia="Calibri" w:hAnsi="Calibri" w:cs="DejaVu Sans"/>
          <w:noProof/>
          <w:color w:val="00000A"/>
          <w:sz w:val="22"/>
        </w:rPr>
      </w:pPr>
      <w:r w:rsidRPr="00DD1DFA">
        <w:rPr>
          <w:noProof/>
        </w:rPr>
        <w:t>Artykuł 10</w:t>
      </w:r>
    </w:p>
    <w:p w14:paraId="26816A52" w14:textId="0C4BD699" w:rsidR="00BC1E12" w:rsidRPr="00DD1DFA" w:rsidRDefault="00BC1E12" w:rsidP="00A04476">
      <w:pPr>
        <w:pStyle w:val="Titrearticle"/>
        <w:rPr>
          <w:b/>
          <w:noProof/>
        </w:rPr>
      </w:pPr>
      <w:r w:rsidRPr="00DD1DFA">
        <w:rPr>
          <w:b/>
          <w:noProof/>
        </w:rPr>
        <w:t>Zwolnienia</w:t>
      </w:r>
      <w:r w:rsidR="00DD1DFA" w:rsidRPr="00DD1DFA">
        <w:rPr>
          <w:b/>
          <w:noProof/>
        </w:rPr>
        <w:t xml:space="preserve"> z</w:t>
      </w:r>
      <w:r w:rsidR="00DD1DFA">
        <w:rPr>
          <w:b/>
          <w:noProof/>
        </w:rPr>
        <w:t> </w:t>
      </w:r>
      <w:r w:rsidR="00DD1DFA" w:rsidRPr="00DD1DFA">
        <w:rPr>
          <w:b/>
          <w:noProof/>
        </w:rPr>
        <w:t>obo</w:t>
      </w:r>
      <w:r w:rsidRPr="00DD1DFA">
        <w:rPr>
          <w:b/>
          <w:noProof/>
        </w:rPr>
        <w:t>wiązku sporządzania deklaracji właściwości użytkowych</w:t>
      </w:r>
    </w:p>
    <w:p w14:paraId="4DD8851C" w14:textId="3287E9F5" w:rsidR="002E4E7F" w:rsidRPr="00DD1DFA" w:rsidRDefault="005F7EFA" w:rsidP="005F7EFA">
      <w:pPr>
        <w:pStyle w:val="ManualNumPar1"/>
        <w:rPr>
          <w:rFonts w:eastAsia="Times New Roman"/>
          <w:noProof/>
        </w:rPr>
      </w:pPr>
      <w:r w:rsidRPr="005F7EFA">
        <w:t>1.</w:t>
      </w:r>
      <w:r w:rsidRPr="005F7EFA">
        <w:tab/>
      </w:r>
      <w:r w:rsidR="002E4E7F" w:rsidRPr="00DD1DFA">
        <w:rPr>
          <w:noProof/>
        </w:rPr>
        <w:t>Na zasadzie odstępstwa od art.</w:t>
      </w:r>
      <w:r w:rsidR="00DD1DFA" w:rsidRPr="00DD1DFA">
        <w:rPr>
          <w:noProof/>
        </w:rPr>
        <w:t> </w:t>
      </w:r>
      <w:r w:rsidR="002E4E7F" w:rsidRPr="00DD1DFA">
        <w:rPr>
          <w:noProof/>
        </w:rPr>
        <w:t>9 ust.</w:t>
      </w:r>
      <w:r w:rsidR="00DD1DFA" w:rsidRPr="00DD1DFA">
        <w:rPr>
          <w:noProof/>
        </w:rPr>
        <w:t> </w:t>
      </w:r>
      <w:r w:rsidR="002E4E7F" w:rsidRPr="00DD1DFA">
        <w:rPr>
          <w:noProof/>
        </w:rPr>
        <w:t>1 producent może odstąpić od sporządzenia deklaracji właściwości użytkowych przy wprowadzaniu do obrotu wyrobu objętego zharmonizowaną specyfikacją techniczną</w:t>
      </w:r>
      <w:r w:rsidR="00DD1DFA" w:rsidRPr="00DD1DFA">
        <w:rPr>
          <w:noProof/>
        </w:rPr>
        <w:t xml:space="preserve"> w</w:t>
      </w:r>
      <w:r w:rsidR="00DD1DFA">
        <w:rPr>
          <w:noProof/>
        </w:rPr>
        <w:t> </w:t>
      </w:r>
      <w:r w:rsidR="00DD1DFA" w:rsidRPr="00DD1DFA">
        <w:rPr>
          <w:noProof/>
        </w:rPr>
        <w:t>nas</w:t>
      </w:r>
      <w:r w:rsidR="002E4E7F" w:rsidRPr="00DD1DFA">
        <w:rPr>
          <w:noProof/>
        </w:rPr>
        <w:t>tępujących przypadkach:</w:t>
      </w:r>
    </w:p>
    <w:p w14:paraId="06775B4B" w14:textId="72C011ED" w:rsidR="002E4E7F" w:rsidRPr="00DD1DFA" w:rsidRDefault="00626BBA" w:rsidP="00626BBA">
      <w:pPr>
        <w:pStyle w:val="Point1"/>
        <w:rPr>
          <w:noProof/>
        </w:rPr>
      </w:pPr>
      <w:r w:rsidRPr="00626BBA">
        <w:rPr>
          <w:noProof/>
        </w:rPr>
        <w:t>a)</w:t>
      </w:r>
      <w:r w:rsidRPr="00626BBA">
        <w:rPr>
          <w:noProof/>
        </w:rPr>
        <w:tab/>
      </w:r>
      <w:r w:rsidR="002E4E7F" w:rsidRPr="00DD1DFA">
        <w:rPr>
          <w:noProof/>
        </w:rPr>
        <w:t>wyrób jest produkowany jednostkowo lub na zamówienie</w:t>
      </w:r>
      <w:r w:rsidR="00DD1DFA" w:rsidRPr="00DD1DFA">
        <w:rPr>
          <w:noProof/>
        </w:rPr>
        <w:t xml:space="preserve"> w</w:t>
      </w:r>
      <w:r w:rsidR="00DD1DFA">
        <w:rPr>
          <w:noProof/>
        </w:rPr>
        <w:t> </w:t>
      </w:r>
      <w:r w:rsidR="00DD1DFA" w:rsidRPr="00DD1DFA">
        <w:rPr>
          <w:noProof/>
        </w:rPr>
        <w:t>nie</w:t>
      </w:r>
      <w:r w:rsidR="002E4E7F" w:rsidRPr="00DD1DFA">
        <w:rPr>
          <w:noProof/>
        </w:rPr>
        <w:t>seryjnym procesie produkcyjnym</w:t>
      </w:r>
      <w:r w:rsidR="00DD1DFA" w:rsidRPr="00DD1DFA">
        <w:rPr>
          <w:noProof/>
        </w:rPr>
        <w:t xml:space="preserve"> w</w:t>
      </w:r>
      <w:r w:rsidR="00DD1DFA">
        <w:rPr>
          <w:noProof/>
        </w:rPr>
        <w:t> </w:t>
      </w:r>
      <w:r w:rsidR="00DD1DFA" w:rsidRPr="00DD1DFA">
        <w:rPr>
          <w:noProof/>
        </w:rPr>
        <w:t>odp</w:t>
      </w:r>
      <w:r w:rsidR="002E4E7F" w:rsidRPr="00DD1DFA">
        <w:rPr>
          <w:noProof/>
        </w:rPr>
        <w:t>owiedzi na specjalne zlecenie</w:t>
      </w:r>
      <w:r w:rsidR="00DD1DFA" w:rsidRPr="00DD1DFA">
        <w:rPr>
          <w:noProof/>
        </w:rPr>
        <w:t xml:space="preserve"> w</w:t>
      </w:r>
      <w:r w:rsidR="00DD1DFA">
        <w:rPr>
          <w:noProof/>
        </w:rPr>
        <w:t> </w:t>
      </w:r>
      <w:r w:rsidR="00DD1DFA" w:rsidRPr="00DD1DFA">
        <w:rPr>
          <w:noProof/>
        </w:rPr>
        <w:t>inn</w:t>
      </w:r>
      <w:r w:rsidR="002E4E7F" w:rsidRPr="00DD1DFA">
        <w:rPr>
          <w:noProof/>
        </w:rPr>
        <w:t>y sposób niż za pomocą drukowania przestrzennego lub już istniejących form oraz wbudowywany</w:t>
      </w:r>
      <w:r w:rsidR="00DD1DFA" w:rsidRPr="00DD1DFA">
        <w:rPr>
          <w:noProof/>
        </w:rPr>
        <w:t xml:space="preserve"> w</w:t>
      </w:r>
      <w:r w:rsidR="00DD1DFA">
        <w:rPr>
          <w:noProof/>
        </w:rPr>
        <w:t> </w:t>
      </w:r>
      <w:r w:rsidR="00DD1DFA" w:rsidRPr="00DD1DFA">
        <w:rPr>
          <w:noProof/>
        </w:rPr>
        <w:t>jed</w:t>
      </w:r>
      <w:r w:rsidR="002E4E7F" w:rsidRPr="00DD1DFA">
        <w:rPr>
          <w:noProof/>
        </w:rPr>
        <w:t>nym określonym obiekcie budowlanym, przez producenta, który również ponosi odpowiedzialność za bezpieczne wbudowanie wyrobu</w:t>
      </w:r>
      <w:r w:rsidR="00DD1DFA" w:rsidRPr="00DD1DFA">
        <w:rPr>
          <w:noProof/>
        </w:rPr>
        <w:t xml:space="preserve"> w</w:t>
      </w:r>
      <w:r w:rsidR="00DD1DFA">
        <w:rPr>
          <w:noProof/>
        </w:rPr>
        <w:t> </w:t>
      </w:r>
      <w:r w:rsidR="00DD1DFA" w:rsidRPr="00DD1DFA">
        <w:rPr>
          <w:noProof/>
        </w:rPr>
        <w:t>obi</w:t>
      </w:r>
      <w:r w:rsidR="002E4E7F" w:rsidRPr="00DD1DFA">
        <w:rPr>
          <w:noProof/>
        </w:rPr>
        <w:t>ekty budowlane, zgodnie</w:t>
      </w:r>
      <w:r w:rsidR="00DD1DFA" w:rsidRPr="00DD1DFA">
        <w:rPr>
          <w:noProof/>
        </w:rPr>
        <w:t xml:space="preserve"> z</w:t>
      </w:r>
      <w:r w:rsidR="00DD1DFA">
        <w:rPr>
          <w:noProof/>
        </w:rPr>
        <w:t> </w:t>
      </w:r>
      <w:r w:rsidR="00DD1DFA" w:rsidRPr="00DD1DFA">
        <w:rPr>
          <w:noProof/>
        </w:rPr>
        <w:t>maj</w:t>
      </w:r>
      <w:r w:rsidR="002E4E7F" w:rsidRPr="00DD1DFA">
        <w:rPr>
          <w:noProof/>
        </w:rPr>
        <w:t>ącymi zastosowanie przepisami krajowymi</w:t>
      </w:r>
      <w:r w:rsidR="00DD1DFA" w:rsidRPr="00DD1DFA">
        <w:rPr>
          <w:noProof/>
        </w:rPr>
        <w:t xml:space="preserve"> i</w:t>
      </w:r>
      <w:r w:rsidR="00DD1DFA">
        <w:rPr>
          <w:noProof/>
        </w:rPr>
        <w:t> </w:t>
      </w:r>
      <w:r w:rsidR="00DD1DFA" w:rsidRPr="00DD1DFA">
        <w:rPr>
          <w:noProof/>
        </w:rPr>
        <w:t>pod</w:t>
      </w:r>
      <w:r w:rsidR="002E4E7F" w:rsidRPr="00DD1DFA">
        <w:rPr>
          <w:noProof/>
        </w:rPr>
        <w:t xml:space="preserve"> nadzorem osób, które zgodnie</w:t>
      </w:r>
      <w:r w:rsidR="00DD1DFA" w:rsidRPr="00DD1DFA">
        <w:rPr>
          <w:noProof/>
        </w:rPr>
        <w:t xml:space="preserve"> z</w:t>
      </w:r>
      <w:r w:rsidR="00DD1DFA">
        <w:rPr>
          <w:noProof/>
        </w:rPr>
        <w:t> </w:t>
      </w:r>
      <w:r w:rsidR="00DD1DFA" w:rsidRPr="00DD1DFA">
        <w:rPr>
          <w:noProof/>
        </w:rPr>
        <w:t>maj</w:t>
      </w:r>
      <w:r w:rsidR="002E4E7F" w:rsidRPr="00DD1DFA">
        <w:rPr>
          <w:noProof/>
        </w:rPr>
        <w:t>ącymi zastosowanie przepisami krajowymi są odpowiedzialne za bezpieczne wykonanie obiektów budowlanych;</w:t>
      </w:r>
    </w:p>
    <w:p w14:paraId="2BF5F0BD" w14:textId="3C14D608" w:rsidR="002E4E7F" w:rsidRPr="00DD1DFA" w:rsidRDefault="00626BBA" w:rsidP="00626BBA">
      <w:pPr>
        <w:pStyle w:val="Point1"/>
        <w:rPr>
          <w:noProof/>
        </w:rPr>
      </w:pPr>
      <w:r w:rsidRPr="00626BBA">
        <w:rPr>
          <w:noProof/>
        </w:rPr>
        <w:t>b)</w:t>
      </w:r>
      <w:r w:rsidRPr="00626BBA">
        <w:rPr>
          <w:noProof/>
        </w:rPr>
        <w:tab/>
      </w:r>
      <w:r w:rsidR="002E4E7F" w:rsidRPr="00DD1DFA">
        <w:rPr>
          <w:noProof/>
        </w:rPr>
        <w:t>wyrób jest produkowany na terenie budowy</w:t>
      </w:r>
      <w:r w:rsidR="00DD1DFA" w:rsidRPr="00DD1DFA">
        <w:rPr>
          <w:noProof/>
        </w:rPr>
        <w:t xml:space="preserve"> w</w:t>
      </w:r>
      <w:r w:rsidR="00DD1DFA">
        <w:rPr>
          <w:noProof/>
        </w:rPr>
        <w:t> </w:t>
      </w:r>
      <w:r w:rsidR="00DD1DFA" w:rsidRPr="00DD1DFA">
        <w:rPr>
          <w:noProof/>
        </w:rPr>
        <w:t>nie</w:t>
      </w:r>
      <w:r w:rsidR="002E4E7F" w:rsidRPr="00DD1DFA">
        <w:rPr>
          <w:noProof/>
        </w:rPr>
        <w:t>seryjnym procesie produkcyjnym</w:t>
      </w:r>
      <w:r w:rsidR="00DD1DFA" w:rsidRPr="00DD1DFA">
        <w:rPr>
          <w:noProof/>
        </w:rPr>
        <w:t xml:space="preserve"> w</w:t>
      </w:r>
      <w:r w:rsidR="00DD1DFA">
        <w:rPr>
          <w:noProof/>
        </w:rPr>
        <w:t> </w:t>
      </w:r>
      <w:r w:rsidR="00DD1DFA" w:rsidRPr="00DD1DFA">
        <w:rPr>
          <w:noProof/>
        </w:rPr>
        <w:t>inn</w:t>
      </w:r>
      <w:r w:rsidR="002E4E7F" w:rsidRPr="00DD1DFA">
        <w:rPr>
          <w:noProof/>
        </w:rPr>
        <w:t>y sposób niż za pomocą drukowania przestrzennego lub istniejących już form</w:t>
      </w:r>
      <w:r w:rsidR="00DD1DFA" w:rsidRPr="00DD1DFA">
        <w:rPr>
          <w:noProof/>
        </w:rPr>
        <w:t xml:space="preserve"> w</w:t>
      </w:r>
      <w:r w:rsidR="00DD1DFA">
        <w:rPr>
          <w:noProof/>
        </w:rPr>
        <w:t> </w:t>
      </w:r>
      <w:r w:rsidR="00DD1DFA" w:rsidRPr="00DD1DFA">
        <w:rPr>
          <w:noProof/>
        </w:rPr>
        <w:t>cel</w:t>
      </w:r>
      <w:r w:rsidR="002E4E7F" w:rsidRPr="00DD1DFA">
        <w:rPr>
          <w:noProof/>
        </w:rPr>
        <w:t>u wbudowania go</w:t>
      </w:r>
      <w:r w:rsidR="00DD1DFA" w:rsidRPr="00DD1DFA">
        <w:rPr>
          <w:noProof/>
        </w:rPr>
        <w:t xml:space="preserve"> w</w:t>
      </w:r>
      <w:r w:rsidR="00DD1DFA">
        <w:rPr>
          <w:noProof/>
        </w:rPr>
        <w:t> </w:t>
      </w:r>
      <w:r w:rsidR="00DD1DFA" w:rsidRPr="00DD1DFA">
        <w:rPr>
          <w:noProof/>
        </w:rPr>
        <w:t>dan</w:t>
      </w:r>
      <w:r w:rsidR="002E4E7F" w:rsidRPr="00DD1DFA">
        <w:rPr>
          <w:noProof/>
        </w:rPr>
        <w:t>e obiekty budowlane zgodnie</w:t>
      </w:r>
      <w:r w:rsidR="00DD1DFA" w:rsidRPr="00DD1DFA">
        <w:rPr>
          <w:noProof/>
        </w:rPr>
        <w:t xml:space="preserve"> z</w:t>
      </w:r>
      <w:r w:rsidR="00DD1DFA">
        <w:rPr>
          <w:noProof/>
        </w:rPr>
        <w:t> </w:t>
      </w:r>
      <w:r w:rsidR="00DD1DFA" w:rsidRPr="00DD1DFA">
        <w:rPr>
          <w:noProof/>
        </w:rPr>
        <w:t>maj</w:t>
      </w:r>
      <w:r w:rsidR="002E4E7F" w:rsidRPr="00DD1DFA">
        <w:rPr>
          <w:noProof/>
        </w:rPr>
        <w:t>ącymi zastosowanie przepisami krajowymi</w:t>
      </w:r>
      <w:r w:rsidR="00DD1DFA" w:rsidRPr="00DD1DFA">
        <w:rPr>
          <w:noProof/>
        </w:rPr>
        <w:t xml:space="preserve"> i</w:t>
      </w:r>
      <w:r w:rsidR="00DD1DFA">
        <w:rPr>
          <w:noProof/>
        </w:rPr>
        <w:t> </w:t>
      </w:r>
      <w:r w:rsidR="00DD1DFA" w:rsidRPr="00DD1DFA">
        <w:rPr>
          <w:noProof/>
        </w:rPr>
        <w:t>pod</w:t>
      </w:r>
      <w:r w:rsidR="002E4E7F" w:rsidRPr="00DD1DFA">
        <w:rPr>
          <w:noProof/>
        </w:rPr>
        <w:t xml:space="preserve"> nadzorem osób, które zgodnie</w:t>
      </w:r>
      <w:r w:rsidR="00DD1DFA" w:rsidRPr="00DD1DFA">
        <w:rPr>
          <w:noProof/>
        </w:rPr>
        <w:t xml:space="preserve"> z</w:t>
      </w:r>
      <w:r w:rsidR="00DD1DFA">
        <w:rPr>
          <w:noProof/>
        </w:rPr>
        <w:t> </w:t>
      </w:r>
      <w:r w:rsidR="00DD1DFA" w:rsidRPr="00DD1DFA">
        <w:rPr>
          <w:noProof/>
        </w:rPr>
        <w:t>maj</w:t>
      </w:r>
      <w:r w:rsidR="002E4E7F" w:rsidRPr="00DD1DFA">
        <w:rPr>
          <w:noProof/>
        </w:rPr>
        <w:t>ącymi zastosowanie przepisami krajowymi są odpowiedzialne za bezpieczne wykonanie obiektów budowlanych; lub</w:t>
      </w:r>
    </w:p>
    <w:p w14:paraId="152147BF" w14:textId="24519C56" w:rsidR="002E4E7F" w:rsidRPr="00DD1DFA" w:rsidRDefault="00626BBA" w:rsidP="00626BBA">
      <w:pPr>
        <w:pStyle w:val="Point1"/>
        <w:rPr>
          <w:noProof/>
        </w:rPr>
      </w:pPr>
      <w:r w:rsidRPr="00626BBA">
        <w:rPr>
          <w:noProof/>
        </w:rPr>
        <w:t>c)</w:t>
      </w:r>
      <w:r w:rsidRPr="00626BBA">
        <w:rPr>
          <w:noProof/>
        </w:rPr>
        <w:tab/>
      </w:r>
      <w:r w:rsidR="002E4E7F" w:rsidRPr="00DD1DFA">
        <w:rPr>
          <w:noProof/>
        </w:rPr>
        <w:t>wyrób jest produkowany</w:t>
      </w:r>
      <w:r w:rsidR="00DD1DFA" w:rsidRPr="00DD1DFA">
        <w:rPr>
          <w:noProof/>
        </w:rPr>
        <w:t xml:space="preserve"> w</w:t>
      </w:r>
      <w:r w:rsidR="00DD1DFA">
        <w:rPr>
          <w:noProof/>
        </w:rPr>
        <w:t> </w:t>
      </w:r>
      <w:r w:rsidR="00DD1DFA" w:rsidRPr="00DD1DFA">
        <w:rPr>
          <w:noProof/>
        </w:rPr>
        <w:t>spo</w:t>
      </w:r>
      <w:r w:rsidR="002E4E7F" w:rsidRPr="00DD1DFA">
        <w:rPr>
          <w:noProof/>
        </w:rPr>
        <w:t>sób odpowiedni wyłącznie do zachowania zachowanie dziedzictwa kulturowego</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pro</w:t>
      </w:r>
      <w:r w:rsidR="002E4E7F" w:rsidRPr="00DD1DFA">
        <w:rPr>
          <w:noProof/>
        </w:rPr>
        <w:t>cesie nieseryjnym</w:t>
      </w:r>
      <w:r w:rsidR="00DD1DFA" w:rsidRPr="00DD1DFA">
        <w:rPr>
          <w:noProof/>
        </w:rPr>
        <w:t xml:space="preserve"> w</w:t>
      </w:r>
      <w:r w:rsidR="00DD1DFA">
        <w:rPr>
          <w:noProof/>
        </w:rPr>
        <w:t> </w:t>
      </w:r>
      <w:r w:rsidR="00DD1DFA" w:rsidRPr="00DD1DFA">
        <w:rPr>
          <w:noProof/>
        </w:rPr>
        <w:t>cel</w:t>
      </w:r>
      <w:r w:rsidR="002E4E7F" w:rsidRPr="00DD1DFA">
        <w:rPr>
          <w:noProof/>
        </w:rPr>
        <w:t>u właściwej renowacji obiektów budowlanych urzędowo chronionych jako część wyznaczonego środowiska lub</w:t>
      </w:r>
      <w:r w:rsidR="00DD1DFA" w:rsidRPr="00DD1DFA">
        <w:rPr>
          <w:noProof/>
        </w:rPr>
        <w:t xml:space="preserve"> z</w:t>
      </w:r>
      <w:r w:rsidR="00DD1DFA">
        <w:rPr>
          <w:noProof/>
        </w:rPr>
        <w:t> </w:t>
      </w:r>
      <w:r w:rsidR="00DD1DFA" w:rsidRPr="00DD1DFA">
        <w:rPr>
          <w:noProof/>
        </w:rPr>
        <w:t>pow</w:t>
      </w:r>
      <w:r w:rsidR="002E4E7F" w:rsidRPr="00DD1DFA">
        <w:rPr>
          <w:noProof/>
        </w:rPr>
        <w:t>odu ich szczególnej wartości architektonicznej lub historycznej.</w:t>
      </w:r>
    </w:p>
    <w:p w14:paraId="38CA2FFF" w14:textId="1CACF6E1" w:rsidR="002E4E7F" w:rsidRPr="00DD1DFA" w:rsidRDefault="005F7EFA" w:rsidP="005F7EFA">
      <w:pPr>
        <w:pStyle w:val="ManualNumPar1"/>
        <w:rPr>
          <w:rFonts w:eastAsia="Times New Roman"/>
          <w:noProof/>
        </w:rPr>
      </w:pPr>
      <w:r w:rsidRPr="005F7EFA">
        <w:t>2.</w:t>
      </w:r>
      <w:r w:rsidRPr="005F7EFA">
        <w:tab/>
      </w:r>
      <w:r w:rsidR="002E4E7F" w:rsidRPr="00DD1DFA">
        <w:rPr>
          <w:noProof/>
        </w:rPr>
        <w:t>Państwo członkowskie może zwolnić</w:t>
      </w:r>
      <w:r w:rsidR="00DD1DFA" w:rsidRPr="00DD1DFA">
        <w:rPr>
          <w:noProof/>
        </w:rPr>
        <w:t xml:space="preserve"> z</w:t>
      </w:r>
      <w:r w:rsidR="00DD1DFA">
        <w:rPr>
          <w:noProof/>
        </w:rPr>
        <w:t> </w:t>
      </w:r>
      <w:r w:rsidR="00DD1DFA" w:rsidRPr="00DD1DFA">
        <w:rPr>
          <w:noProof/>
        </w:rPr>
        <w:t>obo</w:t>
      </w:r>
      <w:r w:rsidR="002E4E7F" w:rsidRPr="00DD1DFA">
        <w:rPr>
          <w:noProof/>
        </w:rPr>
        <w:t>wiązku stosowania art.</w:t>
      </w:r>
      <w:r w:rsidR="00DD1DFA" w:rsidRPr="00DD1DFA">
        <w:rPr>
          <w:noProof/>
        </w:rPr>
        <w:t> </w:t>
      </w:r>
      <w:r w:rsidR="002E4E7F" w:rsidRPr="00DD1DFA">
        <w:rPr>
          <w:noProof/>
        </w:rPr>
        <w:t>9 ust.</w:t>
      </w:r>
      <w:r w:rsidR="00DD1DFA" w:rsidRPr="00DD1DFA">
        <w:rPr>
          <w:noProof/>
        </w:rPr>
        <w:t> </w:t>
      </w:r>
      <w:r w:rsidR="002E4E7F" w:rsidRPr="00DD1DFA">
        <w:rPr>
          <w:noProof/>
        </w:rPr>
        <w:t>1 wyroby poddane regeneracji na podstawie wyrobów, które pozostają bezpieczne po regeneracji, pod warunkiem że zapewni, aby taki wyrób nie został wprowadzony do obrotu poza terytorium tego państwa członkowskiego.</w:t>
      </w:r>
    </w:p>
    <w:p w14:paraId="3FA019A9" w14:textId="36A96C50" w:rsidR="002E4E7F" w:rsidRPr="00DD1DFA" w:rsidRDefault="005F7EFA" w:rsidP="005F7EFA">
      <w:pPr>
        <w:pStyle w:val="ManualNumPar1"/>
        <w:rPr>
          <w:rFonts w:eastAsia="Times New Roman"/>
          <w:noProof/>
        </w:rPr>
      </w:pPr>
      <w:r w:rsidRPr="005F7EFA">
        <w:t>3.</w:t>
      </w:r>
      <w:r w:rsidRPr="005F7EFA">
        <w:tab/>
      </w:r>
      <w:r w:rsidR="002E4E7F" w:rsidRPr="00DD1DFA">
        <w:rPr>
          <w:noProof/>
        </w:rPr>
        <w:t>Państwo członkowskie może zwolnić</w:t>
      </w:r>
      <w:r w:rsidR="00DD1DFA" w:rsidRPr="00DD1DFA">
        <w:rPr>
          <w:noProof/>
        </w:rPr>
        <w:t xml:space="preserve"> z</w:t>
      </w:r>
      <w:r w:rsidR="00DD1DFA">
        <w:rPr>
          <w:noProof/>
        </w:rPr>
        <w:t> </w:t>
      </w:r>
      <w:r w:rsidR="00DD1DFA" w:rsidRPr="00DD1DFA">
        <w:rPr>
          <w:noProof/>
        </w:rPr>
        <w:t>obo</w:t>
      </w:r>
      <w:r w:rsidR="002E4E7F" w:rsidRPr="00DD1DFA">
        <w:rPr>
          <w:noProof/>
        </w:rPr>
        <w:t>wiązku stosowania art.</w:t>
      </w:r>
      <w:r w:rsidR="00DD1DFA" w:rsidRPr="00DD1DFA">
        <w:rPr>
          <w:noProof/>
        </w:rPr>
        <w:t> </w:t>
      </w:r>
      <w:r w:rsidR="002E4E7F" w:rsidRPr="00DD1DFA">
        <w:rPr>
          <w:noProof/>
        </w:rPr>
        <w:t>9 ust.</w:t>
      </w:r>
      <w:r w:rsidR="00DD1DFA" w:rsidRPr="00DD1DFA">
        <w:rPr>
          <w:noProof/>
        </w:rPr>
        <w:t> </w:t>
      </w:r>
      <w:r w:rsidR="002E4E7F" w:rsidRPr="00DD1DFA">
        <w:rPr>
          <w:noProof/>
        </w:rPr>
        <w:t>1 części obiektów budowlanych inne niż wyroby, które są przygotowane do ponownego użycia lub regeneracji, pod warunkiem że część ta nie zostanie wprowadzona do obrotu poza terytorium tego państwa członkowskiego.</w:t>
      </w:r>
    </w:p>
    <w:p w14:paraId="7C0541EE" w14:textId="28393B6C" w:rsidR="002E4E7F" w:rsidRPr="00DD1DFA" w:rsidRDefault="005F7EFA" w:rsidP="005F7EFA">
      <w:pPr>
        <w:pStyle w:val="ManualNumPar1"/>
        <w:rPr>
          <w:rFonts w:eastAsia="Times New Roman"/>
          <w:noProof/>
        </w:rPr>
      </w:pPr>
      <w:r w:rsidRPr="005F7EFA">
        <w:t>4.</w:t>
      </w:r>
      <w:r w:rsidRPr="005F7EFA">
        <w:tab/>
      </w:r>
      <w:r w:rsidR="002E4E7F" w:rsidRPr="00DD1DFA">
        <w:rPr>
          <w:noProof/>
        </w:rPr>
        <w:t>Państwo członkowskie może wyłączyć</w:t>
      </w:r>
      <w:r w:rsidR="00DD1DFA" w:rsidRPr="00DD1DFA">
        <w:rPr>
          <w:noProof/>
        </w:rPr>
        <w:t xml:space="preserve"> z</w:t>
      </w:r>
      <w:r w:rsidR="00DD1DFA">
        <w:rPr>
          <w:noProof/>
        </w:rPr>
        <w:t> </w:t>
      </w:r>
      <w:r w:rsidR="00DD1DFA" w:rsidRPr="00DD1DFA">
        <w:rPr>
          <w:noProof/>
        </w:rPr>
        <w:t>art</w:t>
      </w:r>
      <w:r w:rsidR="002E4E7F" w:rsidRPr="00DD1DFA">
        <w:rPr>
          <w:noProof/>
        </w:rPr>
        <w:t>.</w:t>
      </w:r>
      <w:r w:rsidR="00DD1DFA" w:rsidRPr="00DD1DFA">
        <w:rPr>
          <w:noProof/>
        </w:rPr>
        <w:t> </w:t>
      </w:r>
      <w:r w:rsidR="002E4E7F" w:rsidRPr="00DD1DFA">
        <w:rPr>
          <w:noProof/>
        </w:rPr>
        <w:t>9 ust.</w:t>
      </w:r>
      <w:r w:rsidR="00DD1DFA" w:rsidRPr="00DD1DFA">
        <w:rPr>
          <w:noProof/>
        </w:rPr>
        <w:t> </w:t>
      </w:r>
      <w:r w:rsidR="002E4E7F" w:rsidRPr="00DD1DFA">
        <w:rPr>
          <w:noProof/>
        </w:rPr>
        <w:t>1 wyroby, do których mają zastosowanie wszystkie poniższe warunki:</w:t>
      </w:r>
    </w:p>
    <w:p w14:paraId="70BF49FC" w14:textId="71BF3BAE" w:rsidR="002E4E7F" w:rsidRPr="00DD1DFA" w:rsidRDefault="00626BBA" w:rsidP="00626BBA">
      <w:pPr>
        <w:pStyle w:val="Point1"/>
        <w:rPr>
          <w:noProof/>
        </w:rPr>
      </w:pPr>
      <w:r w:rsidRPr="00626BBA">
        <w:rPr>
          <w:noProof/>
        </w:rPr>
        <w:t>a)</w:t>
      </w:r>
      <w:r w:rsidRPr="00626BBA">
        <w:rPr>
          <w:noProof/>
        </w:rPr>
        <w:tab/>
      </w:r>
      <w:r w:rsidR="002E4E7F" w:rsidRPr="00DD1DFA">
        <w:rPr>
          <w:noProof/>
        </w:rPr>
        <w:t>producent jest mikroprzedsiębiorstwem, które nie należy do grupy spółek ani innej organizacji handlowej,</w:t>
      </w:r>
      <w:r w:rsidR="00DD1DFA" w:rsidRPr="00DD1DFA">
        <w:rPr>
          <w:noProof/>
        </w:rPr>
        <w:t xml:space="preserve"> w</w:t>
      </w:r>
      <w:r w:rsidR="00DD1DFA">
        <w:rPr>
          <w:noProof/>
        </w:rPr>
        <w:t> </w:t>
      </w:r>
      <w:r w:rsidR="00DD1DFA" w:rsidRPr="00DD1DFA">
        <w:rPr>
          <w:noProof/>
        </w:rPr>
        <w:t>tym</w:t>
      </w:r>
      <w:r w:rsidR="002E4E7F" w:rsidRPr="00DD1DFA">
        <w:rPr>
          <w:noProof/>
        </w:rPr>
        <w:t xml:space="preserve"> sieci, zdolnej do określania lub organizowania działalności producenta;</w:t>
      </w:r>
    </w:p>
    <w:p w14:paraId="75863291" w14:textId="6C883AA8" w:rsidR="002E4E7F" w:rsidRPr="00DD1DFA" w:rsidRDefault="00626BBA" w:rsidP="00626BBA">
      <w:pPr>
        <w:pStyle w:val="Point1"/>
        <w:rPr>
          <w:noProof/>
        </w:rPr>
      </w:pPr>
      <w:r w:rsidRPr="00626BBA">
        <w:rPr>
          <w:noProof/>
        </w:rPr>
        <w:t>b)</w:t>
      </w:r>
      <w:r w:rsidRPr="00626BBA">
        <w:rPr>
          <w:noProof/>
        </w:rPr>
        <w:tab/>
      </w:r>
      <w:r w:rsidR="002E4E7F" w:rsidRPr="00DD1DFA">
        <w:rPr>
          <w:noProof/>
        </w:rPr>
        <w:t>producent używa wyłącznie lub zasadniczo części składowych bądź materiałów</w:t>
      </w:r>
      <w:r w:rsidR="00DD1DFA" w:rsidRPr="00DD1DFA">
        <w:rPr>
          <w:noProof/>
        </w:rPr>
        <w:t xml:space="preserve"> o</w:t>
      </w:r>
      <w:r w:rsidR="00DD1DFA">
        <w:rPr>
          <w:noProof/>
        </w:rPr>
        <w:t> </w:t>
      </w:r>
      <w:r w:rsidR="00DD1DFA" w:rsidRPr="00DD1DFA">
        <w:rPr>
          <w:noProof/>
        </w:rPr>
        <w:t>pow</w:t>
      </w:r>
      <w:r w:rsidR="002E4E7F" w:rsidRPr="00DD1DFA">
        <w:rPr>
          <w:noProof/>
        </w:rPr>
        <w:t>szechnie znanych stabilnych właściwościach lub wyrobów, które dobrowolnie podlegają niniejszemu rozporządzeniu, a we wszystkich przypadkach właściwości wyrobu zależą głównie od właściwości tych składników lub materiałów;</w:t>
      </w:r>
    </w:p>
    <w:p w14:paraId="45D1DBEF" w14:textId="4AFB2647" w:rsidR="002E4E7F" w:rsidRPr="00DD1DFA" w:rsidRDefault="00626BBA" w:rsidP="00626BBA">
      <w:pPr>
        <w:pStyle w:val="Point1"/>
        <w:rPr>
          <w:noProof/>
        </w:rPr>
      </w:pPr>
      <w:r w:rsidRPr="00626BBA">
        <w:rPr>
          <w:noProof/>
        </w:rPr>
        <w:t>c)</w:t>
      </w:r>
      <w:r w:rsidRPr="00626BBA">
        <w:rPr>
          <w:noProof/>
        </w:rPr>
        <w:tab/>
      </w:r>
      <w:r w:rsidR="002E4E7F" w:rsidRPr="00DD1DFA">
        <w:rPr>
          <w:noProof/>
        </w:rPr>
        <w:t>wyrób nie został wprowadzony do obrotu poza terytorium danego państwa członkowskiego.</w:t>
      </w:r>
    </w:p>
    <w:p w14:paraId="1EEF3518" w14:textId="77777777" w:rsidR="00BC1E12" w:rsidRPr="00DD1DFA" w:rsidRDefault="00BC1E12" w:rsidP="00C95AE9">
      <w:pPr>
        <w:pStyle w:val="Titrearticle"/>
        <w:rPr>
          <w:noProof/>
        </w:rPr>
      </w:pPr>
      <w:r w:rsidRPr="00DD1DFA">
        <w:rPr>
          <w:noProof/>
        </w:rPr>
        <w:t>Artykuł 11</w:t>
      </w:r>
    </w:p>
    <w:p w14:paraId="59D4A851" w14:textId="77777777" w:rsidR="00BC1E12" w:rsidRPr="00DD1DFA" w:rsidRDefault="00BC1E12" w:rsidP="00C95AE9">
      <w:pPr>
        <w:pStyle w:val="Titrearticle"/>
        <w:rPr>
          <w:b/>
          <w:noProof/>
        </w:rPr>
      </w:pPr>
      <w:r w:rsidRPr="00DD1DFA">
        <w:rPr>
          <w:b/>
          <w:noProof/>
        </w:rPr>
        <w:t>Zawartość deklaracji właściwości użytkowych</w:t>
      </w:r>
    </w:p>
    <w:p w14:paraId="4E4A1A05" w14:textId="66CED7CA" w:rsidR="00B34802" w:rsidRPr="00DD1DFA" w:rsidRDefault="005F7EFA" w:rsidP="005F7EFA">
      <w:pPr>
        <w:pStyle w:val="ManualNumPar1"/>
        <w:rPr>
          <w:noProof/>
        </w:rPr>
      </w:pPr>
      <w:r w:rsidRPr="005F7EFA">
        <w:t>1.</w:t>
      </w:r>
      <w:r w:rsidRPr="005F7EFA">
        <w:tab/>
      </w:r>
      <w:r w:rsidR="00B34802" w:rsidRPr="00DD1DFA">
        <w:rPr>
          <w:noProof/>
        </w:rPr>
        <w:t>Deklaracja właściwości użytkowych wyraża właściwości użytkowe wyrobów</w:t>
      </w:r>
      <w:r w:rsidR="00DD1DFA" w:rsidRPr="00DD1DFA">
        <w:rPr>
          <w:noProof/>
        </w:rPr>
        <w:t xml:space="preserve"> w</w:t>
      </w:r>
      <w:r w:rsidR="00DD1DFA">
        <w:rPr>
          <w:noProof/>
        </w:rPr>
        <w:t> </w:t>
      </w:r>
      <w:r w:rsidR="00DD1DFA" w:rsidRPr="00DD1DFA">
        <w:rPr>
          <w:noProof/>
        </w:rPr>
        <w:t>odn</w:t>
      </w:r>
      <w:r w:rsidR="00B34802" w:rsidRPr="00DD1DFA">
        <w:rPr>
          <w:noProof/>
        </w:rPr>
        <w:t>iesieniu do zasadniczych charakterystyk tych wyrobów zgodnie</w:t>
      </w:r>
      <w:r w:rsidR="00DD1DFA" w:rsidRPr="00DD1DFA">
        <w:rPr>
          <w:noProof/>
        </w:rPr>
        <w:t xml:space="preserve"> z</w:t>
      </w:r>
      <w:r w:rsidR="00DD1DFA">
        <w:rPr>
          <w:noProof/>
        </w:rPr>
        <w:t> </w:t>
      </w:r>
      <w:r w:rsidR="00DD1DFA" w:rsidRPr="00DD1DFA">
        <w:rPr>
          <w:noProof/>
        </w:rPr>
        <w:t>odp</w:t>
      </w:r>
      <w:r w:rsidR="00B34802" w:rsidRPr="00DD1DFA">
        <w:rPr>
          <w:noProof/>
        </w:rPr>
        <w:t xml:space="preserve">owiednimi zharmonizowanymi specyfikacjami technicznymi lub europejskim dokumentem oceny. </w:t>
      </w:r>
    </w:p>
    <w:p w14:paraId="0BD50F8E" w14:textId="1FF07540" w:rsidR="00B34802" w:rsidRPr="00DD1DFA" w:rsidRDefault="005F7EFA" w:rsidP="005F7EFA">
      <w:pPr>
        <w:pStyle w:val="ManualNumPar1"/>
        <w:rPr>
          <w:rFonts w:ascii="Calibri" w:hAnsi="Calibri"/>
          <w:noProof/>
          <w:color w:val="00000A"/>
          <w:sz w:val="22"/>
        </w:rPr>
      </w:pPr>
      <w:r w:rsidRPr="005F7EFA">
        <w:t>2.</w:t>
      </w:r>
      <w:r w:rsidRPr="005F7EFA">
        <w:tab/>
      </w:r>
      <w:r w:rsidR="00B34802" w:rsidRPr="00DD1DFA">
        <w:rPr>
          <w:noProof/>
        </w:rPr>
        <w:t>Deklarację właściwości użytkowych sporządza się, stosując wzór przedstawiony</w:t>
      </w:r>
      <w:r w:rsidR="00DD1DFA" w:rsidRPr="00DD1DFA">
        <w:rPr>
          <w:noProof/>
        </w:rPr>
        <w:t xml:space="preserve"> w</w:t>
      </w:r>
      <w:r w:rsidR="00DD1DFA">
        <w:rPr>
          <w:noProof/>
        </w:rPr>
        <w:t> </w:t>
      </w:r>
      <w:r w:rsidR="00DD1DFA" w:rsidRPr="00DD1DFA">
        <w:rPr>
          <w:noProof/>
        </w:rPr>
        <w:t>zał</w:t>
      </w:r>
      <w:r w:rsidR="00B34802" w:rsidRPr="00DD1DFA">
        <w:rPr>
          <w:noProof/>
        </w:rPr>
        <w:t xml:space="preserve">ączniku II bez sekcji dotyczącej zgodności. </w:t>
      </w:r>
      <w:r w:rsidR="00B34802" w:rsidRPr="00DD1DFA">
        <w:rPr>
          <w:noProof/>
          <w:color w:val="00000A"/>
          <w:szCs w:val="24"/>
        </w:rPr>
        <w:t>Deklaracja właściwości użytkowych obejmuje co najmniej właściwości użytkowe</w:t>
      </w:r>
      <w:r w:rsidR="00DD1DFA" w:rsidRPr="00DD1DFA">
        <w:rPr>
          <w:noProof/>
          <w:color w:val="00000A"/>
          <w:szCs w:val="24"/>
        </w:rPr>
        <w:t xml:space="preserve"> w</w:t>
      </w:r>
      <w:r w:rsidR="00DD1DFA">
        <w:rPr>
          <w:noProof/>
          <w:color w:val="00000A"/>
          <w:szCs w:val="24"/>
        </w:rPr>
        <w:t> </w:t>
      </w:r>
      <w:r w:rsidR="00DD1DFA" w:rsidRPr="00DD1DFA">
        <w:rPr>
          <w:noProof/>
          <w:color w:val="00000A"/>
          <w:szCs w:val="24"/>
        </w:rPr>
        <w:t>odn</w:t>
      </w:r>
      <w:r w:rsidR="00B34802" w:rsidRPr="00DD1DFA">
        <w:rPr>
          <w:noProof/>
          <w:color w:val="00000A"/>
          <w:szCs w:val="24"/>
        </w:rPr>
        <w:t>iesieniu do obowiązkowych zasadniczych charakterystyk wymienionych</w:t>
      </w:r>
      <w:r w:rsidR="00DD1DFA" w:rsidRPr="00DD1DFA">
        <w:rPr>
          <w:noProof/>
          <w:color w:val="00000A"/>
          <w:szCs w:val="24"/>
        </w:rPr>
        <w:t xml:space="preserve"> w</w:t>
      </w:r>
      <w:r w:rsidR="00DD1DFA">
        <w:rPr>
          <w:noProof/>
          <w:color w:val="00000A"/>
          <w:szCs w:val="24"/>
        </w:rPr>
        <w:t> </w:t>
      </w:r>
      <w:r w:rsidR="00DD1DFA" w:rsidRPr="00DD1DFA">
        <w:rPr>
          <w:noProof/>
          <w:color w:val="00000A"/>
          <w:szCs w:val="24"/>
        </w:rPr>
        <w:t>zał</w:t>
      </w:r>
      <w:r w:rsidR="00B34802" w:rsidRPr="00DD1DFA">
        <w:rPr>
          <w:noProof/>
          <w:color w:val="00000A"/>
          <w:szCs w:val="24"/>
        </w:rPr>
        <w:t>ączniku I część A pkt</w:t>
      </w:r>
      <w:r w:rsidR="00DD1DFA" w:rsidRPr="00DD1DFA">
        <w:rPr>
          <w:noProof/>
          <w:color w:val="00000A"/>
          <w:szCs w:val="24"/>
        </w:rPr>
        <w:t> </w:t>
      </w:r>
      <w:r w:rsidR="00B34802" w:rsidRPr="00DD1DFA">
        <w:rPr>
          <w:noProof/>
          <w:color w:val="00000A"/>
          <w:szCs w:val="24"/>
        </w:rPr>
        <w:t>2, zasadniczych charakterystyk zgodnie</w:t>
      </w:r>
      <w:r w:rsidR="00DD1DFA" w:rsidRPr="00DD1DFA">
        <w:rPr>
          <w:noProof/>
          <w:color w:val="00000A"/>
          <w:szCs w:val="24"/>
        </w:rPr>
        <w:t xml:space="preserve"> z</w:t>
      </w:r>
      <w:r w:rsidR="00DD1DFA">
        <w:rPr>
          <w:noProof/>
          <w:color w:val="00000A"/>
          <w:szCs w:val="24"/>
        </w:rPr>
        <w:t> </w:t>
      </w:r>
      <w:r w:rsidR="00DD1DFA" w:rsidRPr="00DD1DFA">
        <w:rPr>
          <w:noProof/>
          <w:color w:val="00000A"/>
          <w:szCs w:val="24"/>
        </w:rPr>
        <w:t>zha</w:t>
      </w:r>
      <w:r w:rsidR="00B34802" w:rsidRPr="00DD1DFA">
        <w:rPr>
          <w:noProof/>
          <w:color w:val="00000A"/>
          <w:szCs w:val="24"/>
        </w:rPr>
        <w:t>rmonizowanymi specyfikacjami technicznymi lub aktami delegowanymi przyjętymi na podstawie art.</w:t>
      </w:r>
      <w:r w:rsidR="00DD1DFA" w:rsidRPr="00DD1DFA">
        <w:rPr>
          <w:noProof/>
          <w:color w:val="00000A"/>
          <w:szCs w:val="24"/>
        </w:rPr>
        <w:t> </w:t>
      </w:r>
      <w:r w:rsidR="00B34802" w:rsidRPr="00DD1DFA">
        <w:rPr>
          <w:noProof/>
          <w:color w:val="00000A"/>
          <w:szCs w:val="24"/>
        </w:rPr>
        <w:t>4 ust.</w:t>
      </w:r>
      <w:r w:rsidR="00DD1DFA" w:rsidRPr="00DD1DFA">
        <w:rPr>
          <w:noProof/>
          <w:color w:val="00000A"/>
          <w:szCs w:val="24"/>
        </w:rPr>
        <w:t> </w:t>
      </w:r>
      <w:r w:rsidR="00B34802" w:rsidRPr="00DD1DFA">
        <w:rPr>
          <w:noProof/>
          <w:color w:val="00000A"/>
          <w:szCs w:val="24"/>
        </w:rPr>
        <w:t>3 oraz oceny zrównoważenia środowiskowego,</w:t>
      </w:r>
      <w:r w:rsidR="00DD1DFA" w:rsidRPr="00DD1DFA">
        <w:rPr>
          <w:noProof/>
          <w:color w:val="00000A"/>
          <w:szCs w:val="24"/>
        </w:rPr>
        <w:t xml:space="preserve"> o</w:t>
      </w:r>
      <w:r w:rsidR="00DD1DFA">
        <w:rPr>
          <w:noProof/>
          <w:color w:val="00000A"/>
          <w:szCs w:val="24"/>
        </w:rPr>
        <w:t> </w:t>
      </w:r>
      <w:r w:rsidR="00DD1DFA" w:rsidRPr="00DD1DFA">
        <w:rPr>
          <w:noProof/>
          <w:color w:val="00000A"/>
          <w:szCs w:val="24"/>
        </w:rPr>
        <w:t>któ</w:t>
      </w:r>
      <w:r w:rsidR="00B34802" w:rsidRPr="00DD1DFA">
        <w:rPr>
          <w:noProof/>
          <w:color w:val="00000A"/>
          <w:szCs w:val="24"/>
        </w:rPr>
        <w:t>rej mowa</w:t>
      </w:r>
      <w:r w:rsidR="00DD1DFA" w:rsidRPr="00DD1DFA">
        <w:rPr>
          <w:noProof/>
          <w:color w:val="00000A"/>
          <w:szCs w:val="24"/>
        </w:rPr>
        <w:t xml:space="preserve"> w</w:t>
      </w:r>
      <w:r w:rsidR="00DD1DFA">
        <w:rPr>
          <w:noProof/>
          <w:color w:val="00000A"/>
          <w:szCs w:val="24"/>
        </w:rPr>
        <w:t> </w:t>
      </w:r>
      <w:r w:rsidR="00DD1DFA" w:rsidRPr="00DD1DFA">
        <w:rPr>
          <w:noProof/>
          <w:color w:val="00000A"/>
          <w:szCs w:val="24"/>
        </w:rPr>
        <w:t>art</w:t>
      </w:r>
      <w:r w:rsidR="00B34802" w:rsidRPr="00DD1DFA">
        <w:rPr>
          <w:noProof/>
          <w:color w:val="00000A"/>
          <w:szCs w:val="24"/>
        </w:rPr>
        <w:t>.</w:t>
      </w:r>
      <w:r w:rsidR="00DD1DFA" w:rsidRPr="00DD1DFA">
        <w:rPr>
          <w:noProof/>
          <w:color w:val="00000A"/>
          <w:szCs w:val="24"/>
        </w:rPr>
        <w:t> </w:t>
      </w:r>
      <w:r w:rsidR="00B34802" w:rsidRPr="00DD1DFA">
        <w:rPr>
          <w:noProof/>
          <w:color w:val="00000A"/>
          <w:szCs w:val="24"/>
        </w:rPr>
        <w:t>22 ust.</w:t>
      </w:r>
      <w:r w:rsidR="00DD1DFA" w:rsidRPr="00DD1DFA">
        <w:rPr>
          <w:noProof/>
          <w:color w:val="00000A"/>
          <w:szCs w:val="24"/>
        </w:rPr>
        <w:t> </w:t>
      </w:r>
      <w:r w:rsidR="00B34802" w:rsidRPr="00DD1DFA">
        <w:rPr>
          <w:noProof/>
          <w:color w:val="00000A"/>
          <w:szCs w:val="24"/>
        </w:rPr>
        <w:t>1.</w:t>
      </w:r>
    </w:p>
    <w:p w14:paraId="07C276FB" w14:textId="0FA09E95" w:rsidR="00B34802" w:rsidRPr="00DD1DFA" w:rsidRDefault="005F7EFA" w:rsidP="005F7EFA">
      <w:pPr>
        <w:pStyle w:val="ManualNumPar1"/>
        <w:rPr>
          <w:noProof/>
        </w:rPr>
      </w:pPr>
      <w:r w:rsidRPr="005F7EFA">
        <w:t>3.</w:t>
      </w:r>
      <w:r w:rsidRPr="005F7EFA">
        <w:tab/>
      </w:r>
      <w:r w:rsidR="00B34802" w:rsidRPr="00DD1DFA">
        <w:rPr>
          <w:noProof/>
        </w:rPr>
        <w:t>Komisja jest uprawniona do zmiany wzoru określonego</w:t>
      </w:r>
      <w:r w:rsidR="00DD1DFA" w:rsidRPr="00DD1DFA">
        <w:rPr>
          <w:noProof/>
        </w:rPr>
        <w:t xml:space="preserve"> w</w:t>
      </w:r>
      <w:r w:rsidR="00DD1DFA">
        <w:rPr>
          <w:noProof/>
        </w:rPr>
        <w:t> </w:t>
      </w:r>
      <w:r w:rsidR="00DD1DFA" w:rsidRPr="00DD1DFA">
        <w:rPr>
          <w:noProof/>
        </w:rPr>
        <w:t>zał</w:t>
      </w:r>
      <w:r w:rsidR="00B34802" w:rsidRPr="00DD1DFA">
        <w:rPr>
          <w:noProof/>
        </w:rPr>
        <w:t>ączniku II</w:t>
      </w:r>
      <w:r w:rsidR="00DD1DFA" w:rsidRPr="00DD1DFA">
        <w:rPr>
          <w:noProof/>
        </w:rPr>
        <w:t xml:space="preserve"> w</w:t>
      </w:r>
      <w:r w:rsidR="00DD1DFA">
        <w:rPr>
          <w:noProof/>
        </w:rPr>
        <w:t> </w:t>
      </w:r>
      <w:r w:rsidR="00DD1DFA" w:rsidRPr="00DD1DFA">
        <w:rPr>
          <w:noProof/>
        </w:rPr>
        <w:t>dro</w:t>
      </w:r>
      <w:r w:rsidR="00B34802" w:rsidRPr="00DD1DFA">
        <w:rPr>
          <w:noProof/>
        </w:rPr>
        <w:t>dze aktów delegowanych przyjętych na podstawie art.</w:t>
      </w:r>
      <w:r w:rsidR="00DD1DFA" w:rsidRPr="00DD1DFA">
        <w:rPr>
          <w:noProof/>
        </w:rPr>
        <w:t> </w:t>
      </w:r>
      <w:r w:rsidR="00B34802" w:rsidRPr="00DD1DFA">
        <w:rPr>
          <w:noProof/>
        </w:rPr>
        <w:t>87, aby pozwolić na włączenie dodatkowych informacji</w:t>
      </w:r>
      <w:r w:rsidR="00DD1DFA" w:rsidRPr="00DD1DFA">
        <w:rPr>
          <w:noProof/>
        </w:rPr>
        <w:t xml:space="preserve"> w</w:t>
      </w:r>
      <w:r w:rsidR="00DD1DFA">
        <w:rPr>
          <w:noProof/>
        </w:rPr>
        <w:t> </w:t>
      </w:r>
      <w:r w:rsidR="00DD1DFA" w:rsidRPr="00DD1DFA">
        <w:rPr>
          <w:noProof/>
        </w:rPr>
        <w:t>cel</w:t>
      </w:r>
      <w:r w:rsidR="00B34802" w:rsidRPr="00DD1DFA">
        <w:rPr>
          <w:noProof/>
        </w:rPr>
        <w:t>u umożliwienia podmiotom gospodarczym zaspokojenia nowych potrzeb informacyjnych.</w:t>
      </w:r>
    </w:p>
    <w:p w14:paraId="4A5B3E18" w14:textId="4EF106D9" w:rsidR="00BC1E12" w:rsidRPr="00DD1DFA" w:rsidRDefault="005F7EFA" w:rsidP="005F7EFA">
      <w:pPr>
        <w:pStyle w:val="ManualNumPar1"/>
        <w:rPr>
          <w:noProof/>
        </w:rPr>
      </w:pPr>
      <w:r w:rsidRPr="005F7EFA">
        <w:t>4.</w:t>
      </w:r>
      <w:r w:rsidRPr="005F7EFA">
        <w:tab/>
      </w:r>
      <w:r w:rsidR="00B34802" w:rsidRPr="00DD1DFA">
        <w:rPr>
          <w:noProof/>
        </w:rPr>
        <w:t>Informacje,</w:t>
      </w:r>
      <w:r w:rsidR="00DD1DFA" w:rsidRPr="00DD1DFA">
        <w:rPr>
          <w:noProof/>
        </w:rPr>
        <w:t xml:space="preserve"> o</w:t>
      </w:r>
      <w:r w:rsidR="00DD1DFA">
        <w:rPr>
          <w:noProof/>
        </w:rPr>
        <w:t> </w:t>
      </w:r>
      <w:r w:rsidR="00DD1DFA" w:rsidRPr="00DD1DFA">
        <w:rPr>
          <w:noProof/>
        </w:rPr>
        <w:t>któ</w:t>
      </w:r>
      <w:r w:rsidR="00B34802" w:rsidRPr="00DD1DFA">
        <w:rPr>
          <w:noProof/>
        </w:rPr>
        <w:t>rych mowa</w:t>
      </w:r>
      <w:r w:rsidR="00DD1DFA" w:rsidRPr="00DD1DFA">
        <w:rPr>
          <w:noProof/>
        </w:rPr>
        <w:t xml:space="preserve"> w</w:t>
      </w:r>
      <w:r w:rsidR="00DD1DFA">
        <w:rPr>
          <w:noProof/>
        </w:rPr>
        <w:t> </w:t>
      </w:r>
      <w:r w:rsidR="00DD1DFA" w:rsidRPr="00DD1DFA">
        <w:rPr>
          <w:noProof/>
        </w:rPr>
        <w:t>art</w:t>
      </w:r>
      <w:r w:rsidR="00B34802" w:rsidRPr="00DD1DFA">
        <w:rPr>
          <w:noProof/>
        </w:rPr>
        <w:t>.</w:t>
      </w:r>
      <w:r w:rsidR="00DD1DFA" w:rsidRPr="00DD1DFA">
        <w:rPr>
          <w:noProof/>
        </w:rPr>
        <w:t> </w:t>
      </w:r>
      <w:r w:rsidR="00B34802" w:rsidRPr="00DD1DFA">
        <w:rPr>
          <w:noProof/>
        </w:rPr>
        <w:t>31 lub,</w:t>
      </w:r>
      <w:r w:rsidR="00DD1DFA" w:rsidRPr="00DD1DFA">
        <w:rPr>
          <w:noProof/>
        </w:rPr>
        <w:t xml:space="preserve"> w</w:t>
      </w:r>
      <w:r w:rsidR="00DD1DFA">
        <w:rPr>
          <w:noProof/>
        </w:rPr>
        <w:t> </w:t>
      </w:r>
      <w:r w:rsidR="00DD1DFA" w:rsidRPr="00DD1DFA">
        <w:rPr>
          <w:noProof/>
        </w:rPr>
        <w:t>odp</w:t>
      </w:r>
      <w:r w:rsidR="00B34802" w:rsidRPr="00DD1DFA">
        <w:rPr>
          <w:noProof/>
        </w:rPr>
        <w:t>owiednim przypadku,</w:t>
      </w:r>
      <w:r w:rsidR="00DD1DFA" w:rsidRPr="00DD1DFA">
        <w:rPr>
          <w:noProof/>
        </w:rPr>
        <w:t xml:space="preserve"> w</w:t>
      </w:r>
      <w:r w:rsidR="00DD1DFA">
        <w:rPr>
          <w:noProof/>
        </w:rPr>
        <w:t> </w:t>
      </w:r>
      <w:r w:rsidR="00DD1DFA" w:rsidRPr="00DD1DFA">
        <w:rPr>
          <w:noProof/>
        </w:rPr>
        <w:t>art</w:t>
      </w:r>
      <w:r w:rsidR="00B34802" w:rsidRPr="00DD1DFA">
        <w:rPr>
          <w:noProof/>
        </w:rPr>
        <w:t>.</w:t>
      </w:r>
      <w:r w:rsidR="00DD1DFA" w:rsidRPr="00DD1DFA">
        <w:rPr>
          <w:noProof/>
        </w:rPr>
        <w:t> </w:t>
      </w:r>
      <w:r w:rsidR="00B34802" w:rsidRPr="00DD1DFA">
        <w:rPr>
          <w:noProof/>
        </w:rPr>
        <w:t>33 rozporządzenia (WE) nr</w:t>
      </w:r>
      <w:r w:rsidR="00DD1DFA" w:rsidRPr="00DD1DFA">
        <w:rPr>
          <w:noProof/>
        </w:rPr>
        <w:t> </w:t>
      </w:r>
      <w:r w:rsidR="00B34802" w:rsidRPr="00DD1DFA">
        <w:rPr>
          <w:noProof/>
        </w:rPr>
        <w:t>1907/2006 Parlamentu Europejskiego</w:t>
      </w:r>
      <w:r w:rsidR="00DD1DFA" w:rsidRPr="00DD1DFA">
        <w:rPr>
          <w:noProof/>
        </w:rPr>
        <w:t xml:space="preserve"> i</w:t>
      </w:r>
      <w:r w:rsidR="00DD1DFA">
        <w:rPr>
          <w:noProof/>
        </w:rPr>
        <w:t> </w:t>
      </w:r>
      <w:r w:rsidR="00DD1DFA" w:rsidRPr="00DD1DFA">
        <w:rPr>
          <w:noProof/>
        </w:rPr>
        <w:t>Rad</w:t>
      </w:r>
      <w:r w:rsidR="00B34802" w:rsidRPr="00DD1DFA">
        <w:rPr>
          <w:noProof/>
        </w:rPr>
        <w:t>y</w:t>
      </w:r>
      <w:r w:rsidR="00B34802" w:rsidRPr="00DD1DFA">
        <w:rPr>
          <w:rStyle w:val="Odwoanieprzypisudolnego"/>
          <w:noProof/>
        </w:rPr>
        <w:footnoteReference w:id="45"/>
      </w:r>
      <w:r w:rsidR="00B34802" w:rsidRPr="00DD1DFA">
        <w:rPr>
          <w:noProof/>
        </w:rPr>
        <w:t>, są udzielane wraz</w:t>
      </w:r>
      <w:r w:rsidR="00DD1DFA" w:rsidRPr="00DD1DFA">
        <w:rPr>
          <w:noProof/>
        </w:rPr>
        <w:t xml:space="preserve"> z</w:t>
      </w:r>
      <w:r w:rsidR="00DD1DFA">
        <w:rPr>
          <w:noProof/>
        </w:rPr>
        <w:t> </w:t>
      </w:r>
      <w:r w:rsidR="00DD1DFA" w:rsidRPr="00DD1DFA">
        <w:rPr>
          <w:noProof/>
        </w:rPr>
        <w:t>dek</w:t>
      </w:r>
      <w:r w:rsidR="00B34802" w:rsidRPr="00DD1DFA">
        <w:rPr>
          <w:noProof/>
        </w:rPr>
        <w:t>laracją właściwości użytkowych.</w:t>
      </w:r>
    </w:p>
    <w:p w14:paraId="296A006D" w14:textId="77777777" w:rsidR="00BC1E12" w:rsidRPr="00DD1DFA" w:rsidRDefault="00BC1E12" w:rsidP="00C95AE9">
      <w:pPr>
        <w:pStyle w:val="Titrearticle"/>
        <w:rPr>
          <w:rFonts w:ascii="Calibri" w:eastAsia="Calibri" w:hAnsi="Calibri" w:cs="DejaVu Sans"/>
          <w:noProof/>
          <w:color w:val="00000A"/>
          <w:sz w:val="22"/>
        </w:rPr>
      </w:pPr>
      <w:r w:rsidRPr="00DD1DFA">
        <w:rPr>
          <w:noProof/>
        </w:rPr>
        <w:t>Artykuł 12</w:t>
      </w:r>
    </w:p>
    <w:p w14:paraId="629F2A0A" w14:textId="5F273B66" w:rsidR="00BC1E12" w:rsidRPr="00DD1DFA" w:rsidRDefault="00B34802" w:rsidP="00C95AE9">
      <w:pPr>
        <w:pStyle w:val="Titrearticle"/>
        <w:rPr>
          <w:rFonts w:ascii="Calibri" w:eastAsia="Calibri" w:hAnsi="Calibri" w:cs="DejaVu Sans"/>
          <w:noProof/>
          <w:color w:val="00000A"/>
          <w:sz w:val="22"/>
        </w:rPr>
      </w:pPr>
      <w:r w:rsidRPr="00DD1DFA">
        <w:rPr>
          <w:b/>
          <w:noProof/>
        </w:rPr>
        <w:t>Zmieniona deklaracja właściwości użytkowych dla wyrobów używanych, poddawanych regeneracji</w:t>
      </w:r>
      <w:r w:rsidR="00DD1DFA" w:rsidRPr="00DD1DFA">
        <w:rPr>
          <w:b/>
          <w:noProof/>
        </w:rPr>
        <w:t xml:space="preserve"> i</w:t>
      </w:r>
      <w:r w:rsidR="00DD1DFA">
        <w:rPr>
          <w:b/>
          <w:noProof/>
        </w:rPr>
        <w:t> </w:t>
      </w:r>
      <w:r w:rsidR="00DD1DFA" w:rsidRPr="00DD1DFA">
        <w:rPr>
          <w:b/>
          <w:noProof/>
        </w:rPr>
        <w:t>nad</w:t>
      </w:r>
      <w:r w:rsidRPr="00DD1DFA">
        <w:rPr>
          <w:b/>
          <w:noProof/>
        </w:rPr>
        <w:t>wyżek wyrobów</w:t>
      </w:r>
    </w:p>
    <w:p w14:paraId="0F1CB6AD" w14:textId="25FF51C7" w:rsidR="00BC1E12" w:rsidRPr="00DD1DFA" w:rsidRDefault="005F7EFA" w:rsidP="005F7EFA">
      <w:pPr>
        <w:pStyle w:val="ManualNumPar1"/>
        <w:rPr>
          <w:noProof/>
        </w:rPr>
      </w:pPr>
      <w:r w:rsidRPr="005F7EFA">
        <w:t>1.</w:t>
      </w:r>
      <w:r w:rsidRPr="005F7EFA">
        <w:tab/>
      </w:r>
      <w:r w:rsidR="00B34802" w:rsidRPr="00DD1DFA">
        <w:rPr>
          <w:noProof/>
        </w:rPr>
        <w:t>W przypadku gdy dostępna jest deklaracja właściwości użytkowych dla wyrobu używanego wydana przez pierwotnego producenta lub inny podmiot gospodarczy na podstawie niniejszego rozporządzenia lub rozporządzenia (UE) nr</w:t>
      </w:r>
      <w:r w:rsidR="00DD1DFA" w:rsidRPr="00DD1DFA">
        <w:rPr>
          <w:noProof/>
        </w:rPr>
        <w:t> </w:t>
      </w:r>
      <w:r w:rsidR="00B34802" w:rsidRPr="00DD1DFA">
        <w:rPr>
          <w:noProof/>
        </w:rPr>
        <w:t>305/2011, nowa deklaracja właściwości użytkowych może,</w:t>
      </w:r>
      <w:r w:rsidR="00DD1DFA" w:rsidRPr="00DD1DFA">
        <w:rPr>
          <w:noProof/>
        </w:rPr>
        <w:t xml:space="preserve"> w</w:t>
      </w:r>
      <w:r w:rsidR="00DD1DFA">
        <w:rPr>
          <w:noProof/>
        </w:rPr>
        <w:t> </w:t>
      </w:r>
      <w:r w:rsidR="00DD1DFA" w:rsidRPr="00DD1DFA">
        <w:rPr>
          <w:noProof/>
        </w:rPr>
        <w:t>dro</w:t>
      </w:r>
      <w:r w:rsidR="00B34802" w:rsidRPr="00DD1DFA">
        <w:rPr>
          <w:noProof/>
        </w:rPr>
        <w:t>dze odstępstwa od art.</w:t>
      </w:r>
      <w:r w:rsidR="00DD1DFA" w:rsidRPr="00DD1DFA">
        <w:rPr>
          <w:noProof/>
        </w:rPr>
        <w:t> </w:t>
      </w:r>
      <w:r w:rsidR="00B34802" w:rsidRPr="00DD1DFA">
        <w:rPr>
          <w:noProof/>
        </w:rPr>
        <w:t>11 ust.</w:t>
      </w:r>
      <w:r w:rsidR="00DD1DFA" w:rsidRPr="00DD1DFA">
        <w:rPr>
          <w:noProof/>
        </w:rPr>
        <w:t> </w:t>
      </w:r>
      <w:r w:rsidR="00B34802" w:rsidRPr="00DD1DFA">
        <w:rPr>
          <w:noProof/>
        </w:rPr>
        <w:t xml:space="preserve">1, odnosić się do </w:t>
      </w:r>
      <w:r w:rsidR="00B34802" w:rsidRPr="00DD1DFA">
        <w:rPr>
          <w:noProof/>
          <w:color w:val="000000" w:themeColor="text1"/>
        </w:rPr>
        <w:t xml:space="preserve">pierwotnej deklaracji </w:t>
      </w:r>
      <w:r w:rsidR="00B34802" w:rsidRPr="00DD1DFA">
        <w:rPr>
          <w:noProof/>
        </w:rPr>
        <w:t>właściwości użytkowych</w:t>
      </w:r>
      <w:r w:rsidR="00DD1DFA" w:rsidRPr="00DD1DFA">
        <w:rPr>
          <w:noProof/>
        </w:rPr>
        <w:t xml:space="preserve"> w</w:t>
      </w:r>
      <w:r w:rsidR="00DD1DFA">
        <w:rPr>
          <w:noProof/>
        </w:rPr>
        <w:t> </w:t>
      </w:r>
      <w:r w:rsidR="00DD1DFA" w:rsidRPr="00DD1DFA">
        <w:rPr>
          <w:noProof/>
        </w:rPr>
        <w:t>odn</w:t>
      </w:r>
      <w:r w:rsidR="00B34802" w:rsidRPr="00DD1DFA">
        <w:rPr>
          <w:noProof/>
        </w:rPr>
        <w:t>iesieniu do zadeklarowanych</w:t>
      </w:r>
      <w:r w:rsidR="00DD1DFA" w:rsidRPr="00DD1DFA">
        <w:rPr>
          <w:noProof/>
        </w:rPr>
        <w:t xml:space="preserve"> w</w:t>
      </w:r>
      <w:r w:rsidR="00DD1DFA">
        <w:rPr>
          <w:noProof/>
        </w:rPr>
        <w:t> </w:t>
      </w:r>
      <w:r w:rsidR="00DD1DFA" w:rsidRPr="00DD1DFA">
        <w:rPr>
          <w:noProof/>
        </w:rPr>
        <w:t>nie</w:t>
      </w:r>
      <w:r w:rsidR="00B34802" w:rsidRPr="00DD1DFA">
        <w:rPr>
          <w:noProof/>
        </w:rPr>
        <w:t>j właściwości, jeżeli:</w:t>
      </w:r>
    </w:p>
    <w:p w14:paraId="5B98B3AF" w14:textId="73B0B4F0" w:rsidR="00BC1E12" w:rsidRPr="00DD1DFA" w:rsidRDefault="00626BBA" w:rsidP="00626BBA">
      <w:pPr>
        <w:pStyle w:val="Point1"/>
        <w:rPr>
          <w:noProof/>
        </w:rPr>
      </w:pPr>
      <w:r w:rsidRPr="00626BBA">
        <w:rPr>
          <w:noProof/>
        </w:rPr>
        <w:t>a)</w:t>
      </w:r>
      <w:r w:rsidRPr="00626BBA">
        <w:rPr>
          <w:noProof/>
        </w:rPr>
        <w:tab/>
      </w:r>
      <w:r w:rsidR="00B34802" w:rsidRPr="00DD1DFA">
        <w:rPr>
          <w:noProof/>
        </w:rPr>
        <w:t>zamierzone zastosowanie nie zostało zmienione</w:t>
      </w:r>
      <w:r w:rsidR="00DD1DFA" w:rsidRPr="00DD1DFA">
        <w:rPr>
          <w:noProof/>
        </w:rPr>
        <w:t xml:space="preserve"> w</w:t>
      </w:r>
      <w:r w:rsidR="00DD1DFA">
        <w:rPr>
          <w:noProof/>
        </w:rPr>
        <w:t> </w:t>
      </w:r>
      <w:r w:rsidR="00DD1DFA" w:rsidRPr="00DD1DFA">
        <w:rPr>
          <w:noProof/>
        </w:rPr>
        <w:t>inn</w:t>
      </w:r>
      <w:r w:rsidR="00B34802" w:rsidRPr="00DD1DFA">
        <w:rPr>
          <w:noProof/>
        </w:rPr>
        <w:t>y sposób niż przez ograniczenie właściwości użytkowych lub zamierzonych zastosowań lub do celów wyłącznie dekoracyjnych;</w:t>
      </w:r>
    </w:p>
    <w:p w14:paraId="0C321A31" w14:textId="015CBBCB" w:rsidR="00BC1E12" w:rsidRPr="00DD1DFA" w:rsidRDefault="00626BBA" w:rsidP="00626BBA">
      <w:pPr>
        <w:pStyle w:val="Point1"/>
        <w:rPr>
          <w:noProof/>
        </w:rPr>
      </w:pPr>
      <w:r w:rsidRPr="00626BBA">
        <w:rPr>
          <w:noProof/>
        </w:rPr>
        <w:t>b)</w:t>
      </w:r>
      <w:r w:rsidRPr="00626BBA">
        <w:rPr>
          <w:noProof/>
        </w:rPr>
        <w:tab/>
      </w:r>
      <w:r w:rsidR="00B34802" w:rsidRPr="00DD1DFA">
        <w:rPr>
          <w:noProof/>
        </w:rPr>
        <w:t>okres użytkowania pierwotnego wyrobu lub odpowiednie właściwości użytkowe</w:t>
      </w:r>
      <w:r w:rsidR="00DD1DFA" w:rsidRPr="00DD1DFA">
        <w:rPr>
          <w:noProof/>
        </w:rPr>
        <w:t xml:space="preserve"> w</w:t>
      </w:r>
      <w:r w:rsidR="00DD1DFA">
        <w:rPr>
          <w:noProof/>
        </w:rPr>
        <w:t> </w:t>
      </w:r>
      <w:r w:rsidR="00DD1DFA" w:rsidRPr="00DD1DFA">
        <w:rPr>
          <w:noProof/>
        </w:rPr>
        <w:t>zak</w:t>
      </w:r>
      <w:r w:rsidR="00B34802" w:rsidRPr="00DD1DFA">
        <w:rPr>
          <w:noProof/>
        </w:rPr>
        <w:t>resie trwałości określono</w:t>
      </w:r>
      <w:r w:rsidR="00DD1DFA" w:rsidRPr="00DD1DFA">
        <w:rPr>
          <w:noProof/>
        </w:rPr>
        <w:t xml:space="preserve"> w</w:t>
      </w:r>
      <w:r w:rsidR="00DD1DFA">
        <w:rPr>
          <w:noProof/>
        </w:rPr>
        <w:t> </w:t>
      </w:r>
      <w:r w:rsidR="00DD1DFA" w:rsidRPr="00DD1DFA">
        <w:rPr>
          <w:noProof/>
        </w:rPr>
        <w:t>pie</w:t>
      </w:r>
      <w:r w:rsidR="00B34802" w:rsidRPr="00DD1DFA">
        <w:rPr>
          <w:noProof/>
        </w:rPr>
        <w:t>rwotnej deklaracji właściwości użytkowych, zharmonizowanej specyfikacji technicznej, na której oparto początkową deklarację właściwości użytkowych, lub jest ogólnie znany na podstawie powszechnej wiedzy</w:t>
      </w:r>
      <w:r w:rsidR="00DD1DFA" w:rsidRPr="00DD1DFA">
        <w:rPr>
          <w:noProof/>
        </w:rPr>
        <w:t xml:space="preserve"> z</w:t>
      </w:r>
      <w:r w:rsidR="00DD1DFA">
        <w:rPr>
          <w:noProof/>
        </w:rPr>
        <w:t> </w:t>
      </w:r>
      <w:r w:rsidR="00DD1DFA" w:rsidRPr="00DD1DFA">
        <w:rPr>
          <w:noProof/>
        </w:rPr>
        <w:t>zak</w:t>
      </w:r>
      <w:r w:rsidR="00B34802" w:rsidRPr="00DD1DFA">
        <w:rPr>
          <w:noProof/>
        </w:rPr>
        <w:t>resu inżynierii lądowej;</w:t>
      </w:r>
    </w:p>
    <w:p w14:paraId="79238691" w14:textId="5877F020" w:rsidR="00BC1E12" w:rsidRPr="00DD1DFA" w:rsidRDefault="00626BBA" w:rsidP="00626BBA">
      <w:pPr>
        <w:pStyle w:val="Point1"/>
        <w:rPr>
          <w:noProof/>
        </w:rPr>
      </w:pPr>
      <w:r w:rsidRPr="00626BBA">
        <w:rPr>
          <w:noProof/>
        </w:rPr>
        <w:t>c)</w:t>
      </w:r>
      <w:r w:rsidRPr="00626BBA">
        <w:rPr>
          <w:noProof/>
        </w:rPr>
        <w:tab/>
      </w:r>
      <w:r w:rsidR="00B34802" w:rsidRPr="00DD1DFA">
        <w:rPr>
          <w:noProof/>
        </w:rPr>
        <w:t>czas, który upłynął od pierwszego wbudowania wyrobu</w:t>
      </w:r>
      <w:r w:rsidR="00DD1DFA" w:rsidRPr="00DD1DFA">
        <w:rPr>
          <w:noProof/>
        </w:rPr>
        <w:t xml:space="preserve"> w</w:t>
      </w:r>
      <w:r w:rsidR="00DD1DFA">
        <w:rPr>
          <w:noProof/>
        </w:rPr>
        <w:t> </w:t>
      </w:r>
      <w:r w:rsidR="00DD1DFA" w:rsidRPr="00DD1DFA">
        <w:rPr>
          <w:noProof/>
        </w:rPr>
        <w:t>obi</w:t>
      </w:r>
      <w:r w:rsidR="00B34802" w:rsidRPr="00DD1DFA">
        <w:rPr>
          <w:noProof/>
        </w:rPr>
        <w:t>ekt budowlany, nie przekracza okresu użytkowania wyrobu lub odpowiednich właściwości użytkowych</w:t>
      </w:r>
      <w:r w:rsidR="00DD1DFA" w:rsidRPr="00DD1DFA">
        <w:rPr>
          <w:noProof/>
        </w:rPr>
        <w:t xml:space="preserve"> w</w:t>
      </w:r>
      <w:r w:rsidR="00DD1DFA">
        <w:rPr>
          <w:noProof/>
        </w:rPr>
        <w:t> </w:t>
      </w:r>
      <w:r w:rsidR="00DD1DFA" w:rsidRPr="00DD1DFA">
        <w:rPr>
          <w:noProof/>
        </w:rPr>
        <w:t>zak</w:t>
      </w:r>
      <w:r w:rsidR="00B34802" w:rsidRPr="00DD1DFA">
        <w:rPr>
          <w:noProof/>
        </w:rPr>
        <w:t>resie trwałości,</w:t>
      </w:r>
      <w:r w:rsidR="00DD1DFA" w:rsidRPr="00DD1DFA">
        <w:rPr>
          <w:noProof/>
        </w:rPr>
        <w:t xml:space="preserve"> w</w:t>
      </w:r>
      <w:r w:rsidR="00DD1DFA">
        <w:rPr>
          <w:noProof/>
        </w:rPr>
        <w:t> </w:t>
      </w:r>
      <w:r w:rsidR="00DD1DFA" w:rsidRPr="00DD1DFA">
        <w:rPr>
          <w:noProof/>
        </w:rPr>
        <w:t>zal</w:t>
      </w:r>
      <w:r w:rsidR="00B34802" w:rsidRPr="00DD1DFA">
        <w:rPr>
          <w:noProof/>
        </w:rPr>
        <w:t>eżności od tego, który</w:t>
      </w:r>
      <w:r w:rsidR="00DD1DFA" w:rsidRPr="00DD1DFA">
        <w:rPr>
          <w:noProof/>
        </w:rPr>
        <w:t xml:space="preserve"> z</w:t>
      </w:r>
      <w:r w:rsidR="00DD1DFA">
        <w:rPr>
          <w:noProof/>
        </w:rPr>
        <w:t> </w:t>
      </w:r>
      <w:r w:rsidR="00DD1DFA" w:rsidRPr="00DD1DFA">
        <w:rPr>
          <w:noProof/>
        </w:rPr>
        <w:t>tyc</w:t>
      </w:r>
      <w:r w:rsidR="00B34802" w:rsidRPr="00DD1DFA">
        <w:rPr>
          <w:noProof/>
        </w:rPr>
        <w:t>h okresów jest krótszy.</w:t>
      </w:r>
    </w:p>
    <w:p w14:paraId="62EE4E6D" w14:textId="3AFD1B96" w:rsidR="00BC1E12" w:rsidRPr="00DD1DFA" w:rsidRDefault="00B34802" w:rsidP="00C95AE9">
      <w:pPr>
        <w:pStyle w:val="Text1"/>
        <w:rPr>
          <w:noProof/>
        </w:rPr>
      </w:pPr>
      <w:r w:rsidRPr="00DD1DFA">
        <w:rPr>
          <w:noProof/>
          <w:color w:val="000000"/>
        </w:rPr>
        <w:t>Podmiot gospodarczy dołącza wstępną deklarację właściwości użytkowych do wydanej przez siebie deklaracji właściwości użytkowych, przy czym tą ostatnią należy opatrzyć napisem „deklaracja właściwości użytkowych dla wyrobu używanego”.</w:t>
      </w:r>
    </w:p>
    <w:p w14:paraId="6B439F36" w14:textId="7A68EAA9" w:rsidR="00BC1E12" w:rsidRPr="00DD1DFA" w:rsidRDefault="005F7EFA" w:rsidP="005F7EFA">
      <w:pPr>
        <w:pStyle w:val="ManualNumPar1"/>
        <w:rPr>
          <w:noProof/>
        </w:rPr>
      </w:pPr>
      <w:r w:rsidRPr="005F7EFA">
        <w:t>2.</w:t>
      </w:r>
      <w:r w:rsidRPr="005F7EFA">
        <w:tab/>
      </w:r>
      <w:r w:rsidR="00B34802" w:rsidRPr="00DD1DFA">
        <w:rPr>
          <w:noProof/>
        </w:rPr>
        <w:t>W przypadku gdy nie jest dostępna deklaracja właściwości użytkowych dla wyrobu używanego wydana przez pierwotnego producenta lub inny podmiot gospodarczy na podstawie niniejszego rozporządzenia lub rozporządzenia (UE) nr</w:t>
      </w:r>
      <w:r w:rsidR="00DD1DFA" w:rsidRPr="00DD1DFA">
        <w:rPr>
          <w:noProof/>
        </w:rPr>
        <w:t> </w:t>
      </w:r>
      <w:r w:rsidR="00B34802" w:rsidRPr="00DD1DFA">
        <w:rPr>
          <w:noProof/>
        </w:rPr>
        <w:t>305/2011, podmiot gospodarczy może wydać nową deklarację właściwości użytkowych bez przeprowadzania pełnej procedury na podstawie niniejszego rozporządzenia, jeżeli ogranicza ona zamierzone zastosowanie do „celów dekoracyjnych”. Jeżeli podmiot gospodarczy skorzystał</w:t>
      </w:r>
      <w:r w:rsidR="00DD1DFA" w:rsidRPr="00DD1DFA">
        <w:rPr>
          <w:noProof/>
        </w:rPr>
        <w:t xml:space="preserve"> z</w:t>
      </w:r>
      <w:r w:rsidR="00DD1DFA">
        <w:rPr>
          <w:noProof/>
        </w:rPr>
        <w:t> </w:t>
      </w:r>
      <w:r w:rsidR="00DD1DFA" w:rsidRPr="00DD1DFA">
        <w:rPr>
          <w:noProof/>
        </w:rPr>
        <w:t>teg</w:t>
      </w:r>
      <w:r w:rsidR="00B34802" w:rsidRPr="00DD1DFA">
        <w:rPr>
          <w:noProof/>
        </w:rPr>
        <w:t>o odstępstwa, deklarację właściwości użytkowych należy opatrzyć napisem „deklaracja właściwości użytkowych dla wyrobu używanego”.</w:t>
      </w:r>
    </w:p>
    <w:p w14:paraId="1C3FBEE0" w14:textId="6795D713" w:rsidR="00BC1E12" w:rsidRPr="00DD1DFA" w:rsidRDefault="005F7EFA" w:rsidP="005F7EFA">
      <w:pPr>
        <w:pStyle w:val="ManualNumPar1"/>
        <w:rPr>
          <w:noProof/>
        </w:rPr>
      </w:pPr>
      <w:r w:rsidRPr="005F7EFA">
        <w:t>3.</w:t>
      </w:r>
      <w:r w:rsidRPr="005F7EFA">
        <w:tab/>
      </w:r>
      <w:r w:rsidR="00B34802" w:rsidRPr="00DD1DFA">
        <w:rPr>
          <w:noProof/>
        </w:rPr>
        <w:t>Ust. 1</w:t>
      </w:r>
      <w:r w:rsidR="00DD1DFA" w:rsidRPr="00DD1DFA">
        <w:rPr>
          <w:noProof/>
        </w:rPr>
        <w:t xml:space="preserve"> i</w:t>
      </w:r>
      <w:r w:rsidR="00DD1DFA">
        <w:rPr>
          <w:noProof/>
        </w:rPr>
        <w:t> </w:t>
      </w:r>
      <w:r w:rsidR="00DD1DFA" w:rsidRPr="00DD1DFA">
        <w:rPr>
          <w:noProof/>
        </w:rPr>
        <w:t>2</w:t>
      </w:r>
      <w:r w:rsidR="00B34802" w:rsidRPr="00DD1DFA">
        <w:rPr>
          <w:noProof/>
        </w:rPr>
        <w:t xml:space="preserve"> nie mają zastosowania</w:t>
      </w:r>
      <w:r w:rsidR="00DD1DFA" w:rsidRPr="00DD1DFA">
        <w:rPr>
          <w:noProof/>
        </w:rPr>
        <w:t xml:space="preserve"> w</w:t>
      </w:r>
      <w:r w:rsidR="00DD1DFA">
        <w:rPr>
          <w:noProof/>
        </w:rPr>
        <w:t> </w:t>
      </w:r>
      <w:r w:rsidR="00DD1DFA" w:rsidRPr="00DD1DFA">
        <w:rPr>
          <w:noProof/>
        </w:rPr>
        <w:t>prz</w:t>
      </w:r>
      <w:r w:rsidR="00B34802" w:rsidRPr="00DD1DFA">
        <w:rPr>
          <w:noProof/>
        </w:rPr>
        <w:t>ypadkach, gdy:</w:t>
      </w:r>
    </w:p>
    <w:p w14:paraId="548A4C59" w14:textId="27ABD291" w:rsidR="00B34802" w:rsidRPr="00DD1DFA" w:rsidRDefault="00626BBA" w:rsidP="00626BBA">
      <w:pPr>
        <w:pStyle w:val="Point1"/>
        <w:rPr>
          <w:noProof/>
        </w:rPr>
      </w:pPr>
      <w:r w:rsidRPr="00626BBA">
        <w:rPr>
          <w:noProof/>
        </w:rPr>
        <w:t>a)</w:t>
      </w:r>
      <w:r w:rsidRPr="00626BBA">
        <w:rPr>
          <w:noProof/>
        </w:rPr>
        <w:tab/>
      </w:r>
      <w:r w:rsidR="00B34802" w:rsidRPr="00DD1DFA">
        <w:rPr>
          <w:noProof/>
        </w:rPr>
        <w:t>nie można założyć, że właściwości mechaniczne</w:t>
      </w:r>
      <w:r w:rsidR="00DD1DFA" w:rsidRPr="00DD1DFA">
        <w:rPr>
          <w:noProof/>
        </w:rPr>
        <w:t xml:space="preserve"> i</w:t>
      </w:r>
      <w:r w:rsidR="00DD1DFA">
        <w:rPr>
          <w:noProof/>
        </w:rPr>
        <w:t> </w:t>
      </w:r>
      <w:r w:rsidR="00DD1DFA" w:rsidRPr="00DD1DFA">
        <w:rPr>
          <w:noProof/>
        </w:rPr>
        <w:t>che</w:t>
      </w:r>
      <w:r w:rsidR="00B34802" w:rsidRPr="00DD1DFA">
        <w:rPr>
          <w:noProof/>
        </w:rPr>
        <w:t>miczne wyrobu używanego nie są już wystarczająco stabilne do celów nowego zamierzonego zastosowania;</w:t>
      </w:r>
    </w:p>
    <w:p w14:paraId="589FDC48" w14:textId="48E1A58B" w:rsidR="00B34802" w:rsidRPr="00DD1DFA" w:rsidRDefault="00626BBA" w:rsidP="00626BBA">
      <w:pPr>
        <w:pStyle w:val="Point1"/>
        <w:rPr>
          <w:noProof/>
        </w:rPr>
      </w:pPr>
      <w:r w:rsidRPr="00626BBA">
        <w:rPr>
          <w:noProof/>
        </w:rPr>
        <w:t>b)</w:t>
      </w:r>
      <w:r w:rsidRPr="00626BBA">
        <w:rPr>
          <w:noProof/>
        </w:rPr>
        <w:tab/>
      </w:r>
      <w:r w:rsidR="00B34802" w:rsidRPr="00DD1DFA">
        <w:rPr>
          <w:noProof/>
        </w:rPr>
        <w:t>zdrowie</w:t>
      </w:r>
      <w:r w:rsidR="00DD1DFA" w:rsidRPr="00DD1DFA">
        <w:rPr>
          <w:noProof/>
        </w:rPr>
        <w:t xml:space="preserve"> i</w:t>
      </w:r>
      <w:r w:rsidR="00DD1DFA">
        <w:rPr>
          <w:noProof/>
        </w:rPr>
        <w:t> </w:t>
      </w:r>
      <w:r w:rsidR="00DD1DFA" w:rsidRPr="00DD1DFA">
        <w:rPr>
          <w:noProof/>
        </w:rPr>
        <w:t>bez</w:t>
      </w:r>
      <w:r w:rsidR="00B34802" w:rsidRPr="00DD1DFA">
        <w:rPr>
          <w:noProof/>
        </w:rPr>
        <w:t>pieczeństwo ludzi byłoby zagrożone ze względu na właściwości wyrobu;</w:t>
      </w:r>
    </w:p>
    <w:p w14:paraId="07D289DB" w14:textId="23C4CDEC" w:rsidR="00B34802" w:rsidRPr="00DD1DFA" w:rsidRDefault="00626BBA" w:rsidP="00626BBA">
      <w:pPr>
        <w:pStyle w:val="Point1"/>
        <w:rPr>
          <w:noProof/>
        </w:rPr>
      </w:pPr>
      <w:r w:rsidRPr="00626BBA">
        <w:rPr>
          <w:noProof/>
        </w:rPr>
        <w:t>c)</w:t>
      </w:r>
      <w:r w:rsidRPr="00626BBA">
        <w:rPr>
          <w:noProof/>
        </w:rPr>
        <w:tab/>
      </w:r>
      <w:r w:rsidR="00B34802" w:rsidRPr="00DD1DFA">
        <w:rPr>
          <w:noProof/>
        </w:rPr>
        <w:t>wyrób został narażony na naprężenia, które spowodowały, że nie nadaje się do celów nowego zamierzonego zastosowania; lub</w:t>
      </w:r>
    </w:p>
    <w:p w14:paraId="32FF45EA" w14:textId="684399EF" w:rsidR="00BC1E12" w:rsidRPr="00DD1DFA" w:rsidRDefault="00626BBA" w:rsidP="00626BBA">
      <w:pPr>
        <w:pStyle w:val="Point1"/>
        <w:rPr>
          <w:noProof/>
        </w:rPr>
      </w:pPr>
      <w:r w:rsidRPr="00626BBA">
        <w:rPr>
          <w:noProof/>
        </w:rPr>
        <w:t>d)</w:t>
      </w:r>
      <w:r w:rsidRPr="00626BBA">
        <w:rPr>
          <w:noProof/>
        </w:rPr>
        <w:tab/>
      </w:r>
      <w:r w:rsidR="00B34802" w:rsidRPr="00DD1DFA">
        <w:rPr>
          <w:noProof/>
        </w:rPr>
        <w:t>występowanie takiego naprężenia jest mało prawdopodobne zgodnie</w:t>
      </w:r>
      <w:r w:rsidR="00DD1DFA" w:rsidRPr="00DD1DFA">
        <w:rPr>
          <w:noProof/>
        </w:rPr>
        <w:t xml:space="preserve"> z</w:t>
      </w:r>
      <w:r w:rsidR="00DD1DFA">
        <w:rPr>
          <w:noProof/>
        </w:rPr>
        <w:t> </w:t>
      </w:r>
      <w:r w:rsidR="00DD1DFA" w:rsidRPr="00DD1DFA">
        <w:rPr>
          <w:noProof/>
        </w:rPr>
        <w:t>pro</w:t>
      </w:r>
      <w:r w:rsidR="00B34802" w:rsidRPr="00DD1DFA">
        <w:rPr>
          <w:noProof/>
        </w:rPr>
        <w:t>tokołem sporządzonym przez podmiot zajmujący się demontażem zgodnie</w:t>
      </w:r>
      <w:r w:rsidR="00DD1DFA" w:rsidRPr="00DD1DFA">
        <w:rPr>
          <w:noProof/>
        </w:rPr>
        <w:t xml:space="preserve"> z</w:t>
      </w:r>
      <w:r w:rsidR="00DD1DFA">
        <w:rPr>
          <w:noProof/>
        </w:rPr>
        <w:t> </w:t>
      </w:r>
      <w:r w:rsidR="00DD1DFA" w:rsidRPr="00DD1DFA">
        <w:rPr>
          <w:noProof/>
        </w:rPr>
        <w:t>art</w:t>
      </w:r>
      <w:r w:rsidR="00B34802" w:rsidRPr="00DD1DFA">
        <w:rPr>
          <w:noProof/>
        </w:rPr>
        <w:t>.</w:t>
      </w:r>
      <w:r w:rsidR="00DD1DFA" w:rsidRPr="00DD1DFA">
        <w:rPr>
          <w:noProof/>
        </w:rPr>
        <w:t> </w:t>
      </w:r>
      <w:r w:rsidR="00B34802" w:rsidRPr="00DD1DFA">
        <w:rPr>
          <w:noProof/>
        </w:rPr>
        <w:t>29 oraz dokumentacją dotyczącą warunków panujących</w:t>
      </w:r>
      <w:r w:rsidR="00DD1DFA" w:rsidRPr="00DD1DFA">
        <w:rPr>
          <w:noProof/>
        </w:rPr>
        <w:t xml:space="preserve"> w</w:t>
      </w:r>
      <w:r w:rsidR="00DD1DFA">
        <w:rPr>
          <w:noProof/>
        </w:rPr>
        <w:t> </w:t>
      </w:r>
      <w:r w:rsidR="00DD1DFA" w:rsidRPr="00DD1DFA">
        <w:rPr>
          <w:noProof/>
        </w:rPr>
        <w:t>dan</w:t>
      </w:r>
      <w:r w:rsidR="00B34802" w:rsidRPr="00DD1DFA">
        <w:rPr>
          <w:noProof/>
        </w:rPr>
        <w:t>ym budynku („dziennik budowy”).</w:t>
      </w:r>
    </w:p>
    <w:p w14:paraId="0629F40F" w14:textId="0911E296" w:rsidR="00BC1E12" w:rsidRPr="00DD1DFA" w:rsidRDefault="00B34802" w:rsidP="00086450">
      <w:pPr>
        <w:pStyle w:val="Text1"/>
        <w:rPr>
          <w:noProof/>
        </w:rPr>
      </w:pPr>
      <w:r w:rsidRPr="00DD1DFA">
        <w:rPr>
          <w:noProof/>
          <w:color w:val="000000"/>
        </w:rPr>
        <w:t>Państwa członkowskie określają wymogi dla podmiotów zajmujących się demontażem oraz certyfikację, którą należy zapewnić zgodnie</w:t>
      </w:r>
      <w:r w:rsidR="00DD1DFA" w:rsidRPr="00DD1DFA">
        <w:rPr>
          <w:noProof/>
          <w:color w:val="000000"/>
        </w:rPr>
        <w:t xml:space="preserve"> z</w:t>
      </w:r>
      <w:r w:rsidR="00DD1DFA">
        <w:rPr>
          <w:noProof/>
          <w:color w:val="000000"/>
        </w:rPr>
        <w:t> </w:t>
      </w:r>
      <w:r w:rsidR="00DD1DFA" w:rsidRPr="00DD1DFA">
        <w:rPr>
          <w:noProof/>
          <w:color w:val="000000"/>
        </w:rPr>
        <w:t>ost</w:t>
      </w:r>
      <w:r w:rsidRPr="00DD1DFA">
        <w:rPr>
          <w:noProof/>
          <w:color w:val="000000"/>
        </w:rPr>
        <w:t>atnim zdaniem,</w:t>
      </w:r>
      <w:r w:rsidR="00DD1DFA" w:rsidRPr="00DD1DFA">
        <w:rPr>
          <w:noProof/>
          <w:color w:val="000000"/>
        </w:rPr>
        <w:t xml:space="preserve"> w</w:t>
      </w:r>
      <w:r w:rsidR="00DD1DFA">
        <w:rPr>
          <w:noProof/>
          <w:color w:val="000000"/>
        </w:rPr>
        <w:t> </w:t>
      </w:r>
      <w:r w:rsidR="00DD1DFA" w:rsidRPr="00DD1DFA">
        <w:rPr>
          <w:noProof/>
          <w:color w:val="000000"/>
        </w:rPr>
        <w:t>tym</w:t>
      </w:r>
      <w:r w:rsidRPr="00DD1DFA">
        <w:rPr>
          <w:noProof/>
          <w:color w:val="000000"/>
        </w:rPr>
        <w:t xml:space="preserve"> definicję naprężeń powodujących, że wyrób nie nadaje się do użytku.</w:t>
      </w:r>
    </w:p>
    <w:p w14:paraId="128492F5" w14:textId="058C0483" w:rsidR="00BC1E12" w:rsidRPr="00DD1DFA" w:rsidRDefault="005F7EFA" w:rsidP="005F7EFA">
      <w:pPr>
        <w:pStyle w:val="ManualNumPar1"/>
        <w:rPr>
          <w:noProof/>
        </w:rPr>
      </w:pPr>
      <w:r w:rsidRPr="005F7EFA">
        <w:t>4.</w:t>
      </w:r>
      <w:r w:rsidRPr="005F7EFA">
        <w:tab/>
      </w:r>
      <w:r w:rsidR="00B34802" w:rsidRPr="00DD1DFA">
        <w:rPr>
          <w:noProof/>
        </w:rPr>
        <w:t xml:space="preserve">Ust. 1–3 </w:t>
      </w:r>
      <w:r w:rsidR="00B34802" w:rsidRPr="00DD1DFA">
        <w:rPr>
          <w:noProof/>
          <w:szCs w:val="24"/>
        </w:rPr>
        <w:t xml:space="preserve">mają </w:t>
      </w:r>
      <w:r w:rsidR="00B34802" w:rsidRPr="00DD1DFA">
        <w:rPr>
          <w:noProof/>
        </w:rPr>
        <w:t>również zastosowanie do wyrobów poddanych regeneracji, jeżeli proces przekształcania – wykraczający poza naprawę, czyszczenie, regularną konserwację lub przygotowanie do ponownego użycia zgodnie</w:t>
      </w:r>
      <w:r w:rsidR="00DD1DFA" w:rsidRPr="00DD1DFA">
        <w:rPr>
          <w:noProof/>
        </w:rPr>
        <w:t xml:space="preserve"> z</w:t>
      </w:r>
      <w:r w:rsidR="00DD1DFA">
        <w:rPr>
          <w:noProof/>
        </w:rPr>
        <w:t> </w:t>
      </w:r>
      <w:r w:rsidR="00DD1DFA" w:rsidRPr="00DD1DFA">
        <w:rPr>
          <w:noProof/>
        </w:rPr>
        <w:t>def</w:t>
      </w:r>
      <w:r w:rsidR="00B34802" w:rsidRPr="00DD1DFA">
        <w:rPr>
          <w:noProof/>
        </w:rPr>
        <w:t>inicją</w:t>
      </w:r>
      <w:r w:rsidR="00DD1DFA" w:rsidRPr="00DD1DFA">
        <w:rPr>
          <w:noProof/>
        </w:rPr>
        <w:t xml:space="preserve"> w</w:t>
      </w:r>
      <w:r w:rsidR="00DD1DFA">
        <w:rPr>
          <w:noProof/>
        </w:rPr>
        <w:t> </w:t>
      </w:r>
      <w:r w:rsidR="00DD1DFA" w:rsidRPr="00DD1DFA">
        <w:rPr>
          <w:noProof/>
        </w:rPr>
        <w:t>art</w:t>
      </w:r>
      <w:r w:rsidR="00B34802" w:rsidRPr="00DD1DFA">
        <w:rPr>
          <w:noProof/>
        </w:rPr>
        <w:t>.</w:t>
      </w:r>
      <w:r w:rsidR="00DD1DFA" w:rsidRPr="00DD1DFA">
        <w:rPr>
          <w:noProof/>
        </w:rPr>
        <w:t> </w:t>
      </w:r>
      <w:r w:rsidR="00B34802" w:rsidRPr="00DD1DFA">
        <w:rPr>
          <w:noProof/>
        </w:rPr>
        <w:t>3</w:t>
      </w:r>
      <w:r w:rsidR="00B34802" w:rsidRPr="00DD1DFA">
        <w:rPr>
          <w:noProof/>
          <w:szCs w:val="24"/>
        </w:rPr>
        <w:t xml:space="preserve"> pkt</w:t>
      </w:r>
      <w:r w:rsidR="00DD1DFA" w:rsidRPr="00DD1DFA">
        <w:rPr>
          <w:noProof/>
          <w:szCs w:val="24"/>
        </w:rPr>
        <w:t> </w:t>
      </w:r>
      <w:r w:rsidR="00B34802" w:rsidRPr="00DD1DFA">
        <w:rPr>
          <w:noProof/>
        </w:rPr>
        <w:t>16 dyrektywy 2008/98/WE po demontażu – nie wpływa negatywnie na zgodność</w:t>
      </w:r>
      <w:r w:rsidR="00DD1DFA" w:rsidRPr="00DD1DFA">
        <w:rPr>
          <w:noProof/>
        </w:rPr>
        <w:t xml:space="preserve"> z</w:t>
      </w:r>
      <w:r w:rsidR="00DD1DFA">
        <w:rPr>
          <w:noProof/>
        </w:rPr>
        <w:t> </w:t>
      </w:r>
      <w:r w:rsidR="00DD1DFA" w:rsidRPr="00DD1DFA">
        <w:rPr>
          <w:noProof/>
        </w:rPr>
        <w:t>nin</w:t>
      </w:r>
      <w:r w:rsidR="00B34802" w:rsidRPr="00DD1DFA">
        <w:rPr>
          <w:noProof/>
        </w:rPr>
        <w:t>iejszym rozporządzeniem ani na właściwości użytkowe wyrobu</w:t>
      </w:r>
      <w:r w:rsidR="00DD1DFA" w:rsidRPr="00DD1DFA">
        <w:rPr>
          <w:noProof/>
        </w:rPr>
        <w:t xml:space="preserve"> w</w:t>
      </w:r>
      <w:r w:rsidR="00DD1DFA">
        <w:rPr>
          <w:noProof/>
        </w:rPr>
        <w:t> </w:t>
      </w:r>
      <w:r w:rsidR="00DD1DFA" w:rsidRPr="00DD1DFA">
        <w:rPr>
          <w:noProof/>
        </w:rPr>
        <w:t>odn</w:t>
      </w:r>
      <w:r w:rsidR="00B34802" w:rsidRPr="00DD1DFA">
        <w:rPr>
          <w:noProof/>
        </w:rPr>
        <w:t>iesieniu do odpowiednich charakterystyk, ponieważ</w:t>
      </w:r>
      <w:r w:rsidR="00DD1DFA" w:rsidRPr="00DD1DFA">
        <w:rPr>
          <w:noProof/>
        </w:rPr>
        <w:t xml:space="preserve"> z</w:t>
      </w:r>
      <w:r w:rsidR="00DD1DFA">
        <w:rPr>
          <w:noProof/>
        </w:rPr>
        <w:t> </w:t>
      </w:r>
      <w:r w:rsidR="00DD1DFA" w:rsidRPr="00DD1DFA">
        <w:rPr>
          <w:noProof/>
        </w:rPr>
        <w:t>rac</w:t>
      </w:r>
      <w:r w:rsidR="00B34802" w:rsidRPr="00DD1DFA">
        <w:rPr>
          <w:noProof/>
        </w:rPr>
        <w:t>ji ich przeznaczenia proces przekształcania nie może mieć negatywnego wpływu na właściwości użytkowe</w:t>
      </w:r>
      <w:r w:rsidR="00DD1DFA" w:rsidRPr="00DD1DFA">
        <w:rPr>
          <w:noProof/>
        </w:rPr>
        <w:t xml:space="preserve"> i</w:t>
      </w:r>
      <w:r w:rsidR="00DD1DFA">
        <w:rPr>
          <w:noProof/>
        </w:rPr>
        <w:t> </w:t>
      </w:r>
      <w:r w:rsidR="00DD1DFA" w:rsidRPr="00DD1DFA">
        <w:rPr>
          <w:noProof/>
        </w:rPr>
        <w:t>zgo</w:t>
      </w:r>
      <w:r w:rsidR="00B34802" w:rsidRPr="00DD1DFA">
        <w:rPr>
          <w:noProof/>
        </w:rPr>
        <w:t>dność lub</w:t>
      </w:r>
      <w:r w:rsidR="00DD1DFA" w:rsidRPr="00DD1DFA">
        <w:rPr>
          <w:noProof/>
        </w:rPr>
        <w:t xml:space="preserve"> z</w:t>
      </w:r>
      <w:r w:rsidR="00DD1DFA">
        <w:rPr>
          <w:noProof/>
        </w:rPr>
        <w:t> </w:t>
      </w:r>
      <w:r w:rsidR="00DD1DFA" w:rsidRPr="00DD1DFA">
        <w:rPr>
          <w:noProof/>
        </w:rPr>
        <w:t>uwa</w:t>
      </w:r>
      <w:r w:rsidR="00B34802" w:rsidRPr="00DD1DFA">
        <w:rPr>
          <w:noProof/>
        </w:rPr>
        <w:t>gi na to, że używaną część zamienną oceniono jako część</w:t>
      </w:r>
      <w:r w:rsidR="00DD1DFA" w:rsidRPr="00DD1DFA">
        <w:rPr>
          <w:noProof/>
        </w:rPr>
        <w:t xml:space="preserve"> o</w:t>
      </w:r>
      <w:r w:rsidR="00DD1DFA">
        <w:rPr>
          <w:noProof/>
        </w:rPr>
        <w:t> </w:t>
      </w:r>
      <w:r w:rsidR="00DD1DFA" w:rsidRPr="00DD1DFA">
        <w:rPr>
          <w:noProof/>
        </w:rPr>
        <w:t>rów</w:t>
      </w:r>
      <w:r w:rsidR="00B34802" w:rsidRPr="00DD1DFA">
        <w:rPr>
          <w:noProof/>
        </w:rPr>
        <w:t>noważnych właściwościach użytkowych</w:t>
      </w:r>
      <w:r w:rsidR="00DD1DFA" w:rsidRPr="00DD1DFA">
        <w:rPr>
          <w:noProof/>
        </w:rPr>
        <w:t xml:space="preserve"> i</w:t>
      </w:r>
      <w:r w:rsidR="00DD1DFA">
        <w:rPr>
          <w:noProof/>
        </w:rPr>
        <w:t> </w:t>
      </w:r>
      <w:r w:rsidR="00DD1DFA" w:rsidRPr="00DD1DFA">
        <w:rPr>
          <w:noProof/>
        </w:rPr>
        <w:t>zgo</w:t>
      </w:r>
      <w:r w:rsidR="00B34802" w:rsidRPr="00DD1DFA">
        <w:rPr>
          <w:noProof/>
        </w:rPr>
        <w:t>dną</w:t>
      </w:r>
      <w:r w:rsidR="00DD1DFA" w:rsidRPr="00DD1DFA">
        <w:rPr>
          <w:noProof/>
        </w:rPr>
        <w:t xml:space="preserve"> z</w:t>
      </w:r>
      <w:r w:rsidR="00DD1DFA">
        <w:rPr>
          <w:noProof/>
        </w:rPr>
        <w:t> </w:t>
      </w:r>
      <w:r w:rsidR="00DD1DFA" w:rsidRPr="00DD1DFA">
        <w:rPr>
          <w:noProof/>
        </w:rPr>
        <w:t>wym</w:t>
      </w:r>
      <w:r w:rsidR="00B34802" w:rsidRPr="00DD1DFA">
        <w:rPr>
          <w:noProof/>
        </w:rPr>
        <w:t>ogami. Jeżeli podmiot gospodarczy skorzystał</w:t>
      </w:r>
      <w:r w:rsidR="00DD1DFA" w:rsidRPr="00DD1DFA">
        <w:rPr>
          <w:noProof/>
        </w:rPr>
        <w:t xml:space="preserve"> z</w:t>
      </w:r>
      <w:r w:rsidR="00DD1DFA">
        <w:rPr>
          <w:noProof/>
        </w:rPr>
        <w:t> </w:t>
      </w:r>
      <w:r w:rsidR="00DD1DFA" w:rsidRPr="00DD1DFA">
        <w:rPr>
          <w:noProof/>
        </w:rPr>
        <w:t>teg</w:t>
      </w:r>
      <w:r w:rsidR="00B34802" w:rsidRPr="00DD1DFA">
        <w:rPr>
          <w:noProof/>
        </w:rPr>
        <w:t>o odstępstwa, deklarację właściwości użytkowych należy opatrzyć napisem „deklaracja właściwości użytkowych dla wyrobu poddanego regeneracji”.</w:t>
      </w:r>
    </w:p>
    <w:p w14:paraId="03067AA1" w14:textId="4D5308F9" w:rsidR="00B34802" w:rsidRPr="00DD1DFA" w:rsidRDefault="005F7EFA" w:rsidP="005F7EFA">
      <w:pPr>
        <w:pStyle w:val="ManualNumPar1"/>
        <w:rPr>
          <w:noProof/>
        </w:rPr>
      </w:pPr>
      <w:r w:rsidRPr="005F7EFA">
        <w:t>5.</w:t>
      </w:r>
      <w:r w:rsidRPr="005F7EFA">
        <w:tab/>
      </w:r>
      <w:r w:rsidR="00B34802" w:rsidRPr="00DD1DFA">
        <w:rPr>
          <w:noProof/>
        </w:rPr>
        <w:t>Ust. 1–4 mają zastosowanie do wszystkich następujących elementów:</w:t>
      </w:r>
    </w:p>
    <w:p w14:paraId="2A9B19C1" w14:textId="7B5048D0" w:rsidR="00B34802" w:rsidRPr="00DD1DFA" w:rsidRDefault="00626BBA" w:rsidP="00626BBA">
      <w:pPr>
        <w:pStyle w:val="Point1"/>
        <w:rPr>
          <w:noProof/>
        </w:rPr>
      </w:pPr>
      <w:r w:rsidRPr="00626BBA">
        <w:rPr>
          <w:noProof/>
        </w:rPr>
        <w:t>a)</w:t>
      </w:r>
      <w:r w:rsidRPr="00626BBA">
        <w:rPr>
          <w:noProof/>
        </w:rPr>
        <w:tab/>
      </w:r>
      <w:r w:rsidR="00B34802" w:rsidRPr="00DD1DFA">
        <w:rPr>
          <w:noProof/>
        </w:rPr>
        <w:t>wyrobów, które dotarły do użytkownika lub opuściły sieć dystrybucji, ale nigdy nie zostały wbudowane i za które pierwotny producent nie ponosi już żadnej odpowiedzialności, traktując je jako nowy wyrób („nadwyżka wyrobów”);</w:t>
      </w:r>
    </w:p>
    <w:p w14:paraId="1B37BB7D" w14:textId="40BCA953" w:rsidR="00B34802" w:rsidRPr="00DD1DFA" w:rsidRDefault="00626BBA" w:rsidP="00626BBA">
      <w:pPr>
        <w:pStyle w:val="Point1"/>
        <w:rPr>
          <w:noProof/>
        </w:rPr>
      </w:pPr>
      <w:r w:rsidRPr="00626BBA">
        <w:rPr>
          <w:noProof/>
        </w:rPr>
        <w:t>b)</w:t>
      </w:r>
      <w:r w:rsidRPr="00626BBA">
        <w:rPr>
          <w:noProof/>
        </w:rPr>
        <w:tab/>
      </w:r>
      <w:r w:rsidR="00E26A8A" w:rsidRPr="00DD1DFA">
        <w:rPr>
          <w:noProof/>
        </w:rPr>
        <w:t>wyrobów,</w:t>
      </w:r>
      <w:r w:rsidR="00DD1DFA" w:rsidRPr="00DD1DFA">
        <w:rPr>
          <w:noProof/>
        </w:rPr>
        <w:t xml:space="preserve"> w</w:t>
      </w:r>
      <w:r w:rsidR="00DD1DFA">
        <w:rPr>
          <w:noProof/>
        </w:rPr>
        <w:t> </w:t>
      </w:r>
      <w:r w:rsidR="00DD1DFA" w:rsidRPr="00DD1DFA">
        <w:rPr>
          <w:noProof/>
        </w:rPr>
        <w:t>odn</w:t>
      </w:r>
      <w:r w:rsidR="00E26A8A" w:rsidRPr="00DD1DFA">
        <w:rPr>
          <w:noProof/>
        </w:rPr>
        <w:t>iesieniu do których pierwotny producent odmówił potwierdzenia swojej odpowiedzialności</w:t>
      </w:r>
      <w:r w:rsidR="00DD1DFA" w:rsidRPr="00DD1DFA">
        <w:rPr>
          <w:noProof/>
        </w:rPr>
        <w:t xml:space="preserve"> w</w:t>
      </w:r>
      <w:r w:rsidR="00DD1DFA">
        <w:rPr>
          <w:noProof/>
        </w:rPr>
        <w:t> </w:t>
      </w:r>
      <w:r w:rsidR="00DD1DFA" w:rsidRPr="00DD1DFA">
        <w:rPr>
          <w:noProof/>
        </w:rPr>
        <w:t>ter</w:t>
      </w:r>
      <w:r w:rsidR="00E26A8A" w:rsidRPr="00DD1DFA">
        <w:rPr>
          <w:noProof/>
        </w:rPr>
        <w:t>minie jednego miesiąca od otrzymania odpowiedniego wniosku od podmiotu gospodarczego pragnącego udostępnić na rynku nadwyżkę wyrobów.</w:t>
      </w:r>
    </w:p>
    <w:p w14:paraId="442061A2" w14:textId="3E4A001F" w:rsidR="00B34802" w:rsidRPr="00DD1DFA" w:rsidRDefault="00B34802" w:rsidP="00300D3C">
      <w:pPr>
        <w:pStyle w:val="Text1"/>
        <w:rPr>
          <w:noProof/>
        </w:rPr>
      </w:pPr>
      <w:r w:rsidRPr="00DD1DFA">
        <w:rPr>
          <w:noProof/>
        </w:rPr>
        <w:t>Jeżeli podmiot gospodarczy skorzystał</w:t>
      </w:r>
      <w:r w:rsidR="00DD1DFA" w:rsidRPr="00DD1DFA">
        <w:rPr>
          <w:noProof/>
        </w:rPr>
        <w:t xml:space="preserve"> z</w:t>
      </w:r>
      <w:r w:rsidR="00DD1DFA">
        <w:rPr>
          <w:noProof/>
        </w:rPr>
        <w:t> </w:t>
      </w:r>
      <w:r w:rsidR="00DD1DFA" w:rsidRPr="00DD1DFA">
        <w:rPr>
          <w:noProof/>
        </w:rPr>
        <w:t>teg</w:t>
      </w:r>
      <w:r w:rsidRPr="00DD1DFA">
        <w:rPr>
          <w:noProof/>
        </w:rPr>
        <w:t>o odstępstwa, deklarację właściwości użytkowych należy opatrzyć napisem „deklaracja właściwości użytkowych dla nadwyżki wyrobów”.</w:t>
      </w:r>
    </w:p>
    <w:p w14:paraId="294E58AC" w14:textId="5973DF86" w:rsidR="00B34802" w:rsidRPr="00DD1DFA" w:rsidRDefault="005F7EFA" w:rsidP="005F7EFA">
      <w:pPr>
        <w:pStyle w:val="ManualNumPar1"/>
        <w:rPr>
          <w:noProof/>
        </w:rPr>
      </w:pPr>
      <w:r w:rsidRPr="005F7EFA">
        <w:t>6.</w:t>
      </w:r>
      <w:r w:rsidRPr="005F7EFA">
        <w:tab/>
      </w:r>
      <w:r w:rsidR="00B34802" w:rsidRPr="00DD1DFA">
        <w:rPr>
          <w:noProof/>
        </w:rPr>
        <w:t>Art. 21 ust.</w:t>
      </w:r>
      <w:r w:rsidR="00DD1DFA" w:rsidRPr="00DD1DFA">
        <w:rPr>
          <w:noProof/>
        </w:rPr>
        <w:t> </w:t>
      </w:r>
      <w:r w:rsidR="00B34802" w:rsidRPr="00DD1DFA">
        <w:rPr>
          <w:noProof/>
        </w:rPr>
        <w:t>3</w:t>
      </w:r>
      <w:r w:rsidR="00DD1DFA" w:rsidRPr="00DD1DFA">
        <w:rPr>
          <w:noProof/>
        </w:rPr>
        <w:t xml:space="preserve"> i</w:t>
      </w:r>
      <w:r w:rsidR="00DD1DFA">
        <w:rPr>
          <w:noProof/>
        </w:rPr>
        <w:t> </w:t>
      </w:r>
      <w:r w:rsidR="00DD1DFA" w:rsidRPr="00DD1DFA">
        <w:rPr>
          <w:noProof/>
        </w:rPr>
        <w:t>art</w:t>
      </w:r>
      <w:r w:rsidR="00B34802" w:rsidRPr="00DD1DFA">
        <w:rPr>
          <w:noProof/>
        </w:rPr>
        <w:t>.</w:t>
      </w:r>
      <w:r w:rsidR="00DD1DFA" w:rsidRPr="00DD1DFA">
        <w:rPr>
          <w:noProof/>
        </w:rPr>
        <w:t> </w:t>
      </w:r>
      <w:r w:rsidR="00B34802" w:rsidRPr="00DD1DFA">
        <w:rPr>
          <w:noProof/>
        </w:rPr>
        <w:t>22 ust.</w:t>
      </w:r>
      <w:r w:rsidR="00DD1DFA" w:rsidRPr="00DD1DFA">
        <w:rPr>
          <w:noProof/>
        </w:rPr>
        <w:t> </w:t>
      </w:r>
      <w:r w:rsidR="00B34802" w:rsidRPr="00DD1DFA">
        <w:rPr>
          <w:noProof/>
        </w:rPr>
        <w:t>1 mają zastosowanie do wyrobów objętych odstępstwami określonymi</w:t>
      </w:r>
      <w:r w:rsidR="00DD1DFA" w:rsidRPr="00DD1DFA">
        <w:rPr>
          <w:noProof/>
        </w:rPr>
        <w:t xml:space="preserve"> w</w:t>
      </w:r>
      <w:r w:rsidR="00DD1DFA">
        <w:rPr>
          <w:noProof/>
        </w:rPr>
        <w:t> </w:t>
      </w:r>
      <w:r w:rsidR="00DD1DFA" w:rsidRPr="00DD1DFA">
        <w:rPr>
          <w:noProof/>
        </w:rPr>
        <w:t>ust</w:t>
      </w:r>
      <w:r w:rsidR="00B34802" w:rsidRPr="00DD1DFA">
        <w:rPr>
          <w:noProof/>
        </w:rPr>
        <w:t>.</w:t>
      </w:r>
      <w:r w:rsidR="00DD1DFA" w:rsidRPr="00DD1DFA">
        <w:rPr>
          <w:noProof/>
        </w:rPr>
        <w:t> </w:t>
      </w:r>
      <w:r w:rsidR="00B34802" w:rsidRPr="00DD1DFA">
        <w:rPr>
          <w:noProof/>
        </w:rPr>
        <w:t>1–5 wyłącznie wówczas, gdy podmiot gospodarczy udostępniający je na rynku wystąpi</w:t>
      </w:r>
      <w:r w:rsidR="00DD1DFA" w:rsidRPr="00DD1DFA">
        <w:rPr>
          <w:noProof/>
        </w:rPr>
        <w:t xml:space="preserve"> z</w:t>
      </w:r>
      <w:r w:rsidR="00DD1DFA">
        <w:rPr>
          <w:noProof/>
        </w:rPr>
        <w:t> </w:t>
      </w:r>
      <w:r w:rsidR="00DD1DFA" w:rsidRPr="00DD1DFA">
        <w:rPr>
          <w:noProof/>
        </w:rPr>
        <w:t>wni</w:t>
      </w:r>
      <w:r w:rsidR="00B34802" w:rsidRPr="00DD1DFA">
        <w:rPr>
          <w:noProof/>
        </w:rPr>
        <w:t>oskiem</w:t>
      </w:r>
      <w:r w:rsidR="00DD1DFA" w:rsidRPr="00DD1DFA">
        <w:rPr>
          <w:noProof/>
        </w:rPr>
        <w:t xml:space="preserve"> o</w:t>
      </w:r>
      <w:r w:rsidR="00DD1DFA">
        <w:rPr>
          <w:noProof/>
        </w:rPr>
        <w:t> </w:t>
      </w:r>
      <w:r w:rsidR="00DD1DFA" w:rsidRPr="00DD1DFA">
        <w:rPr>
          <w:noProof/>
        </w:rPr>
        <w:t>ich</w:t>
      </w:r>
      <w:r w:rsidR="00B34802" w:rsidRPr="00DD1DFA">
        <w:rPr>
          <w:noProof/>
        </w:rPr>
        <w:t xml:space="preserve"> zastosowanie. </w:t>
      </w:r>
    </w:p>
    <w:p w14:paraId="3DAC89A3" w14:textId="423F0EF1" w:rsidR="00B34802" w:rsidRPr="00DD1DFA" w:rsidRDefault="00B34802" w:rsidP="00300D3C">
      <w:pPr>
        <w:pStyle w:val="Text1"/>
        <w:rPr>
          <w:noProof/>
        </w:rPr>
      </w:pPr>
      <w:r w:rsidRPr="00DD1DFA">
        <w:rPr>
          <w:noProof/>
        </w:rPr>
        <w:t>Art. 21 ust.</w:t>
      </w:r>
      <w:r w:rsidR="00DD1DFA" w:rsidRPr="00DD1DFA">
        <w:rPr>
          <w:noProof/>
        </w:rPr>
        <w:t> </w:t>
      </w:r>
      <w:r w:rsidRPr="00DD1DFA">
        <w:rPr>
          <w:noProof/>
        </w:rPr>
        <w:t>2 nie ma zastosowania do wyrobów objętych odstępstwami określonymi</w:t>
      </w:r>
      <w:r w:rsidR="00DD1DFA" w:rsidRPr="00DD1DFA">
        <w:rPr>
          <w:noProof/>
        </w:rPr>
        <w:t xml:space="preserve"> w</w:t>
      </w:r>
      <w:r w:rsidR="00DD1DFA">
        <w:rPr>
          <w:noProof/>
        </w:rPr>
        <w:t> </w:t>
      </w:r>
      <w:r w:rsidR="00DD1DFA" w:rsidRPr="00DD1DFA">
        <w:rPr>
          <w:noProof/>
        </w:rPr>
        <w:t>ust</w:t>
      </w:r>
      <w:r w:rsidRPr="00DD1DFA">
        <w:rPr>
          <w:noProof/>
        </w:rPr>
        <w:t>.</w:t>
      </w:r>
      <w:r w:rsidR="00DD1DFA" w:rsidRPr="00DD1DFA">
        <w:rPr>
          <w:noProof/>
        </w:rPr>
        <w:t> </w:t>
      </w:r>
      <w:r w:rsidRPr="00DD1DFA">
        <w:rPr>
          <w:noProof/>
        </w:rPr>
        <w:t>1–5. Podmioty gospodarcze dostarczają jednak informacje określone</w:t>
      </w:r>
      <w:r w:rsidR="00DD1DFA" w:rsidRPr="00DD1DFA">
        <w:rPr>
          <w:noProof/>
        </w:rPr>
        <w:t xml:space="preserve"> w</w:t>
      </w:r>
      <w:r w:rsidR="00DD1DFA">
        <w:rPr>
          <w:noProof/>
        </w:rPr>
        <w:t> </w:t>
      </w:r>
      <w:r w:rsidR="00DD1DFA" w:rsidRPr="00DD1DFA">
        <w:rPr>
          <w:noProof/>
        </w:rPr>
        <w:t>zał</w:t>
      </w:r>
      <w:r w:rsidRPr="00DD1DFA">
        <w:rPr>
          <w:noProof/>
        </w:rPr>
        <w:t>ączniku I część D.</w:t>
      </w:r>
    </w:p>
    <w:p w14:paraId="1F29132D" w14:textId="5B72AD6C" w:rsidR="00B34802" w:rsidRPr="00DD1DFA" w:rsidRDefault="005F7EFA" w:rsidP="005F7EFA">
      <w:pPr>
        <w:pStyle w:val="ManualNumPar1"/>
        <w:rPr>
          <w:noProof/>
        </w:rPr>
      </w:pPr>
      <w:r w:rsidRPr="005F7EFA">
        <w:t>7.</w:t>
      </w:r>
      <w:r w:rsidRPr="005F7EFA">
        <w:tab/>
      </w:r>
      <w:r w:rsidR="00B34802" w:rsidRPr="00DD1DFA">
        <w:rPr>
          <w:noProof/>
        </w:rPr>
        <w:t>O ile podmiot gospodarczy nie zdecyduje się na zastosowanie zharmonizowanych specyfikacji technicznych, wyroby objęte odstępstwami określonymi</w:t>
      </w:r>
      <w:r w:rsidR="00DD1DFA" w:rsidRPr="00DD1DFA">
        <w:rPr>
          <w:noProof/>
        </w:rPr>
        <w:t xml:space="preserve"> w</w:t>
      </w:r>
      <w:r w:rsidR="00DD1DFA">
        <w:rPr>
          <w:noProof/>
        </w:rPr>
        <w:t> </w:t>
      </w:r>
      <w:r w:rsidR="00DD1DFA" w:rsidRPr="00DD1DFA">
        <w:rPr>
          <w:noProof/>
        </w:rPr>
        <w:t>ust</w:t>
      </w:r>
      <w:r w:rsidR="00B34802" w:rsidRPr="00DD1DFA">
        <w:rPr>
          <w:noProof/>
        </w:rPr>
        <w:t>.</w:t>
      </w:r>
      <w:r w:rsidR="00DD1DFA" w:rsidRPr="00DD1DFA">
        <w:rPr>
          <w:noProof/>
        </w:rPr>
        <w:t> </w:t>
      </w:r>
      <w:r w:rsidR="00B34802" w:rsidRPr="00DD1DFA">
        <w:rPr>
          <w:noProof/>
        </w:rPr>
        <w:t>1–5 są zwolnione</w:t>
      </w:r>
      <w:r w:rsidR="00DD1DFA" w:rsidRPr="00DD1DFA">
        <w:rPr>
          <w:noProof/>
        </w:rPr>
        <w:t xml:space="preserve"> z</w:t>
      </w:r>
      <w:r w:rsidR="00DD1DFA">
        <w:rPr>
          <w:noProof/>
        </w:rPr>
        <w:t> </w:t>
      </w:r>
      <w:r w:rsidR="00DD1DFA" w:rsidRPr="00DD1DFA">
        <w:rPr>
          <w:noProof/>
        </w:rPr>
        <w:t>war</w:t>
      </w:r>
      <w:r w:rsidR="00B34802" w:rsidRPr="00DD1DFA">
        <w:rPr>
          <w:noProof/>
        </w:rPr>
        <w:t>tości progowych, wymogów dotyczących wyrobów</w:t>
      </w:r>
      <w:r w:rsidR="00DD1DFA" w:rsidRPr="00DD1DFA">
        <w:rPr>
          <w:noProof/>
        </w:rPr>
        <w:t xml:space="preserve"> i</w:t>
      </w:r>
      <w:r w:rsidR="00DD1DFA">
        <w:rPr>
          <w:noProof/>
        </w:rPr>
        <w:t> </w:t>
      </w:r>
      <w:r w:rsidR="00DD1DFA" w:rsidRPr="00DD1DFA">
        <w:rPr>
          <w:noProof/>
        </w:rPr>
        <w:t>maj</w:t>
      </w:r>
      <w:r w:rsidR="00B34802" w:rsidRPr="00DD1DFA">
        <w:rPr>
          <w:noProof/>
        </w:rPr>
        <w:t xml:space="preserve">ących zastosowanie zharmonizowanych specyfikacji technicznych. </w:t>
      </w:r>
    </w:p>
    <w:p w14:paraId="05D15A7A" w14:textId="1B59B49D" w:rsidR="00B34802" w:rsidRPr="00DD1DFA" w:rsidRDefault="005F7EFA" w:rsidP="005F7EFA">
      <w:pPr>
        <w:pStyle w:val="ManualNumPar1"/>
        <w:rPr>
          <w:noProof/>
        </w:rPr>
      </w:pPr>
      <w:r w:rsidRPr="005F7EFA">
        <w:t>8.</w:t>
      </w:r>
      <w:r w:rsidRPr="005F7EFA">
        <w:tab/>
      </w:r>
      <w:r w:rsidR="00B34802" w:rsidRPr="00DD1DFA">
        <w:rPr>
          <w:noProof/>
        </w:rPr>
        <w:t>Wydając deklarację właściwości użytkowych, podmiot gospodarczy przyjmuje na siebie odpowiedzialność za zgodność wyrobu</w:t>
      </w:r>
      <w:r w:rsidR="00DD1DFA" w:rsidRPr="00DD1DFA">
        <w:rPr>
          <w:noProof/>
        </w:rPr>
        <w:t xml:space="preserve"> z</w:t>
      </w:r>
      <w:r w:rsidR="00DD1DFA">
        <w:rPr>
          <w:noProof/>
        </w:rPr>
        <w:t> </w:t>
      </w:r>
      <w:r w:rsidR="00DD1DFA" w:rsidRPr="00DD1DFA">
        <w:rPr>
          <w:noProof/>
        </w:rPr>
        <w:t>zad</w:t>
      </w:r>
      <w:r w:rsidR="00B34802" w:rsidRPr="00DD1DFA">
        <w:rPr>
          <w:noProof/>
        </w:rPr>
        <w:t>eklarowanymi</w:t>
      </w:r>
      <w:r w:rsidR="00DD1DFA" w:rsidRPr="00DD1DFA">
        <w:rPr>
          <w:noProof/>
        </w:rPr>
        <w:t xml:space="preserve"> w</w:t>
      </w:r>
      <w:r w:rsidR="00DD1DFA">
        <w:rPr>
          <w:noProof/>
        </w:rPr>
        <w:t> </w:t>
      </w:r>
      <w:r w:rsidR="00DD1DFA" w:rsidRPr="00DD1DFA">
        <w:rPr>
          <w:noProof/>
        </w:rPr>
        <w:t>ten</w:t>
      </w:r>
      <w:r w:rsidR="00B34802" w:rsidRPr="00DD1DFA">
        <w:rPr>
          <w:noProof/>
        </w:rPr>
        <w:t xml:space="preserve"> sposób właściwościami użytkowymi oraz ponosi odpowiedzialność zgodnie</w:t>
      </w:r>
      <w:r w:rsidR="00DD1DFA" w:rsidRPr="00DD1DFA">
        <w:rPr>
          <w:noProof/>
        </w:rPr>
        <w:t xml:space="preserve"> z</w:t>
      </w:r>
      <w:r w:rsidR="00DD1DFA">
        <w:rPr>
          <w:noProof/>
        </w:rPr>
        <w:t> </w:t>
      </w:r>
      <w:r w:rsidR="00DD1DFA" w:rsidRPr="00DD1DFA">
        <w:rPr>
          <w:noProof/>
        </w:rPr>
        <w:t>uni</w:t>
      </w:r>
      <w:r w:rsidR="00B34802" w:rsidRPr="00DD1DFA">
        <w:rPr>
          <w:noProof/>
        </w:rPr>
        <w:t>jnymi</w:t>
      </w:r>
      <w:r w:rsidR="00DD1DFA" w:rsidRPr="00DD1DFA">
        <w:rPr>
          <w:noProof/>
        </w:rPr>
        <w:t xml:space="preserve"> i</w:t>
      </w:r>
      <w:r w:rsidR="00DD1DFA">
        <w:rPr>
          <w:noProof/>
        </w:rPr>
        <w:t> </w:t>
      </w:r>
      <w:r w:rsidR="00DD1DFA" w:rsidRPr="00DD1DFA">
        <w:rPr>
          <w:noProof/>
        </w:rPr>
        <w:t>kra</w:t>
      </w:r>
      <w:r w:rsidR="00B34802" w:rsidRPr="00DD1DFA">
        <w:rPr>
          <w:noProof/>
        </w:rPr>
        <w:t>jowymi przepisami dotyczącymi odpowiedzialności umownej</w:t>
      </w:r>
      <w:r w:rsidR="00DD1DFA" w:rsidRPr="00DD1DFA">
        <w:rPr>
          <w:noProof/>
        </w:rPr>
        <w:t xml:space="preserve"> i</w:t>
      </w:r>
      <w:r w:rsidR="00DD1DFA">
        <w:rPr>
          <w:noProof/>
        </w:rPr>
        <w:t> </w:t>
      </w:r>
      <w:r w:rsidR="00DD1DFA" w:rsidRPr="00DD1DFA">
        <w:rPr>
          <w:noProof/>
        </w:rPr>
        <w:t>poz</w:t>
      </w:r>
      <w:r w:rsidR="00B34802" w:rsidRPr="00DD1DFA">
        <w:rPr>
          <w:noProof/>
        </w:rPr>
        <w:t>aumownej</w:t>
      </w:r>
      <w:r w:rsidR="00DD1DFA" w:rsidRPr="00DD1DFA">
        <w:rPr>
          <w:noProof/>
        </w:rPr>
        <w:t>. O</w:t>
      </w:r>
      <w:r w:rsidR="00DD1DFA">
        <w:rPr>
          <w:noProof/>
        </w:rPr>
        <w:t> </w:t>
      </w:r>
      <w:r w:rsidR="00DD1DFA" w:rsidRPr="00DD1DFA">
        <w:rPr>
          <w:noProof/>
        </w:rPr>
        <w:t>ile</w:t>
      </w:r>
      <w:r w:rsidR="00B34802" w:rsidRPr="00DD1DFA">
        <w:rPr>
          <w:noProof/>
        </w:rPr>
        <w:t xml:space="preserve"> brak obiektywnych wskazań, że jest inaczej, państwa członkowskie przyjmują, że deklaracja właściwości użytkowych jest dokładna</w:t>
      </w:r>
      <w:r w:rsidR="00DD1DFA" w:rsidRPr="00DD1DFA">
        <w:rPr>
          <w:noProof/>
        </w:rPr>
        <w:t xml:space="preserve"> i</w:t>
      </w:r>
      <w:r w:rsidR="00DD1DFA">
        <w:rPr>
          <w:noProof/>
        </w:rPr>
        <w:t> </w:t>
      </w:r>
      <w:r w:rsidR="00DD1DFA" w:rsidRPr="00DD1DFA">
        <w:rPr>
          <w:noProof/>
        </w:rPr>
        <w:t>wia</w:t>
      </w:r>
      <w:r w:rsidR="00B34802" w:rsidRPr="00DD1DFA">
        <w:rPr>
          <w:noProof/>
        </w:rPr>
        <w:t>rygodna.</w:t>
      </w:r>
    </w:p>
    <w:p w14:paraId="4B88A57B" w14:textId="17044F0F" w:rsidR="00B34802" w:rsidRPr="00DD1DFA" w:rsidRDefault="005F7EFA" w:rsidP="005F7EFA">
      <w:pPr>
        <w:pStyle w:val="ManualNumPar1"/>
        <w:rPr>
          <w:noProof/>
        </w:rPr>
      </w:pPr>
      <w:r w:rsidRPr="005F7EFA">
        <w:t>9.</w:t>
      </w:r>
      <w:r w:rsidRPr="005F7EFA">
        <w:tab/>
      </w:r>
      <w:r w:rsidR="00B34802" w:rsidRPr="00DD1DFA">
        <w:rPr>
          <w:noProof/>
        </w:rPr>
        <w:t>Niniejszy artykuł nie ma zastosowania do wyrobów używanych, poddanych regeneracji lub nadwyżek wyrobów, które nigdy nie zostały wprowadzone na rynek unijny lub które nigdy nie zostały wbudowane na terenie Unii.</w:t>
      </w:r>
    </w:p>
    <w:p w14:paraId="54412B23" w14:textId="77777777" w:rsidR="00BC1E12" w:rsidRPr="00DD1DFA" w:rsidRDefault="00BC1E12" w:rsidP="0033198B">
      <w:pPr>
        <w:pStyle w:val="Titrearticle"/>
        <w:rPr>
          <w:rFonts w:ascii="Calibri" w:eastAsia="Calibri" w:hAnsi="Calibri" w:cs="DejaVu Sans"/>
          <w:noProof/>
          <w:color w:val="00000A"/>
          <w:sz w:val="22"/>
        </w:rPr>
      </w:pPr>
      <w:r w:rsidRPr="00DD1DFA">
        <w:rPr>
          <w:noProof/>
        </w:rPr>
        <w:t>Artykuł 13</w:t>
      </w:r>
    </w:p>
    <w:p w14:paraId="6320B42E" w14:textId="77777777" w:rsidR="00BC1E12" w:rsidRPr="00DD1DFA" w:rsidRDefault="00BC1E12" w:rsidP="0033198B">
      <w:pPr>
        <w:pStyle w:val="Titrearticle"/>
        <w:rPr>
          <w:rFonts w:ascii="Calibri" w:eastAsia="Calibri" w:hAnsi="Calibri" w:cs="DejaVu Sans"/>
          <w:noProof/>
          <w:color w:val="00000A"/>
          <w:sz w:val="22"/>
        </w:rPr>
      </w:pPr>
      <w:r w:rsidRPr="00DD1DFA">
        <w:rPr>
          <w:b/>
          <w:bCs/>
          <w:noProof/>
        </w:rPr>
        <w:t>Deklaracja zgodności</w:t>
      </w:r>
    </w:p>
    <w:p w14:paraId="78AD3A13" w14:textId="5806C6C5" w:rsidR="00B34802" w:rsidRPr="00DD1DFA" w:rsidRDefault="005F7EFA" w:rsidP="005F7EFA">
      <w:pPr>
        <w:pStyle w:val="ManualNumPar1"/>
        <w:rPr>
          <w:noProof/>
        </w:rPr>
      </w:pPr>
      <w:r w:rsidRPr="005F7EFA">
        <w:t>1.</w:t>
      </w:r>
      <w:r w:rsidRPr="005F7EFA">
        <w:tab/>
      </w:r>
      <w:r w:rsidR="00B34802" w:rsidRPr="00DD1DFA">
        <w:rPr>
          <w:noProof/>
        </w:rPr>
        <w:t>Przed wprowadzeniem wyrobu na rynek producent, który nie jest zwolniony</w:t>
      </w:r>
      <w:r w:rsidR="00DD1DFA" w:rsidRPr="00DD1DFA">
        <w:rPr>
          <w:noProof/>
        </w:rPr>
        <w:t xml:space="preserve"> z</w:t>
      </w:r>
      <w:r w:rsidR="00DD1DFA">
        <w:rPr>
          <w:noProof/>
        </w:rPr>
        <w:t> </w:t>
      </w:r>
      <w:r w:rsidR="00DD1DFA" w:rsidRPr="00DD1DFA">
        <w:rPr>
          <w:noProof/>
        </w:rPr>
        <w:t>obo</w:t>
      </w:r>
      <w:r w:rsidR="00B34802" w:rsidRPr="00DD1DFA">
        <w:rPr>
          <w:noProof/>
        </w:rPr>
        <w:t>wiązku sporządzania deklaracji właściwości użytkowych:</w:t>
      </w:r>
    </w:p>
    <w:p w14:paraId="2899E44A" w14:textId="02E92920" w:rsidR="00B34802" w:rsidRPr="00DD1DFA" w:rsidRDefault="00626BBA" w:rsidP="00626BBA">
      <w:pPr>
        <w:pStyle w:val="Point1"/>
        <w:rPr>
          <w:noProof/>
        </w:rPr>
      </w:pPr>
      <w:r w:rsidRPr="00626BBA">
        <w:rPr>
          <w:noProof/>
        </w:rPr>
        <w:t>a)</w:t>
      </w:r>
      <w:r w:rsidRPr="00626BBA">
        <w:rPr>
          <w:noProof/>
        </w:rPr>
        <w:tab/>
      </w:r>
      <w:r w:rsidR="00B34802" w:rsidRPr="00DD1DFA">
        <w:rPr>
          <w:noProof/>
        </w:rPr>
        <w:t>weryfikuje zgodność wyrobu</w:t>
      </w:r>
      <w:r w:rsidR="00DD1DFA" w:rsidRPr="00DD1DFA">
        <w:rPr>
          <w:noProof/>
        </w:rPr>
        <w:t xml:space="preserve"> z</w:t>
      </w:r>
      <w:r w:rsidR="00DD1DFA">
        <w:rPr>
          <w:noProof/>
        </w:rPr>
        <w:t> </w:t>
      </w:r>
      <w:r w:rsidR="00DD1DFA" w:rsidRPr="00DD1DFA">
        <w:rPr>
          <w:noProof/>
        </w:rPr>
        <w:t>wym</w:t>
      </w:r>
      <w:r w:rsidR="00B34802" w:rsidRPr="00DD1DFA">
        <w:rPr>
          <w:noProof/>
        </w:rPr>
        <w:t>ogami dotyczącymi wyrobów zawartymi</w:t>
      </w:r>
      <w:r w:rsidR="00DD1DFA" w:rsidRPr="00DD1DFA">
        <w:rPr>
          <w:noProof/>
        </w:rPr>
        <w:t xml:space="preserve"> w</w:t>
      </w:r>
      <w:r w:rsidR="00DD1DFA">
        <w:rPr>
          <w:noProof/>
        </w:rPr>
        <w:t> </w:t>
      </w:r>
      <w:r w:rsidR="00DD1DFA" w:rsidRPr="00DD1DFA">
        <w:rPr>
          <w:noProof/>
        </w:rPr>
        <w:t>zał</w:t>
      </w:r>
      <w:r w:rsidR="00B34802" w:rsidRPr="00DD1DFA">
        <w:rPr>
          <w:noProof/>
        </w:rPr>
        <w:t>ączniku I część B i C</w:t>
      </w:r>
      <w:r w:rsidR="00DD1DFA" w:rsidRPr="00DD1DFA">
        <w:rPr>
          <w:noProof/>
        </w:rPr>
        <w:t xml:space="preserve"> w</w:t>
      </w:r>
      <w:r w:rsidR="00DD1DFA">
        <w:rPr>
          <w:noProof/>
        </w:rPr>
        <w:t> </w:t>
      </w:r>
      <w:r w:rsidR="00DD1DFA" w:rsidRPr="00DD1DFA">
        <w:rPr>
          <w:noProof/>
        </w:rPr>
        <w:t>zak</w:t>
      </w:r>
      <w:r w:rsidR="00B34802" w:rsidRPr="00DD1DFA">
        <w:rPr>
          <w:noProof/>
        </w:rPr>
        <w:t>resie,</w:t>
      </w:r>
      <w:r w:rsidR="00DD1DFA" w:rsidRPr="00DD1DFA">
        <w:rPr>
          <w:noProof/>
        </w:rPr>
        <w:t xml:space="preserve"> w</w:t>
      </w:r>
      <w:r w:rsidR="00DD1DFA">
        <w:rPr>
          <w:noProof/>
        </w:rPr>
        <w:t> </w:t>
      </w:r>
      <w:r w:rsidR="00DD1DFA" w:rsidRPr="00DD1DFA">
        <w:rPr>
          <w:noProof/>
        </w:rPr>
        <w:t>jak</w:t>
      </w:r>
      <w:r w:rsidR="00B34802" w:rsidRPr="00DD1DFA">
        <w:rPr>
          <w:noProof/>
        </w:rPr>
        <w:t>im zostały one określone</w:t>
      </w:r>
      <w:r w:rsidR="00DD1DFA" w:rsidRPr="00DD1DFA">
        <w:rPr>
          <w:noProof/>
        </w:rPr>
        <w:t xml:space="preserve"> w</w:t>
      </w:r>
      <w:r w:rsidR="00DD1DFA">
        <w:rPr>
          <w:noProof/>
        </w:rPr>
        <w:t> </w:t>
      </w:r>
      <w:r w:rsidR="00DD1DFA" w:rsidRPr="00DD1DFA">
        <w:rPr>
          <w:noProof/>
        </w:rPr>
        <w:t>akt</w:t>
      </w:r>
      <w:r w:rsidR="00B34802" w:rsidRPr="00DD1DFA">
        <w:rPr>
          <w:noProof/>
        </w:rPr>
        <w:t>ach delegowanych zgodnie</w:t>
      </w:r>
      <w:r w:rsidR="00DD1DFA" w:rsidRPr="00DD1DFA">
        <w:rPr>
          <w:noProof/>
        </w:rPr>
        <w:t xml:space="preserve"> z</w:t>
      </w:r>
      <w:r w:rsidR="00DD1DFA">
        <w:rPr>
          <w:noProof/>
        </w:rPr>
        <w:t> </w:t>
      </w:r>
      <w:r w:rsidR="00DD1DFA" w:rsidRPr="00DD1DFA">
        <w:rPr>
          <w:noProof/>
        </w:rPr>
        <w:t>art</w:t>
      </w:r>
      <w:r w:rsidR="00B34802" w:rsidRPr="00DD1DFA">
        <w:rPr>
          <w:noProof/>
        </w:rPr>
        <w:t>.</w:t>
      </w:r>
      <w:r w:rsidR="00DD1DFA" w:rsidRPr="00DD1DFA">
        <w:rPr>
          <w:noProof/>
        </w:rPr>
        <w:t> </w:t>
      </w:r>
      <w:r w:rsidR="00B34802" w:rsidRPr="00DD1DFA">
        <w:rPr>
          <w:noProof/>
        </w:rPr>
        <w:t>5 ust.</w:t>
      </w:r>
      <w:r w:rsidR="00DD1DFA" w:rsidRPr="00DD1DFA">
        <w:rPr>
          <w:noProof/>
        </w:rPr>
        <w:t> </w:t>
      </w:r>
      <w:r w:rsidR="00B34802" w:rsidRPr="00DD1DFA">
        <w:rPr>
          <w:noProof/>
        </w:rPr>
        <w:t>2, oraz</w:t>
      </w:r>
      <w:r w:rsidR="00DD1DFA" w:rsidRPr="00DD1DFA">
        <w:rPr>
          <w:noProof/>
        </w:rPr>
        <w:t xml:space="preserve"> z</w:t>
      </w:r>
      <w:r w:rsidR="00DD1DFA">
        <w:rPr>
          <w:noProof/>
        </w:rPr>
        <w:t> </w:t>
      </w:r>
      <w:r w:rsidR="00DD1DFA" w:rsidRPr="00DD1DFA">
        <w:rPr>
          <w:noProof/>
        </w:rPr>
        <w:t>wym</w:t>
      </w:r>
      <w:r w:rsidR="00B34802" w:rsidRPr="00DD1DFA">
        <w:rPr>
          <w:noProof/>
        </w:rPr>
        <w:t>ogami dotyczącymi wyrobów przewidzianymi</w:t>
      </w:r>
      <w:r w:rsidR="00DD1DFA" w:rsidRPr="00DD1DFA">
        <w:rPr>
          <w:noProof/>
        </w:rPr>
        <w:t xml:space="preserve"> w</w:t>
      </w:r>
      <w:r w:rsidR="00DD1DFA">
        <w:rPr>
          <w:noProof/>
        </w:rPr>
        <w:t> </w:t>
      </w:r>
      <w:r w:rsidR="00DD1DFA" w:rsidRPr="00DD1DFA">
        <w:rPr>
          <w:noProof/>
        </w:rPr>
        <w:t>zał</w:t>
      </w:r>
      <w:r w:rsidR="00B34802" w:rsidRPr="00DD1DFA">
        <w:rPr>
          <w:noProof/>
        </w:rPr>
        <w:t>ączniku I część D;</w:t>
      </w:r>
    </w:p>
    <w:p w14:paraId="165E7007" w14:textId="3F498E53" w:rsidR="00B34802" w:rsidRPr="00DD1DFA" w:rsidRDefault="00626BBA" w:rsidP="00626BBA">
      <w:pPr>
        <w:pStyle w:val="Point1"/>
        <w:rPr>
          <w:noProof/>
        </w:rPr>
      </w:pPr>
      <w:r w:rsidRPr="00626BBA">
        <w:rPr>
          <w:noProof/>
        </w:rPr>
        <w:t>b)</w:t>
      </w:r>
      <w:r w:rsidRPr="00626BBA">
        <w:rPr>
          <w:noProof/>
        </w:rPr>
        <w:tab/>
      </w:r>
      <w:r w:rsidR="00B34802" w:rsidRPr="00DD1DFA">
        <w:rPr>
          <w:noProof/>
        </w:rPr>
        <w:t>stosuje odpowiedni system oceny</w:t>
      </w:r>
      <w:r w:rsidR="00DD1DFA" w:rsidRPr="00DD1DFA">
        <w:rPr>
          <w:noProof/>
        </w:rPr>
        <w:t xml:space="preserve"> i</w:t>
      </w:r>
      <w:r w:rsidR="00DD1DFA">
        <w:rPr>
          <w:noProof/>
        </w:rPr>
        <w:t> </w:t>
      </w:r>
      <w:r w:rsidR="00DD1DFA" w:rsidRPr="00DD1DFA">
        <w:rPr>
          <w:noProof/>
        </w:rPr>
        <w:t>wer</w:t>
      </w:r>
      <w:r w:rsidR="00B34802" w:rsidRPr="00DD1DFA">
        <w:rPr>
          <w:noProof/>
        </w:rPr>
        <w:t>yfikacji określony</w:t>
      </w:r>
      <w:r w:rsidR="00DD1DFA" w:rsidRPr="00DD1DFA">
        <w:rPr>
          <w:noProof/>
        </w:rPr>
        <w:t xml:space="preserve"> w</w:t>
      </w:r>
      <w:r w:rsidR="00DD1DFA">
        <w:rPr>
          <w:noProof/>
        </w:rPr>
        <w:t> </w:t>
      </w:r>
      <w:r w:rsidR="00DD1DFA" w:rsidRPr="00DD1DFA">
        <w:rPr>
          <w:noProof/>
        </w:rPr>
        <w:t>zał</w:t>
      </w:r>
      <w:r w:rsidR="00B34802" w:rsidRPr="00DD1DFA">
        <w:rPr>
          <w:noProof/>
        </w:rPr>
        <w:t xml:space="preserve">ączniku V; oraz </w:t>
      </w:r>
    </w:p>
    <w:p w14:paraId="3FFC68AD" w14:textId="26E8F670" w:rsidR="00B34802" w:rsidRPr="00DD1DFA" w:rsidRDefault="00626BBA" w:rsidP="00626BBA">
      <w:pPr>
        <w:pStyle w:val="Point1"/>
        <w:rPr>
          <w:noProof/>
        </w:rPr>
      </w:pPr>
      <w:r w:rsidRPr="00626BBA">
        <w:rPr>
          <w:noProof/>
        </w:rPr>
        <w:t>c)</w:t>
      </w:r>
      <w:r w:rsidRPr="00626BBA">
        <w:rPr>
          <w:noProof/>
        </w:rPr>
        <w:tab/>
      </w:r>
      <w:r w:rsidR="00B34802" w:rsidRPr="00DD1DFA">
        <w:rPr>
          <w:noProof/>
        </w:rPr>
        <w:t xml:space="preserve">sporządza deklarację zgodności. </w:t>
      </w:r>
    </w:p>
    <w:p w14:paraId="51488E29" w14:textId="025D8011" w:rsidR="00B34802" w:rsidRPr="00DD1DFA" w:rsidRDefault="005F7EFA" w:rsidP="005F7EFA">
      <w:pPr>
        <w:pStyle w:val="ManualNumPar1"/>
        <w:rPr>
          <w:noProof/>
        </w:rPr>
      </w:pPr>
      <w:r w:rsidRPr="005F7EFA">
        <w:t>2.</w:t>
      </w:r>
      <w:r w:rsidRPr="005F7EFA">
        <w:tab/>
      </w:r>
      <w:r w:rsidR="00B34802" w:rsidRPr="00DD1DFA">
        <w:rPr>
          <w:noProof/>
        </w:rPr>
        <w:t>Producent może podjąć decyzję</w:t>
      </w:r>
      <w:r w:rsidR="00DD1DFA" w:rsidRPr="00DD1DFA">
        <w:rPr>
          <w:noProof/>
        </w:rPr>
        <w:t xml:space="preserve"> o</w:t>
      </w:r>
      <w:r w:rsidR="00DD1DFA">
        <w:rPr>
          <w:noProof/>
        </w:rPr>
        <w:t> </w:t>
      </w:r>
      <w:r w:rsidR="00DD1DFA" w:rsidRPr="00DD1DFA">
        <w:rPr>
          <w:noProof/>
        </w:rPr>
        <w:t>wyd</w:t>
      </w:r>
      <w:r w:rsidR="00B34802" w:rsidRPr="00DD1DFA">
        <w:rPr>
          <w:noProof/>
        </w:rPr>
        <w:t>aniu deklaracji zgodności zgodnie</w:t>
      </w:r>
      <w:r w:rsidR="00DD1DFA" w:rsidRPr="00DD1DFA">
        <w:rPr>
          <w:noProof/>
        </w:rPr>
        <w:t xml:space="preserve"> z</w:t>
      </w:r>
      <w:r w:rsidR="00DD1DFA">
        <w:rPr>
          <w:noProof/>
        </w:rPr>
        <w:t> </w:t>
      </w:r>
      <w:r w:rsidR="00DD1DFA" w:rsidRPr="00DD1DFA">
        <w:rPr>
          <w:noProof/>
        </w:rPr>
        <w:t>ust</w:t>
      </w:r>
      <w:r w:rsidR="00B34802" w:rsidRPr="00DD1DFA">
        <w:rPr>
          <w:noProof/>
        </w:rPr>
        <w:t>.</w:t>
      </w:r>
      <w:r w:rsidR="00DD1DFA" w:rsidRPr="00DD1DFA">
        <w:rPr>
          <w:noProof/>
        </w:rPr>
        <w:t> </w:t>
      </w:r>
      <w:r w:rsidR="00B34802" w:rsidRPr="00DD1DFA">
        <w:rPr>
          <w:noProof/>
        </w:rPr>
        <w:t>1, nawet</w:t>
      </w:r>
      <w:r w:rsidR="00DD1DFA" w:rsidRPr="00DD1DFA">
        <w:rPr>
          <w:noProof/>
        </w:rPr>
        <w:t xml:space="preserve"> w</w:t>
      </w:r>
      <w:r w:rsidR="00DD1DFA">
        <w:rPr>
          <w:noProof/>
        </w:rPr>
        <w:t> </w:t>
      </w:r>
      <w:r w:rsidR="00DD1DFA" w:rsidRPr="00DD1DFA">
        <w:rPr>
          <w:noProof/>
        </w:rPr>
        <w:t>prz</w:t>
      </w:r>
      <w:r w:rsidR="00B34802" w:rsidRPr="00DD1DFA">
        <w:rPr>
          <w:noProof/>
        </w:rPr>
        <w:t>ypadku gdy jest on zwolniony</w:t>
      </w:r>
      <w:r w:rsidR="00DD1DFA" w:rsidRPr="00DD1DFA">
        <w:rPr>
          <w:noProof/>
        </w:rPr>
        <w:t xml:space="preserve"> z</w:t>
      </w:r>
      <w:r w:rsidR="00DD1DFA">
        <w:rPr>
          <w:noProof/>
        </w:rPr>
        <w:t> </w:t>
      </w:r>
      <w:r w:rsidR="00DD1DFA" w:rsidRPr="00DD1DFA">
        <w:rPr>
          <w:noProof/>
        </w:rPr>
        <w:t>obo</w:t>
      </w:r>
      <w:r w:rsidR="00B34802" w:rsidRPr="00DD1DFA">
        <w:rPr>
          <w:noProof/>
        </w:rPr>
        <w:t>wiązku sporządzenia deklaracji właściwości użytkowych.</w:t>
      </w:r>
    </w:p>
    <w:p w14:paraId="6782A883" w14:textId="183347FD" w:rsidR="00B34802" w:rsidRPr="00DD1DFA" w:rsidRDefault="005F7EFA" w:rsidP="005F7EFA">
      <w:pPr>
        <w:pStyle w:val="ManualNumPar1"/>
        <w:rPr>
          <w:noProof/>
        </w:rPr>
      </w:pPr>
      <w:r w:rsidRPr="005F7EFA">
        <w:t>3.</w:t>
      </w:r>
      <w:r w:rsidRPr="005F7EFA">
        <w:tab/>
      </w:r>
      <w:r w:rsidR="00B34802" w:rsidRPr="00DD1DFA">
        <w:rPr>
          <w:noProof/>
        </w:rPr>
        <w:t>Sporządzając deklarację zgodności producent przyjmuje na siebie odpowiedzialność za zgodność wyrobu</w:t>
      </w:r>
      <w:r w:rsidR="00DD1DFA" w:rsidRPr="00DD1DFA">
        <w:rPr>
          <w:noProof/>
        </w:rPr>
        <w:t xml:space="preserve"> z</w:t>
      </w:r>
      <w:r w:rsidR="00DD1DFA">
        <w:rPr>
          <w:noProof/>
        </w:rPr>
        <w:t> </w:t>
      </w:r>
      <w:r w:rsidR="00DD1DFA" w:rsidRPr="00DD1DFA">
        <w:rPr>
          <w:noProof/>
        </w:rPr>
        <w:t>wym</w:t>
      </w:r>
      <w:r w:rsidR="00B34802" w:rsidRPr="00DD1DFA">
        <w:rPr>
          <w:noProof/>
        </w:rPr>
        <w:t>ogami dotyczącymi wyrobów oraz ponosi odpowiedzialność zgodnie</w:t>
      </w:r>
      <w:r w:rsidR="00DD1DFA" w:rsidRPr="00DD1DFA">
        <w:rPr>
          <w:noProof/>
        </w:rPr>
        <w:t xml:space="preserve"> z</w:t>
      </w:r>
      <w:r w:rsidR="00DD1DFA">
        <w:rPr>
          <w:noProof/>
        </w:rPr>
        <w:t> </w:t>
      </w:r>
      <w:r w:rsidR="00DD1DFA" w:rsidRPr="00DD1DFA">
        <w:rPr>
          <w:noProof/>
        </w:rPr>
        <w:t>kra</w:t>
      </w:r>
      <w:r w:rsidR="00B34802" w:rsidRPr="00DD1DFA">
        <w:rPr>
          <w:noProof/>
        </w:rPr>
        <w:t>jowymi przepisami dotyczącymi odpowiedzialności umownej</w:t>
      </w:r>
      <w:r w:rsidR="00DD1DFA" w:rsidRPr="00DD1DFA">
        <w:rPr>
          <w:noProof/>
        </w:rPr>
        <w:t xml:space="preserve"> i</w:t>
      </w:r>
      <w:r w:rsidR="00DD1DFA">
        <w:rPr>
          <w:noProof/>
        </w:rPr>
        <w:t> </w:t>
      </w:r>
      <w:r w:rsidR="00DD1DFA" w:rsidRPr="00DD1DFA">
        <w:rPr>
          <w:noProof/>
        </w:rPr>
        <w:t>poz</w:t>
      </w:r>
      <w:r w:rsidR="00B34802" w:rsidRPr="00DD1DFA">
        <w:rPr>
          <w:noProof/>
        </w:rPr>
        <w:t>aumownej, nawet jeśli nie dopuścił się zaniedbania</w:t>
      </w:r>
      <w:r w:rsidR="00DD1DFA" w:rsidRPr="00DD1DFA">
        <w:rPr>
          <w:noProof/>
        </w:rPr>
        <w:t>. W</w:t>
      </w:r>
      <w:r w:rsidR="00DD1DFA">
        <w:rPr>
          <w:noProof/>
        </w:rPr>
        <w:t> </w:t>
      </w:r>
      <w:r w:rsidR="00DD1DFA" w:rsidRPr="00DD1DFA">
        <w:rPr>
          <w:noProof/>
        </w:rPr>
        <w:t>prz</w:t>
      </w:r>
      <w:r w:rsidR="00B34802" w:rsidRPr="00DD1DFA">
        <w:rPr>
          <w:noProof/>
        </w:rPr>
        <w:t>ypadku niezgodności lub braku deklaracji zgodności wyrób może nie zostać udostępniony na rynku</w:t>
      </w:r>
      <w:r w:rsidR="00DD1DFA" w:rsidRPr="00DD1DFA">
        <w:rPr>
          <w:noProof/>
        </w:rPr>
        <w:t>. O</w:t>
      </w:r>
      <w:r w:rsidR="00DD1DFA">
        <w:rPr>
          <w:noProof/>
        </w:rPr>
        <w:t> </w:t>
      </w:r>
      <w:r w:rsidR="00DD1DFA" w:rsidRPr="00DD1DFA">
        <w:rPr>
          <w:noProof/>
        </w:rPr>
        <w:t>ile</w:t>
      </w:r>
      <w:r w:rsidR="00B34802" w:rsidRPr="00DD1DFA">
        <w:rPr>
          <w:noProof/>
        </w:rPr>
        <w:t xml:space="preserve"> brak obiektywnych wskazań, że jest inaczej, państwa członkowskie przyjmują, że deklaracja zgodności sporządzona przez producenta jest dokładna</w:t>
      </w:r>
      <w:r w:rsidR="00DD1DFA" w:rsidRPr="00DD1DFA">
        <w:rPr>
          <w:noProof/>
        </w:rPr>
        <w:t xml:space="preserve"> i</w:t>
      </w:r>
      <w:r w:rsidR="00DD1DFA">
        <w:rPr>
          <w:noProof/>
        </w:rPr>
        <w:t> </w:t>
      </w:r>
      <w:r w:rsidR="00DD1DFA" w:rsidRPr="00DD1DFA">
        <w:rPr>
          <w:noProof/>
        </w:rPr>
        <w:t>wia</w:t>
      </w:r>
      <w:r w:rsidR="00B34802" w:rsidRPr="00DD1DFA">
        <w:rPr>
          <w:noProof/>
        </w:rPr>
        <w:t>rygodna.</w:t>
      </w:r>
    </w:p>
    <w:p w14:paraId="1A879FD4" w14:textId="77777777" w:rsidR="00BC1E12" w:rsidRPr="00DD1DFA" w:rsidRDefault="00BC1E12" w:rsidP="0033198B">
      <w:pPr>
        <w:pStyle w:val="Titrearticle"/>
        <w:rPr>
          <w:noProof/>
        </w:rPr>
      </w:pPr>
      <w:r w:rsidRPr="00DD1DFA">
        <w:rPr>
          <w:noProof/>
        </w:rPr>
        <w:t>Artykuł 14</w:t>
      </w:r>
    </w:p>
    <w:p w14:paraId="600B539E" w14:textId="77777777" w:rsidR="00BC1E12" w:rsidRPr="00DD1DFA" w:rsidRDefault="00BC1E12" w:rsidP="0033198B">
      <w:pPr>
        <w:pStyle w:val="Titrearticle"/>
        <w:rPr>
          <w:b/>
          <w:bCs/>
          <w:noProof/>
        </w:rPr>
      </w:pPr>
      <w:r w:rsidRPr="00DD1DFA">
        <w:rPr>
          <w:b/>
          <w:bCs/>
          <w:noProof/>
        </w:rPr>
        <w:t>Zawartość deklaracji zgodności</w:t>
      </w:r>
    </w:p>
    <w:p w14:paraId="2D93B8CE" w14:textId="7DD96637" w:rsidR="00A92DE2" w:rsidRPr="00DD1DFA" w:rsidRDefault="005F7EFA" w:rsidP="005F7EFA">
      <w:pPr>
        <w:pStyle w:val="ManualNumPar1"/>
        <w:rPr>
          <w:rFonts w:eastAsia="Times New Roman"/>
          <w:noProof/>
        </w:rPr>
      </w:pPr>
      <w:r w:rsidRPr="005F7EFA">
        <w:t>1.</w:t>
      </w:r>
      <w:r w:rsidRPr="005F7EFA">
        <w:tab/>
      </w:r>
      <w:r w:rsidR="00A92DE2" w:rsidRPr="00DD1DFA">
        <w:rPr>
          <w:noProof/>
        </w:rPr>
        <w:t>Deklaracja zgodności wyraża zgodność wyrobu</w:t>
      </w:r>
      <w:r w:rsidR="00DD1DFA" w:rsidRPr="00DD1DFA">
        <w:rPr>
          <w:noProof/>
        </w:rPr>
        <w:t xml:space="preserve"> z</w:t>
      </w:r>
      <w:r w:rsidR="00DD1DFA">
        <w:rPr>
          <w:noProof/>
        </w:rPr>
        <w:t> </w:t>
      </w:r>
      <w:r w:rsidR="00DD1DFA" w:rsidRPr="00DD1DFA">
        <w:rPr>
          <w:noProof/>
        </w:rPr>
        <w:t>wym</w:t>
      </w:r>
      <w:r w:rsidR="00A92DE2" w:rsidRPr="00DD1DFA">
        <w:rPr>
          <w:noProof/>
        </w:rPr>
        <w:t>ogami dotyczącymi wyrobów,</w:t>
      </w:r>
      <w:r w:rsidR="00DD1DFA" w:rsidRPr="00DD1DFA">
        <w:rPr>
          <w:noProof/>
        </w:rPr>
        <w:t xml:space="preserve"> o</w:t>
      </w:r>
      <w:r w:rsidR="00DD1DFA">
        <w:rPr>
          <w:noProof/>
        </w:rPr>
        <w:t> </w:t>
      </w:r>
      <w:r w:rsidR="00DD1DFA" w:rsidRPr="00DD1DFA">
        <w:rPr>
          <w:noProof/>
        </w:rPr>
        <w:t>któ</w:t>
      </w:r>
      <w:r w:rsidR="00A92DE2" w:rsidRPr="00DD1DFA">
        <w:rPr>
          <w:noProof/>
        </w:rPr>
        <w:t>rych to wymogach jest mowa</w:t>
      </w:r>
      <w:r w:rsidR="00DD1DFA" w:rsidRPr="00DD1DFA">
        <w:rPr>
          <w:noProof/>
        </w:rPr>
        <w:t xml:space="preserve"> w</w:t>
      </w:r>
      <w:r w:rsidR="00DD1DFA">
        <w:rPr>
          <w:noProof/>
        </w:rPr>
        <w:t> </w:t>
      </w:r>
      <w:r w:rsidR="00DD1DFA" w:rsidRPr="00DD1DFA">
        <w:rPr>
          <w:noProof/>
        </w:rPr>
        <w:t>art</w:t>
      </w:r>
      <w:r w:rsidR="00A92DE2" w:rsidRPr="00DD1DFA">
        <w:rPr>
          <w:noProof/>
        </w:rPr>
        <w:t>.</w:t>
      </w:r>
      <w:r w:rsidR="00DD1DFA" w:rsidRPr="00DD1DFA">
        <w:rPr>
          <w:noProof/>
        </w:rPr>
        <w:t> </w:t>
      </w:r>
      <w:r w:rsidR="00A92DE2" w:rsidRPr="00DD1DFA">
        <w:rPr>
          <w:noProof/>
        </w:rPr>
        <w:t>5 ust.</w:t>
      </w:r>
      <w:r w:rsidR="00DD1DFA" w:rsidRPr="00DD1DFA">
        <w:rPr>
          <w:noProof/>
        </w:rPr>
        <w:t> </w:t>
      </w:r>
      <w:r w:rsidR="00A92DE2" w:rsidRPr="00DD1DFA">
        <w:rPr>
          <w:noProof/>
        </w:rPr>
        <w:t>1</w:t>
      </w:r>
      <w:r w:rsidR="00DD1DFA" w:rsidRPr="00DD1DFA">
        <w:rPr>
          <w:noProof/>
        </w:rPr>
        <w:t xml:space="preserve"> i</w:t>
      </w:r>
      <w:r w:rsidR="00DD1DFA">
        <w:rPr>
          <w:noProof/>
        </w:rPr>
        <w:t> </w:t>
      </w:r>
      <w:r w:rsidR="00DD1DFA" w:rsidRPr="00DD1DFA">
        <w:rPr>
          <w:noProof/>
        </w:rPr>
        <w:t>2</w:t>
      </w:r>
      <w:r w:rsidR="00A92DE2" w:rsidRPr="00DD1DFA">
        <w:rPr>
          <w:noProof/>
        </w:rPr>
        <w:t>.</w:t>
      </w:r>
    </w:p>
    <w:p w14:paraId="1725799A" w14:textId="788E1570" w:rsidR="00A92DE2" w:rsidRPr="00DD1DFA" w:rsidRDefault="005F7EFA" w:rsidP="005F7EFA">
      <w:pPr>
        <w:pStyle w:val="ManualNumPar1"/>
        <w:rPr>
          <w:rFonts w:eastAsia="Times New Roman"/>
          <w:noProof/>
        </w:rPr>
      </w:pPr>
      <w:r w:rsidRPr="005F7EFA">
        <w:t>2.</w:t>
      </w:r>
      <w:r w:rsidRPr="005F7EFA">
        <w:tab/>
      </w:r>
      <w:r w:rsidR="00A92DE2" w:rsidRPr="00DD1DFA">
        <w:rPr>
          <w:noProof/>
        </w:rPr>
        <w:t>Producent łączy deklarację zgodności</w:t>
      </w:r>
      <w:r w:rsidR="00DD1DFA" w:rsidRPr="00DD1DFA">
        <w:rPr>
          <w:noProof/>
        </w:rPr>
        <w:t xml:space="preserve"> z</w:t>
      </w:r>
      <w:r w:rsidR="00DD1DFA">
        <w:rPr>
          <w:noProof/>
        </w:rPr>
        <w:t> </w:t>
      </w:r>
      <w:r w:rsidR="00DD1DFA" w:rsidRPr="00DD1DFA">
        <w:rPr>
          <w:noProof/>
        </w:rPr>
        <w:t>dek</w:t>
      </w:r>
      <w:r w:rsidR="00A92DE2" w:rsidRPr="00DD1DFA">
        <w:rPr>
          <w:noProof/>
        </w:rPr>
        <w:t>laracją właściwości użytkowych</w:t>
      </w:r>
      <w:r w:rsidR="00DD1DFA" w:rsidRPr="00DD1DFA">
        <w:rPr>
          <w:noProof/>
        </w:rPr>
        <w:t xml:space="preserve"> w</w:t>
      </w:r>
      <w:r w:rsidR="00DD1DFA">
        <w:rPr>
          <w:noProof/>
        </w:rPr>
        <w:t> </w:t>
      </w:r>
      <w:r w:rsidR="00DD1DFA" w:rsidRPr="00DD1DFA">
        <w:rPr>
          <w:noProof/>
        </w:rPr>
        <w:t>jed</w:t>
      </w:r>
      <w:r w:rsidR="00A92DE2" w:rsidRPr="00DD1DFA">
        <w:rPr>
          <w:noProof/>
        </w:rPr>
        <w:t>ną deklarację, którą należy opatrzyć napisem „deklaracja właściwości użytkowych</w:t>
      </w:r>
      <w:r w:rsidR="00DD1DFA" w:rsidRPr="00DD1DFA">
        <w:rPr>
          <w:noProof/>
        </w:rPr>
        <w:t xml:space="preserve"> i</w:t>
      </w:r>
      <w:r w:rsidR="00DD1DFA">
        <w:rPr>
          <w:noProof/>
        </w:rPr>
        <w:t> </w:t>
      </w:r>
      <w:r w:rsidR="00DD1DFA" w:rsidRPr="00DD1DFA">
        <w:rPr>
          <w:noProof/>
        </w:rPr>
        <w:t>zgo</w:t>
      </w:r>
      <w:r w:rsidR="00A92DE2" w:rsidRPr="00DD1DFA">
        <w:rPr>
          <w:noProof/>
        </w:rPr>
        <w:t>dności”, jak określono</w:t>
      </w:r>
      <w:r w:rsidR="00DD1DFA" w:rsidRPr="00DD1DFA">
        <w:rPr>
          <w:noProof/>
        </w:rPr>
        <w:t xml:space="preserve"> w</w:t>
      </w:r>
      <w:r w:rsidR="00DD1DFA">
        <w:rPr>
          <w:noProof/>
        </w:rPr>
        <w:t> </w:t>
      </w:r>
      <w:r w:rsidR="00DD1DFA" w:rsidRPr="00DD1DFA">
        <w:rPr>
          <w:noProof/>
        </w:rPr>
        <w:t>zał</w:t>
      </w:r>
      <w:r w:rsidR="00A92DE2" w:rsidRPr="00DD1DFA">
        <w:rPr>
          <w:noProof/>
        </w:rPr>
        <w:t>ączniku II.</w:t>
      </w:r>
    </w:p>
    <w:p w14:paraId="13B6B65B" w14:textId="1B507465" w:rsidR="00A92DE2" w:rsidRPr="00DD1DFA" w:rsidRDefault="005F7EFA" w:rsidP="005F7EFA">
      <w:pPr>
        <w:pStyle w:val="ManualNumPar1"/>
        <w:rPr>
          <w:rFonts w:eastAsia="Times New Roman"/>
          <w:noProof/>
        </w:rPr>
      </w:pPr>
      <w:r w:rsidRPr="005F7EFA">
        <w:t>3.</w:t>
      </w:r>
      <w:r w:rsidRPr="005F7EFA">
        <w:tab/>
      </w:r>
      <w:r w:rsidR="00A92DE2" w:rsidRPr="00DD1DFA">
        <w:rPr>
          <w:noProof/>
        </w:rPr>
        <w:t>W odniesieniu do deklaracji zgodności stosuje się art.</w:t>
      </w:r>
      <w:r w:rsidR="00DD1DFA" w:rsidRPr="00DD1DFA">
        <w:rPr>
          <w:noProof/>
        </w:rPr>
        <w:t> </w:t>
      </w:r>
      <w:r w:rsidR="00A92DE2" w:rsidRPr="00DD1DFA">
        <w:rPr>
          <w:noProof/>
        </w:rPr>
        <w:t>11 ust.</w:t>
      </w:r>
      <w:r w:rsidR="00DD1DFA" w:rsidRPr="00DD1DFA">
        <w:rPr>
          <w:noProof/>
        </w:rPr>
        <w:t> </w:t>
      </w:r>
      <w:r w:rsidR="00A92DE2" w:rsidRPr="00DD1DFA">
        <w:rPr>
          <w:noProof/>
        </w:rPr>
        <w:t>2–4</w:t>
      </w:r>
      <w:r w:rsidR="00DD1DFA" w:rsidRPr="00DD1DFA">
        <w:rPr>
          <w:noProof/>
        </w:rPr>
        <w:t xml:space="preserve"> i</w:t>
      </w:r>
      <w:r w:rsidR="00DD1DFA">
        <w:rPr>
          <w:noProof/>
        </w:rPr>
        <w:t> </w:t>
      </w:r>
      <w:r w:rsidR="00DD1DFA" w:rsidRPr="00DD1DFA">
        <w:rPr>
          <w:noProof/>
        </w:rPr>
        <w:t>art</w:t>
      </w:r>
      <w:r w:rsidR="00A92DE2" w:rsidRPr="00DD1DFA">
        <w:rPr>
          <w:noProof/>
        </w:rPr>
        <w:t>.</w:t>
      </w:r>
      <w:r w:rsidR="00DD1DFA" w:rsidRPr="00DD1DFA">
        <w:rPr>
          <w:noProof/>
        </w:rPr>
        <w:t> </w:t>
      </w:r>
      <w:r w:rsidR="00A92DE2" w:rsidRPr="00DD1DFA">
        <w:rPr>
          <w:noProof/>
        </w:rPr>
        <w:t>12.</w:t>
      </w:r>
    </w:p>
    <w:p w14:paraId="637E7761" w14:textId="7F5FDA8E" w:rsidR="00BC1E12" w:rsidRPr="00DD1DFA" w:rsidRDefault="005F7EFA" w:rsidP="005F7EFA">
      <w:pPr>
        <w:pStyle w:val="ManualNumPar1"/>
        <w:rPr>
          <w:rFonts w:ascii="Calibri" w:eastAsia="Calibri" w:hAnsi="Calibri" w:cs="DejaVu Sans"/>
          <w:noProof/>
          <w:color w:val="00000A"/>
          <w:sz w:val="22"/>
        </w:rPr>
      </w:pPr>
      <w:r w:rsidRPr="005F7EFA">
        <w:t>4.</w:t>
      </w:r>
      <w:r w:rsidRPr="005F7EFA">
        <w:tab/>
      </w:r>
      <w:r w:rsidR="00A92DE2" w:rsidRPr="00DD1DFA">
        <w:rPr>
          <w:noProof/>
        </w:rPr>
        <w:t>Producent wypełnia zobowiązania wynikające</w:t>
      </w:r>
      <w:r w:rsidR="00DD1DFA" w:rsidRPr="00DD1DFA">
        <w:rPr>
          <w:noProof/>
        </w:rPr>
        <w:t xml:space="preserve"> z</w:t>
      </w:r>
      <w:r w:rsidR="00DD1DFA">
        <w:rPr>
          <w:noProof/>
        </w:rPr>
        <w:t> </w:t>
      </w:r>
      <w:r w:rsidR="00DD1DFA" w:rsidRPr="00DD1DFA">
        <w:rPr>
          <w:noProof/>
        </w:rPr>
        <w:t>nin</w:t>
      </w:r>
      <w:r w:rsidR="00A92DE2" w:rsidRPr="00DD1DFA">
        <w:rPr>
          <w:noProof/>
        </w:rPr>
        <w:t>iejszego artykułu, począwszy od pierwszego przeglądu deklaracji właściwości użytkowych przeprowadzonej przez producenta po dacie rozpoczęcia stosowania zharmonizowanej specyfikacji technicznej dla odpowiedniej rodziny lub kategorii wyrobów, lecz nie później niż</w:t>
      </w:r>
      <w:r w:rsidR="00DD1DFA" w:rsidRPr="00DD1DFA">
        <w:rPr>
          <w:noProof/>
        </w:rPr>
        <w:t xml:space="preserve"> w</w:t>
      </w:r>
      <w:r w:rsidR="00DD1DFA">
        <w:rPr>
          <w:noProof/>
        </w:rPr>
        <w:t> </w:t>
      </w:r>
      <w:r w:rsidR="00DD1DFA" w:rsidRPr="00DD1DFA">
        <w:rPr>
          <w:noProof/>
        </w:rPr>
        <w:t>ter</w:t>
      </w:r>
      <w:r w:rsidR="00A92DE2" w:rsidRPr="00DD1DFA">
        <w:rPr>
          <w:noProof/>
        </w:rPr>
        <w:t>minie trzech lat od tej daty.</w:t>
      </w:r>
    </w:p>
    <w:p w14:paraId="05B6B888" w14:textId="77777777" w:rsidR="00BC1E12" w:rsidRPr="00DD1DFA" w:rsidRDefault="00BC1E12" w:rsidP="0033198B">
      <w:pPr>
        <w:pStyle w:val="Titrearticle"/>
        <w:rPr>
          <w:noProof/>
        </w:rPr>
      </w:pPr>
      <w:r w:rsidRPr="00DD1DFA">
        <w:rPr>
          <w:noProof/>
        </w:rPr>
        <w:t>Artykuł 15</w:t>
      </w:r>
    </w:p>
    <w:p w14:paraId="4DD1E949" w14:textId="35DF7221" w:rsidR="00BC1E12" w:rsidRPr="00DD1DFA" w:rsidRDefault="00BC1E12" w:rsidP="0033198B">
      <w:pPr>
        <w:pStyle w:val="Titrearticle"/>
        <w:rPr>
          <w:rFonts w:ascii="Calibri" w:eastAsia="Calibri" w:hAnsi="Calibri" w:cs="DejaVu Sans"/>
          <w:noProof/>
          <w:color w:val="00000A"/>
          <w:sz w:val="22"/>
        </w:rPr>
      </w:pPr>
      <w:r w:rsidRPr="00DD1DFA">
        <w:rPr>
          <w:b/>
          <w:bCs/>
          <w:noProof/>
        </w:rPr>
        <w:t>Dostarczanie deklaracji właściwości użytkowych</w:t>
      </w:r>
      <w:r w:rsidR="00DD1DFA" w:rsidRPr="00DD1DFA">
        <w:rPr>
          <w:b/>
          <w:bCs/>
          <w:noProof/>
        </w:rPr>
        <w:t xml:space="preserve"> i</w:t>
      </w:r>
      <w:r w:rsidR="00DD1DFA">
        <w:rPr>
          <w:b/>
          <w:bCs/>
          <w:noProof/>
        </w:rPr>
        <w:t> </w:t>
      </w:r>
      <w:r w:rsidR="00DD1DFA" w:rsidRPr="00DD1DFA">
        <w:rPr>
          <w:b/>
          <w:bCs/>
          <w:noProof/>
        </w:rPr>
        <w:t>dek</w:t>
      </w:r>
      <w:r w:rsidRPr="00DD1DFA">
        <w:rPr>
          <w:b/>
          <w:bCs/>
          <w:noProof/>
        </w:rPr>
        <w:t>laracji zgodności</w:t>
      </w:r>
    </w:p>
    <w:p w14:paraId="08EF71FC" w14:textId="09D65AA3" w:rsidR="00A92DE2" w:rsidRPr="00DD1DFA" w:rsidRDefault="005F7EFA" w:rsidP="005F7EFA">
      <w:pPr>
        <w:pStyle w:val="ManualNumPar1"/>
        <w:rPr>
          <w:rFonts w:ascii="Calibri" w:hAnsi="Calibri"/>
          <w:noProof/>
          <w:color w:val="00000A"/>
          <w:sz w:val="22"/>
        </w:rPr>
      </w:pPr>
      <w:r w:rsidRPr="005F7EFA">
        <w:t>1.</w:t>
      </w:r>
      <w:r w:rsidRPr="005F7EFA">
        <w:tab/>
      </w:r>
      <w:r w:rsidR="00A92DE2" w:rsidRPr="00DD1DFA">
        <w:rPr>
          <w:noProof/>
        </w:rPr>
        <w:t>Producent przesyła drogą elektroniczną kopię deklaracji właściwości użytkowych</w:t>
      </w:r>
      <w:r w:rsidR="00DD1DFA" w:rsidRPr="00DD1DFA">
        <w:rPr>
          <w:noProof/>
        </w:rPr>
        <w:t xml:space="preserve"> i</w:t>
      </w:r>
      <w:r w:rsidR="00DD1DFA">
        <w:rPr>
          <w:noProof/>
        </w:rPr>
        <w:t> </w:t>
      </w:r>
      <w:r w:rsidR="00DD1DFA" w:rsidRPr="00DD1DFA">
        <w:rPr>
          <w:noProof/>
        </w:rPr>
        <w:t>dek</w:t>
      </w:r>
      <w:r w:rsidR="00A92DE2" w:rsidRPr="00DD1DFA">
        <w:rPr>
          <w:noProof/>
        </w:rPr>
        <w:t>laracji zgodności każdego wyrobu udostępnianego na rynku.</w:t>
      </w:r>
    </w:p>
    <w:p w14:paraId="64F48991" w14:textId="4DD6B880" w:rsidR="00A92DE2" w:rsidRPr="00DD1DFA" w:rsidRDefault="00A92DE2" w:rsidP="00A92DE2">
      <w:pPr>
        <w:pStyle w:val="Text1"/>
        <w:rPr>
          <w:noProof/>
        </w:rPr>
      </w:pPr>
      <w:r w:rsidRPr="00DD1DFA">
        <w:rPr>
          <w:noProof/>
        </w:rPr>
        <w:t>Jednak</w:t>
      </w:r>
      <w:r w:rsidR="00DD1DFA" w:rsidRPr="00DD1DFA">
        <w:rPr>
          <w:noProof/>
        </w:rPr>
        <w:t xml:space="preserve"> w</w:t>
      </w:r>
      <w:r w:rsidR="00DD1DFA">
        <w:rPr>
          <w:noProof/>
        </w:rPr>
        <w:t> </w:t>
      </w:r>
      <w:r w:rsidR="00DD1DFA" w:rsidRPr="00DD1DFA">
        <w:rPr>
          <w:noProof/>
        </w:rPr>
        <w:t>prz</w:t>
      </w:r>
      <w:r w:rsidRPr="00DD1DFA">
        <w:rPr>
          <w:noProof/>
        </w:rPr>
        <w:t>ypadku gdy partia tego samego wyrobu jest dostarczana jednemu użytkownikowi, może jej towarzyszyć jedna kopia deklaracji.</w:t>
      </w:r>
    </w:p>
    <w:p w14:paraId="144E6249" w14:textId="6381E90C" w:rsidR="00A92DE2" w:rsidRPr="00DD1DFA" w:rsidRDefault="005F7EFA" w:rsidP="005F7EFA">
      <w:pPr>
        <w:pStyle w:val="ManualNumPar1"/>
        <w:rPr>
          <w:rFonts w:eastAsia="Calibri"/>
          <w:noProof/>
          <w:szCs w:val="24"/>
        </w:rPr>
      </w:pPr>
      <w:r w:rsidRPr="005F7EFA">
        <w:t>2.</w:t>
      </w:r>
      <w:r w:rsidRPr="005F7EFA">
        <w:tab/>
      </w:r>
      <w:r w:rsidR="00A92DE2" w:rsidRPr="00DD1DFA">
        <w:rPr>
          <w:noProof/>
        </w:rPr>
        <w:t>Jeżeli deklaracja jest przesłana drogą elektroniczną, producent wydaje ją</w:t>
      </w:r>
      <w:r w:rsidR="00DD1DFA" w:rsidRPr="00DD1DFA">
        <w:rPr>
          <w:noProof/>
        </w:rPr>
        <w:t xml:space="preserve"> w</w:t>
      </w:r>
      <w:r w:rsidR="00DD1DFA">
        <w:rPr>
          <w:noProof/>
        </w:rPr>
        <w:t> </w:t>
      </w:r>
      <w:r w:rsidR="00DD1DFA" w:rsidRPr="00DD1DFA">
        <w:rPr>
          <w:noProof/>
        </w:rPr>
        <w:t>for</w:t>
      </w:r>
      <w:r w:rsidR="00A92DE2" w:rsidRPr="00DD1DFA">
        <w:rPr>
          <w:noProof/>
        </w:rPr>
        <w:t>macie elektronicznym, czytelnym dla człowieka, ale niepodlegającym modyfikacji. Ewentualnie producent może użyć odnośnika bezpośredniego, pod warunkiem, że odnośnik bezpośredni</w:t>
      </w:r>
      <w:r w:rsidR="00DD1DFA" w:rsidRPr="00DD1DFA">
        <w:rPr>
          <w:noProof/>
        </w:rPr>
        <w:t xml:space="preserve"> i</w:t>
      </w:r>
      <w:r w:rsidR="00DD1DFA">
        <w:rPr>
          <w:noProof/>
        </w:rPr>
        <w:t> </w:t>
      </w:r>
      <w:r w:rsidR="00DD1DFA" w:rsidRPr="00DD1DFA">
        <w:rPr>
          <w:noProof/>
        </w:rPr>
        <w:t>dok</w:t>
      </w:r>
      <w:r w:rsidR="00A92DE2" w:rsidRPr="00DD1DFA">
        <w:rPr>
          <w:noProof/>
        </w:rPr>
        <w:t xml:space="preserve">ument dostępny za pośrednictwem odnośnika bezpośredniego nie podlegają modyfikacji. </w:t>
      </w:r>
      <w:r w:rsidR="00A92DE2" w:rsidRPr="00DD1DFA">
        <w:rPr>
          <w:noProof/>
          <w:szCs w:val="24"/>
          <w:shd w:val="clear" w:color="auto" w:fill="FFFFFF"/>
        </w:rPr>
        <w:t>Rozporządzenie delegowane Komisji (UE) nr</w:t>
      </w:r>
      <w:r w:rsidR="00DD1DFA" w:rsidRPr="00DD1DFA">
        <w:rPr>
          <w:noProof/>
          <w:szCs w:val="24"/>
          <w:shd w:val="clear" w:color="auto" w:fill="FFFFFF"/>
        </w:rPr>
        <w:t> </w:t>
      </w:r>
      <w:r w:rsidR="00A92DE2" w:rsidRPr="00DD1DFA">
        <w:rPr>
          <w:noProof/>
          <w:szCs w:val="24"/>
          <w:shd w:val="clear" w:color="auto" w:fill="FFFFFF"/>
        </w:rPr>
        <w:t>157/2014</w:t>
      </w:r>
      <w:r w:rsidR="00A92DE2" w:rsidRPr="00DD1DFA">
        <w:rPr>
          <w:rStyle w:val="Odwoanieprzypisudolnego"/>
          <w:noProof/>
        </w:rPr>
        <w:footnoteReference w:id="46"/>
      </w:r>
      <w:r w:rsidR="00A92DE2" w:rsidRPr="00DD1DFA">
        <w:rPr>
          <w:noProof/>
          <w:szCs w:val="24"/>
          <w:shd w:val="clear" w:color="auto" w:fill="FFFFFF"/>
        </w:rPr>
        <w:t xml:space="preserve"> stosuje się na mocy niniejszego rozporządzenia</w:t>
      </w:r>
      <w:r w:rsidR="00A92DE2" w:rsidRPr="00DD1DFA">
        <w:rPr>
          <w:noProof/>
        </w:rPr>
        <w:t xml:space="preserve">. </w:t>
      </w:r>
    </w:p>
    <w:p w14:paraId="1E1D3F7F" w14:textId="7F4F0EE2" w:rsidR="00A92DE2" w:rsidRPr="00DD1DFA" w:rsidRDefault="00A92DE2" w:rsidP="00A92DE2">
      <w:pPr>
        <w:pStyle w:val="Text1"/>
        <w:rPr>
          <w:noProof/>
        </w:rPr>
      </w:pPr>
      <w:r w:rsidRPr="00DD1DFA">
        <w:rPr>
          <w:noProof/>
        </w:rPr>
        <w:t>Producent dostarcza kopię deklaracji</w:t>
      </w:r>
      <w:r w:rsidR="00DD1DFA" w:rsidRPr="00DD1DFA">
        <w:rPr>
          <w:noProof/>
        </w:rPr>
        <w:t xml:space="preserve"> w</w:t>
      </w:r>
      <w:r w:rsidR="00DD1DFA">
        <w:rPr>
          <w:noProof/>
        </w:rPr>
        <w:t> </w:t>
      </w:r>
      <w:r w:rsidR="00DD1DFA" w:rsidRPr="00DD1DFA">
        <w:rPr>
          <w:noProof/>
        </w:rPr>
        <w:t>for</w:t>
      </w:r>
      <w:r w:rsidRPr="00DD1DFA">
        <w:rPr>
          <w:noProof/>
        </w:rPr>
        <w:t>mie papierowej na żądanie odbiorcy.</w:t>
      </w:r>
    </w:p>
    <w:p w14:paraId="6319AEB8" w14:textId="3758C4C7" w:rsidR="00A92DE2" w:rsidRPr="00DD1DFA" w:rsidRDefault="005F7EFA" w:rsidP="005F7EFA">
      <w:pPr>
        <w:pStyle w:val="ManualNumPar1"/>
        <w:rPr>
          <w:rFonts w:eastAsia="Times New Roman"/>
          <w:noProof/>
          <w:szCs w:val="24"/>
        </w:rPr>
      </w:pPr>
      <w:r w:rsidRPr="005F7EFA">
        <w:t>3.</w:t>
      </w:r>
      <w:r w:rsidRPr="005F7EFA">
        <w:tab/>
      </w:r>
      <w:r w:rsidR="00A92DE2" w:rsidRPr="00DD1DFA">
        <w:rPr>
          <w:noProof/>
        </w:rPr>
        <w:t>Deklaracje mogą zawierać odnośniki bezpośrednie do niepodlegających modyfikacji deklaracji środowiskowych wyrobów lub innych niepodlegających modyfikacji dokumentów zawierających wymagane informacje, jeśli dokumenty te są zgodne</w:t>
      </w:r>
      <w:r w:rsidR="00DD1DFA" w:rsidRPr="00DD1DFA">
        <w:rPr>
          <w:noProof/>
        </w:rPr>
        <w:t xml:space="preserve"> z</w:t>
      </w:r>
      <w:r w:rsidR="00DD1DFA">
        <w:rPr>
          <w:noProof/>
        </w:rPr>
        <w:t> </w:t>
      </w:r>
      <w:r w:rsidR="00DD1DFA" w:rsidRPr="00DD1DFA">
        <w:rPr>
          <w:noProof/>
        </w:rPr>
        <w:t>kol</w:t>
      </w:r>
      <w:r w:rsidR="00A92DE2" w:rsidRPr="00DD1DFA">
        <w:rPr>
          <w:noProof/>
        </w:rPr>
        <w:t>ejnością</w:t>
      </w:r>
      <w:r w:rsidR="00DD1DFA" w:rsidRPr="00DD1DFA">
        <w:rPr>
          <w:noProof/>
        </w:rPr>
        <w:t xml:space="preserve"> i</w:t>
      </w:r>
      <w:r w:rsidR="00DD1DFA">
        <w:rPr>
          <w:noProof/>
        </w:rPr>
        <w:t> </w:t>
      </w:r>
      <w:r w:rsidR="00DD1DFA" w:rsidRPr="00DD1DFA">
        <w:rPr>
          <w:noProof/>
        </w:rPr>
        <w:t>str</w:t>
      </w:r>
      <w:r w:rsidR="00A92DE2" w:rsidRPr="00DD1DFA">
        <w:rPr>
          <w:noProof/>
        </w:rPr>
        <w:t>ukturą deklaracji lub jeśli tabela korelacji łącząca kolejność deklaracji</w:t>
      </w:r>
      <w:r w:rsidR="00DD1DFA" w:rsidRPr="00DD1DFA">
        <w:rPr>
          <w:noProof/>
        </w:rPr>
        <w:t xml:space="preserve"> z</w:t>
      </w:r>
      <w:r w:rsidR="00DD1DFA">
        <w:rPr>
          <w:noProof/>
        </w:rPr>
        <w:t> </w:t>
      </w:r>
      <w:r w:rsidR="00DD1DFA" w:rsidRPr="00DD1DFA">
        <w:rPr>
          <w:noProof/>
        </w:rPr>
        <w:t>kol</w:t>
      </w:r>
      <w:r w:rsidR="00A92DE2" w:rsidRPr="00DD1DFA">
        <w:rPr>
          <w:noProof/>
        </w:rPr>
        <w:t>ejnością tych dokumentów została dostarczona wraz</w:t>
      </w:r>
      <w:r w:rsidR="00DD1DFA" w:rsidRPr="00DD1DFA">
        <w:rPr>
          <w:noProof/>
        </w:rPr>
        <w:t xml:space="preserve"> z</w:t>
      </w:r>
      <w:r w:rsidR="00DD1DFA">
        <w:rPr>
          <w:noProof/>
        </w:rPr>
        <w:t> </w:t>
      </w:r>
      <w:r w:rsidR="00DD1DFA" w:rsidRPr="00DD1DFA">
        <w:rPr>
          <w:noProof/>
        </w:rPr>
        <w:t>odn</w:t>
      </w:r>
      <w:r w:rsidR="00A92DE2" w:rsidRPr="00DD1DFA">
        <w:rPr>
          <w:noProof/>
        </w:rPr>
        <w:t>ośnikami bezpośrednimi.</w:t>
      </w:r>
    </w:p>
    <w:p w14:paraId="6B50C2E6" w14:textId="3CC39C87" w:rsidR="00A92DE2" w:rsidRPr="00DD1DFA" w:rsidRDefault="005F7EFA" w:rsidP="005F7EFA">
      <w:pPr>
        <w:pStyle w:val="ManualNumPar1"/>
        <w:rPr>
          <w:rFonts w:eastAsia="Times New Roman"/>
          <w:noProof/>
          <w:szCs w:val="24"/>
        </w:rPr>
      </w:pPr>
      <w:r w:rsidRPr="005F7EFA">
        <w:t>4.</w:t>
      </w:r>
      <w:r w:rsidRPr="005F7EFA">
        <w:tab/>
      </w:r>
      <w:r w:rsidR="00A92DE2" w:rsidRPr="00DD1DFA">
        <w:rPr>
          <w:noProof/>
        </w:rPr>
        <w:t>Producent dostarcza deklarację właściwości użytkowych</w:t>
      </w:r>
      <w:r w:rsidR="00DD1DFA" w:rsidRPr="00DD1DFA">
        <w:rPr>
          <w:noProof/>
        </w:rPr>
        <w:t xml:space="preserve"> i</w:t>
      </w:r>
      <w:r w:rsidR="00DD1DFA">
        <w:rPr>
          <w:noProof/>
        </w:rPr>
        <w:t> </w:t>
      </w:r>
      <w:r w:rsidR="00DD1DFA" w:rsidRPr="00DD1DFA">
        <w:rPr>
          <w:noProof/>
        </w:rPr>
        <w:t>dek</w:t>
      </w:r>
      <w:r w:rsidR="00A92DE2" w:rsidRPr="00DD1DFA">
        <w:rPr>
          <w:noProof/>
        </w:rPr>
        <w:t>larację zgodności</w:t>
      </w:r>
      <w:r w:rsidR="00DD1DFA" w:rsidRPr="00DD1DFA">
        <w:rPr>
          <w:noProof/>
        </w:rPr>
        <w:t xml:space="preserve"> w</w:t>
      </w:r>
      <w:r w:rsidR="00DD1DFA">
        <w:rPr>
          <w:noProof/>
        </w:rPr>
        <w:t> </w:t>
      </w:r>
      <w:r w:rsidR="00DD1DFA" w:rsidRPr="00DD1DFA">
        <w:rPr>
          <w:noProof/>
        </w:rPr>
        <w:t>jęz</w:t>
      </w:r>
      <w:r w:rsidR="00A92DE2" w:rsidRPr="00DD1DFA">
        <w:rPr>
          <w:noProof/>
        </w:rPr>
        <w:t>yku lub językach wymaganych przez państwa członkowskie,</w:t>
      </w:r>
      <w:r w:rsidR="00DD1DFA" w:rsidRPr="00DD1DFA">
        <w:rPr>
          <w:noProof/>
        </w:rPr>
        <w:t xml:space="preserve"> w</w:t>
      </w:r>
      <w:r w:rsidR="00DD1DFA">
        <w:rPr>
          <w:noProof/>
        </w:rPr>
        <w:t> </w:t>
      </w:r>
      <w:r w:rsidR="00DD1DFA" w:rsidRPr="00DD1DFA">
        <w:rPr>
          <w:noProof/>
        </w:rPr>
        <w:t>któ</w:t>
      </w:r>
      <w:r w:rsidR="00A92DE2" w:rsidRPr="00DD1DFA">
        <w:rPr>
          <w:noProof/>
        </w:rPr>
        <w:t>rych producent zamierza udostępnić wyrób. Inny podmiot gospodarczy udostępniający wyrób</w:t>
      </w:r>
      <w:r w:rsidR="00DD1DFA" w:rsidRPr="00DD1DFA">
        <w:rPr>
          <w:noProof/>
        </w:rPr>
        <w:t xml:space="preserve"> w</w:t>
      </w:r>
      <w:r w:rsidR="00DD1DFA">
        <w:rPr>
          <w:noProof/>
        </w:rPr>
        <w:t> </w:t>
      </w:r>
      <w:r w:rsidR="00DD1DFA" w:rsidRPr="00DD1DFA">
        <w:rPr>
          <w:noProof/>
        </w:rPr>
        <w:t>inn</w:t>
      </w:r>
      <w:r w:rsidR="00A92DE2" w:rsidRPr="00DD1DFA">
        <w:rPr>
          <w:noProof/>
        </w:rPr>
        <w:t>ym państwie członkowskim udostępnia tłumaczenie deklaracji właściwości użytkowych</w:t>
      </w:r>
      <w:r w:rsidR="00DD1DFA" w:rsidRPr="00DD1DFA">
        <w:rPr>
          <w:noProof/>
        </w:rPr>
        <w:t xml:space="preserve"> i</w:t>
      </w:r>
      <w:r w:rsidR="00DD1DFA">
        <w:rPr>
          <w:noProof/>
        </w:rPr>
        <w:t> </w:t>
      </w:r>
      <w:r w:rsidR="00DD1DFA" w:rsidRPr="00DD1DFA">
        <w:rPr>
          <w:noProof/>
        </w:rPr>
        <w:t>dek</w:t>
      </w:r>
      <w:r w:rsidR="00A92DE2" w:rsidRPr="00DD1DFA">
        <w:rPr>
          <w:noProof/>
        </w:rPr>
        <w:t>laracji zgodności na języki wymagane przez dane państwo członkowskie wraz</w:t>
      </w:r>
      <w:r w:rsidR="00DD1DFA" w:rsidRPr="00DD1DFA">
        <w:rPr>
          <w:noProof/>
        </w:rPr>
        <w:t xml:space="preserve"> z</w:t>
      </w:r>
      <w:r w:rsidR="00DD1DFA">
        <w:rPr>
          <w:noProof/>
        </w:rPr>
        <w:t> </w:t>
      </w:r>
      <w:r w:rsidR="00DD1DFA" w:rsidRPr="00DD1DFA">
        <w:rPr>
          <w:noProof/>
        </w:rPr>
        <w:t>ory</w:t>
      </w:r>
      <w:r w:rsidR="00A92DE2" w:rsidRPr="00DD1DFA">
        <w:rPr>
          <w:noProof/>
        </w:rPr>
        <w:t>ginałem oraz spełnia wymogi określone</w:t>
      </w:r>
      <w:r w:rsidR="00DD1DFA" w:rsidRPr="00DD1DFA">
        <w:rPr>
          <w:noProof/>
        </w:rPr>
        <w:t xml:space="preserve"> w</w:t>
      </w:r>
      <w:r w:rsidR="00DD1DFA">
        <w:rPr>
          <w:noProof/>
        </w:rPr>
        <w:t> </w:t>
      </w:r>
      <w:r w:rsidR="00DD1DFA" w:rsidRPr="00DD1DFA">
        <w:rPr>
          <w:noProof/>
        </w:rPr>
        <w:t>ust</w:t>
      </w:r>
      <w:r w:rsidR="00A92DE2" w:rsidRPr="00DD1DFA">
        <w:rPr>
          <w:noProof/>
        </w:rPr>
        <w:t>.</w:t>
      </w:r>
      <w:r w:rsidR="00DD1DFA" w:rsidRPr="00DD1DFA">
        <w:rPr>
          <w:noProof/>
        </w:rPr>
        <w:t> </w:t>
      </w:r>
      <w:r w:rsidR="00A92DE2" w:rsidRPr="00DD1DFA">
        <w:rPr>
          <w:noProof/>
        </w:rPr>
        <w:t>1</w:t>
      </w:r>
      <w:r w:rsidR="00DD1DFA" w:rsidRPr="00DD1DFA">
        <w:rPr>
          <w:noProof/>
        </w:rPr>
        <w:t xml:space="preserve"> i</w:t>
      </w:r>
      <w:r w:rsidR="00DD1DFA">
        <w:rPr>
          <w:noProof/>
        </w:rPr>
        <w:t> </w:t>
      </w:r>
      <w:r w:rsidR="00DD1DFA" w:rsidRPr="00DD1DFA">
        <w:rPr>
          <w:noProof/>
        </w:rPr>
        <w:t>2</w:t>
      </w:r>
      <w:r w:rsidR="00A92DE2" w:rsidRPr="00DD1DFA">
        <w:rPr>
          <w:noProof/>
        </w:rPr>
        <w:t>.</w:t>
      </w:r>
    </w:p>
    <w:p w14:paraId="1451EDA4" w14:textId="77777777" w:rsidR="00BC1E12" w:rsidRPr="00DD1DFA" w:rsidRDefault="00BC1E12" w:rsidP="0033198B">
      <w:pPr>
        <w:pStyle w:val="Titrearticle"/>
        <w:rPr>
          <w:noProof/>
        </w:rPr>
      </w:pPr>
      <w:r w:rsidRPr="00DD1DFA">
        <w:rPr>
          <w:noProof/>
        </w:rPr>
        <w:t>Artykuł 16</w:t>
      </w:r>
    </w:p>
    <w:p w14:paraId="26165843" w14:textId="4D6BC25A" w:rsidR="00BC1E12" w:rsidRPr="00DD1DFA" w:rsidRDefault="00373A11" w:rsidP="0033198B">
      <w:pPr>
        <w:pStyle w:val="Titrearticle"/>
        <w:rPr>
          <w:rFonts w:ascii="Calibri" w:eastAsia="Calibri" w:hAnsi="Calibri" w:cs="DejaVu Sans"/>
          <w:noProof/>
          <w:color w:val="00000A"/>
          <w:sz w:val="22"/>
        </w:rPr>
      </w:pPr>
      <w:r w:rsidRPr="00DD1DFA">
        <w:rPr>
          <w:b/>
          <w:bCs/>
          <w:noProof/>
        </w:rPr>
        <w:t>Zasady ogólne</w:t>
      </w:r>
      <w:r w:rsidR="00DD1DFA" w:rsidRPr="00DD1DFA">
        <w:rPr>
          <w:b/>
          <w:bCs/>
          <w:noProof/>
        </w:rPr>
        <w:t xml:space="preserve"> i</w:t>
      </w:r>
      <w:r w:rsidR="00DD1DFA">
        <w:rPr>
          <w:b/>
          <w:bCs/>
          <w:noProof/>
        </w:rPr>
        <w:t> </w:t>
      </w:r>
      <w:r w:rsidR="00DD1DFA" w:rsidRPr="00DD1DFA">
        <w:rPr>
          <w:b/>
          <w:bCs/>
          <w:noProof/>
        </w:rPr>
        <w:t>sto</w:t>
      </w:r>
      <w:r w:rsidRPr="00DD1DFA">
        <w:rPr>
          <w:b/>
          <w:bCs/>
          <w:noProof/>
        </w:rPr>
        <w:t>sowanie oznakowania CE</w:t>
      </w:r>
    </w:p>
    <w:p w14:paraId="4244D835" w14:textId="540AC8BB" w:rsidR="00373A11" w:rsidRPr="00DD1DFA" w:rsidRDefault="005F7EFA" w:rsidP="005F7EFA">
      <w:pPr>
        <w:pStyle w:val="ManualNumPar1"/>
        <w:rPr>
          <w:rFonts w:ascii="Calibri" w:hAnsi="Calibri"/>
          <w:noProof/>
          <w:color w:val="00000A"/>
          <w:sz w:val="22"/>
        </w:rPr>
      </w:pPr>
      <w:r w:rsidRPr="005F7EFA">
        <w:t>1.</w:t>
      </w:r>
      <w:r w:rsidRPr="005F7EFA">
        <w:tab/>
      </w:r>
      <w:r w:rsidR="00373A11" w:rsidRPr="00DD1DFA">
        <w:rPr>
          <w:noProof/>
        </w:rPr>
        <w:t>Oznakowanie CE podlega ogólnym zasadom określonym</w:t>
      </w:r>
      <w:r w:rsidR="00DD1DFA" w:rsidRPr="00DD1DFA">
        <w:rPr>
          <w:noProof/>
        </w:rPr>
        <w:t xml:space="preserve"> w</w:t>
      </w:r>
      <w:r w:rsidR="00DD1DFA">
        <w:rPr>
          <w:noProof/>
        </w:rPr>
        <w:t> </w:t>
      </w:r>
      <w:r w:rsidR="00DD1DFA" w:rsidRPr="00DD1DFA">
        <w:rPr>
          <w:noProof/>
        </w:rPr>
        <w:t>art</w:t>
      </w:r>
      <w:r w:rsidR="00373A11" w:rsidRPr="00DD1DFA">
        <w:rPr>
          <w:noProof/>
        </w:rPr>
        <w:t>.</w:t>
      </w:r>
      <w:r w:rsidR="00DD1DFA" w:rsidRPr="00DD1DFA">
        <w:rPr>
          <w:noProof/>
        </w:rPr>
        <w:t> </w:t>
      </w:r>
      <w:r w:rsidR="00373A11" w:rsidRPr="00DD1DFA">
        <w:rPr>
          <w:noProof/>
        </w:rPr>
        <w:t>30 rozporządzenia (WE) nr</w:t>
      </w:r>
      <w:r w:rsidR="00DD1DFA" w:rsidRPr="00DD1DFA">
        <w:rPr>
          <w:noProof/>
        </w:rPr>
        <w:t> </w:t>
      </w:r>
      <w:r w:rsidR="00373A11" w:rsidRPr="00DD1DFA">
        <w:rPr>
          <w:noProof/>
        </w:rPr>
        <w:t>765/2008.</w:t>
      </w:r>
    </w:p>
    <w:p w14:paraId="6627493C" w14:textId="29E1BC8A" w:rsidR="00373A11" w:rsidRPr="00DD1DFA" w:rsidRDefault="005F7EFA" w:rsidP="005F7EFA">
      <w:pPr>
        <w:pStyle w:val="ManualNumPar1"/>
        <w:rPr>
          <w:rFonts w:ascii="Calibri" w:hAnsi="Calibri"/>
          <w:noProof/>
          <w:color w:val="00000A"/>
          <w:sz w:val="22"/>
        </w:rPr>
      </w:pPr>
      <w:r w:rsidRPr="005F7EFA">
        <w:t>2.</w:t>
      </w:r>
      <w:r w:rsidRPr="005F7EFA">
        <w:tab/>
      </w:r>
      <w:r w:rsidR="00373A11" w:rsidRPr="00DD1DFA">
        <w:rPr>
          <w:noProof/>
        </w:rPr>
        <w:t>Oznakowanie CE umieszcza się na wyrobach, dla których producent sporządził deklarację właściwości użytkowych lub zgodności zgodnie</w:t>
      </w:r>
      <w:r w:rsidR="00DD1DFA" w:rsidRPr="00DD1DFA">
        <w:rPr>
          <w:noProof/>
        </w:rPr>
        <w:t xml:space="preserve"> z</w:t>
      </w:r>
      <w:r w:rsidR="00DD1DFA">
        <w:rPr>
          <w:noProof/>
        </w:rPr>
        <w:t> </w:t>
      </w:r>
      <w:r w:rsidR="00DD1DFA" w:rsidRPr="00DD1DFA">
        <w:rPr>
          <w:noProof/>
        </w:rPr>
        <w:t>art</w:t>
      </w:r>
      <w:r w:rsidR="00373A11" w:rsidRPr="00DD1DFA">
        <w:rPr>
          <w:noProof/>
        </w:rPr>
        <w:t>.</w:t>
      </w:r>
      <w:r w:rsidR="00DD1DFA" w:rsidRPr="00DD1DFA">
        <w:rPr>
          <w:noProof/>
        </w:rPr>
        <w:t> </w:t>
      </w:r>
      <w:r w:rsidR="00373A11" w:rsidRPr="00DD1DFA">
        <w:rPr>
          <w:noProof/>
        </w:rPr>
        <w:t>9</w:t>
      </w:r>
      <w:r w:rsidR="00DD1DFA" w:rsidRPr="00DD1DFA">
        <w:rPr>
          <w:noProof/>
        </w:rPr>
        <w:t xml:space="preserve"> i</w:t>
      </w:r>
      <w:r w:rsidR="00DD1DFA">
        <w:rPr>
          <w:noProof/>
        </w:rPr>
        <w:t> </w:t>
      </w:r>
      <w:r w:rsidR="00DD1DFA" w:rsidRPr="00DD1DFA">
        <w:rPr>
          <w:noProof/>
        </w:rPr>
        <w:t>1</w:t>
      </w:r>
      <w:r w:rsidR="00373A11" w:rsidRPr="00DD1DFA">
        <w:rPr>
          <w:noProof/>
        </w:rPr>
        <w:t xml:space="preserve">1–14. Oznakowania CE nie umieszcza się na częściach kluczowych. Oznakowania CE nie umieszcza się na częściach, które nie są częściami kluczowymi. </w:t>
      </w:r>
    </w:p>
    <w:p w14:paraId="0C3176CA" w14:textId="7CE2F519" w:rsidR="00373A11" w:rsidRPr="00DD1DFA" w:rsidRDefault="005F7EFA" w:rsidP="005F7EFA">
      <w:pPr>
        <w:pStyle w:val="ManualNumPar1"/>
        <w:rPr>
          <w:rFonts w:ascii="Calibri" w:hAnsi="Calibri"/>
          <w:noProof/>
          <w:color w:val="00000A"/>
          <w:sz w:val="22"/>
        </w:rPr>
      </w:pPr>
      <w:r w:rsidRPr="005F7EFA">
        <w:t>3.</w:t>
      </w:r>
      <w:r w:rsidRPr="005F7EFA">
        <w:tab/>
      </w:r>
      <w:r w:rsidR="00373A11" w:rsidRPr="00DD1DFA">
        <w:rPr>
          <w:noProof/>
        </w:rPr>
        <w:t>Jeżeli producent nie sporządził deklaracji właściwości użytkowych</w:t>
      </w:r>
      <w:r w:rsidR="00DD1DFA" w:rsidRPr="00DD1DFA">
        <w:rPr>
          <w:noProof/>
        </w:rPr>
        <w:t xml:space="preserve"> i</w:t>
      </w:r>
      <w:r w:rsidR="00DD1DFA">
        <w:rPr>
          <w:noProof/>
        </w:rPr>
        <w:t> </w:t>
      </w:r>
      <w:r w:rsidR="00DD1DFA" w:rsidRPr="00DD1DFA">
        <w:rPr>
          <w:noProof/>
        </w:rPr>
        <w:t>dek</w:t>
      </w:r>
      <w:r w:rsidR="00373A11" w:rsidRPr="00DD1DFA">
        <w:rPr>
          <w:noProof/>
        </w:rPr>
        <w:t>laracji zgodności, oznakowania CE nie umieszcza się.</w:t>
      </w:r>
    </w:p>
    <w:p w14:paraId="60A6DDC0" w14:textId="40FE7533" w:rsidR="00373A11" w:rsidRPr="00DD1DFA" w:rsidRDefault="005F7EFA" w:rsidP="005F7EFA">
      <w:pPr>
        <w:pStyle w:val="ManualNumPar1"/>
        <w:rPr>
          <w:rFonts w:ascii="Calibri" w:hAnsi="Calibri"/>
          <w:noProof/>
          <w:color w:val="00000A"/>
          <w:sz w:val="22"/>
        </w:rPr>
      </w:pPr>
      <w:r w:rsidRPr="005F7EFA">
        <w:t>4.</w:t>
      </w:r>
      <w:r w:rsidRPr="005F7EFA">
        <w:tab/>
      </w:r>
      <w:r w:rsidR="00373A11" w:rsidRPr="00DD1DFA">
        <w:rPr>
          <w:noProof/>
        </w:rPr>
        <w:t xml:space="preserve">Umieszczając lub zlecając umieszczenie oznakowania CE </w:t>
      </w:r>
      <w:r w:rsidR="00373A11" w:rsidRPr="00DD1DFA">
        <w:rPr>
          <w:noProof/>
          <w:color w:val="000000" w:themeColor="text1"/>
        </w:rPr>
        <w:t>podmiot gospodarczy</w:t>
      </w:r>
      <w:r w:rsidR="00373A11" w:rsidRPr="00DD1DFA">
        <w:rPr>
          <w:noProof/>
        </w:rPr>
        <w:t xml:space="preserve"> wskazuje, że bierze na siebie odpowiedzialność za zgodność wyrobu</w:t>
      </w:r>
      <w:r w:rsidR="00DD1DFA" w:rsidRPr="00DD1DFA">
        <w:rPr>
          <w:noProof/>
        </w:rPr>
        <w:t xml:space="preserve"> z</w:t>
      </w:r>
      <w:r w:rsidR="00DD1DFA">
        <w:rPr>
          <w:noProof/>
        </w:rPr>
        <w:t> </w:t>
      </w:r>
      <w:r w:rsidR="00DD1DFA" w:rsidRPr="00DD1DFA">
        <w:rPr>
          <w:noProof/>
        </w:rPr>
        <w:t>dek</w:t>
      </w:r>
      <w:r w:rsidR="00373A11" w:rsidRPr="00DD1DFA">
        <w:rPr>
          <w:noProof/>
        </w:rPr>
        <w:t>larowanymi właściwościami użytkowymi oraz za jego zgodność ze wszystkimi mającymi zastosowanie wymogami dotyczącymi wyrobów określonymi</w:t>
      </w:r>
      <w:r w:rsidR="00DD1DFA" w:rsidRPr="00DD1DFA">
        <w:rPr>
          <w:noProof/>
        </w:rPr>
        <w:t xml:space="preserve"> w</w:t>
      </w:r>
      <w:r w:rsidR="00DD1DFA">
        <w:rPr>
          <w:noProof/>
        </w:rPr>
        <w:t> </w:t>
      </w:r>
      <w:r w:rsidR="00DD1DFA" w:rsidRPr="00DD1DFA">
        <w:rPr>
          <w:noProof/>
        </w:rPr>
        <w:t>nin</w:t>
      </w:r>
      <w:r w:rsidR="00373A11" w:rsidRPr="00DD1DFA">
        <w:rPr>
          <w:noProof/>
        </w:rPr>
        <w:t>iejszym rozporządzeniu lub ustanowionymi na podstawie niniejszego rozporządzenia. Umieszczając oznakowanie CE podmiot gospodarczy bierze na siebie odpowiedzialność za deklarowane właściwości użytkowe</w:t>
      </w:r>
      <w:r w:rsidR="00DD1DFA" w:rsidRPr="00DD1DFA">
        <w:rPr>
          <w:noProof/>
        </w:rPr>
        <w:t xml:space="preserve"> i</w:t>
      </w:r>
      <w:r w:rsidR="00DD1DFA">
        <w:rPr>
          <w:noProof/>
        </w:rPr>
        <w:t> </w:t>
      </w:r>
      <w:r w:rsidR="00DD1DFA" w:rsidRPr="00DD1DFA">
        <w:rPr>
          <w:noProof/>
        </w:rPr>
        <w:t>spe</w:t>
      </w:r>
      <w:r w:rsidR="00373A11" w:rsidRPr="00DD1DFA">
        <w:rPr>
          <w:noProof/>
        </w:rPr>
        <w:t>łnienie tych wymogów zgodnie</w:t>
      </w:r>
      <w:r w:rsidR="00DD1DFA" w:rsidRPr="00DD1DFA">
        <w:rPr>
          <w:noProof/>
        </w:rPr>
        <w:t xml:space="preserve"> z</w:t>
      </w:r>
      <w:r w:rsidR="00DD1DFA">
        <w:rPr>
          <w:noProof/>
        </w:rPr>
        <w:t> </w:t>
      </w:r>
      <w:r w:rsidR="00DD1DFA" w:rsidRPr="00DD1DFA">
        <w:rPr>
          <w:noProof/>
        </w:rPr>
        <w:t>kra</w:t>
      </w:r>
      <w:r w:rsidR="00373A11" w:rsidRPr="00DD1DFA">
        <w:rPr>
          <w:noProof/>
        </w:rPr>
        <w:t>jowymi przepisami dotyczącymi odpowiedzialności umownej</w:t>
      </w:r>
      <w:r w:rsidR="00DD1DFA" w:rsidRPr="00DD1DFA">
        <w:rPr>
          <w:noProof/>
        </w:rPr>
        <w:t xml:space="preserve"> i</w:t>
      </w:r>
      <w:r w:rsidR="00DD1DFA">
        <w:rPr>
          <w:noProof/>
        </w:rPr>
        <w:t> </w:t>
      </w:r>
      <w:r w:rsidR="00DD1DFA" w:rsidRPr="00DD1DFA">
        <w:rPr>
          <w:noProof/>
        </w:rPr>
        <w:t>poz</w:t>
      </w:r>
      <w:r w:rsidR="00373A11" w:rsidRPr="00DD1DFA">
        <w:rPr>
          <w:noProof/>
        </w:rPr>
        <w:t xml:space="preserve">aumownej. </w:t>
      </w:r>
    </w:p>
    <w:p w14:paraId="7C95FBB1" w14:textId="6A9DC0E8" w:rsidR="00373A11" w:rsidRPr="00DD1DFA" w:rsidRDefault="005F7EFA" w:rsidP="005F7EFA">
      <w:pPr>
        <w:pStyle w:val="ManualNumPar1"/>
        <w:rPr>
          <w:rFonts w:ascii="Calibri" w:hAnsi="Calibri"/>
          <w:noProof/>
          <w:color w:val="00000A"/>
          <w:sz w:val="22"/>
        </w:rPr>
      </w:pPr>
      <w:r w:rsidRPr="005F7EFA">
        <w:t>5.</w:t>
      </w:r>
      <w:r w:rsidRPr="005F7EFA">
        <w:tab/>
      </w:r>
      <w:r w:rsidR="00373A11" w:rsidRPr="00DD1DFA">
        <w:rPr>
          <w:noProof/>
        </w:rPr>
        <w:t>Oznakowanie CE jest jedynym oznakowaniem potwierdzającym właściwości użytkowe wyrobu</w:t>
      </w:r>
      <w:r w:rsidR="00DD1DFA" w:rsidRPr="00DD1DFA">
        <w:rPr>
          <w:noProof/>
        </w:rPr>
        <w:t xml:space="preserve"> w</w:t>
      </w:r>
      <w:r w:rsidR="00DD1DFA">
        <w:rPr>
          <w:noProof/>
        </w:rPr>
        <w:t> </w:t>
      </w:r>
      <w:r w:rsidR="00DD1DFA" w:rsidRPr="00DD1DFA">
        <w:rPr>
          <w:noProof/>
        </w:rPr>
        <w:t>odn</w:t>
      </w:r>
      <w:r w:rsidR="00373A11" w:rsidRPr="00DD1DFA">
        <w:rPr>
          <w:noProof/>
        </w:rPr>
        <w:t>iesieniu do ocenianych zasadniczych charakterystyk oraz zgodność wyrobu</w:t>
      </w:r>
      <w:r w:rsidR="00DD1DFA" w:rsidRPr="00DD1DFA">
        <w:rPr>
          <w:noProof/>
        </w:rPr>
        <w:t xml:space="preserve"> z</w:t>
      </w:r>
      <w:r w:rsidR="00DD1DFA">
        <w:rPr>
          <w:noProof/>
        </w:rPr>
        <w:t> </w:t>
      </w:r>
      <w:r w:rsidR="00DD1DFA" w:rsidRPr="00DD1DFA">
        <w:rPr>
          <w:noProof/>
        </w:rPr>
        <w:t>nin</w:t>
      </w:r>
      <w:r w:rsidR="00373A11" w:rsidRPr="00DD1DFA">
        <w:rPr>
          <w:noProof/>
        </w:rPr>
        <w:t>iejszym rozporządzeniem.</w:t>
      </w:r>
    </w:p>
    <w:p w14:paraId="20E5B98D" w14:textId="2C7F8F50" w:rsidR="00BC1E12" w:rsidRPr="00DD1DFA" w:rsidRDefault="00373A11" w:rsidP="00373A11">
      <w:pPr>
        <w:pStyle w:val="Text1"/>
        <w:rPr>
          <w:rFonts w:ascii="Calibri" w:eastAsia="Calibri" w:hAnsi="Calibri" w:cs="DejaVu Sans"/>
          <w:noProof/>
          <w:color w:val="00000A"/>
          <w:sz w:val="22"/>
        </w:rPr>
      </w:pPr>
      <w:r w:rsidRPr="00DD1DFA">
        <w:rPr>
          <w:noProof/>
          <w:color w:val="000000"/>
        </w:rPr>
        <w:t>Państwa członkowskie nie wprowadzają do środków krajowych żadnych odniesień lub wycofują</w:t>
      </w:r>
      <w:r w:rsidR="00DD1DFA" w:rsidRPr="00DD1DFA">
        <w:rPr>
          <w:noProof/>
          <w:color w:val="000000"/>
        </w:rPr>
        <w:t xml:space="preserve"> z</w:t>
      </w:r>
      <w:r w:rsidR="00DD1DFA">
        <w:rPr>
          <w:noProof/>
          <w:color w:val="000000"/>
        </w:rPr>
        <w:t> </w:t>
      </w:r>
      <w:r w:rsidR="00DD1DFA" w:rsidRPr="00DD1DFA">
        <w:rPr>
          <w:noProof/>
          <w:color w:val="000000"/>
        </w:rPr>
        <w:t>nic</w:t>
      </w:r>
      <w:r w:rsidRPr="00DD1DFA">
        <w:rPr>
          <w:noProof/>
          <w:color w:val="000000"/>
        </w:rPr>
        <w:t>h wszelkie odniesienia do innego niż oznakowanie CE oznakowania potwierdzającego zgodność</w:t>
      </w:r>
      <w:r w:rsidR="00DD1DFA" w:rsidRPr="00DD1DFA">
        <w:rPr>
          <w:noProof/>
          <w:color w:val="000000"/>
        </w:rPr>
        <w:t xml:space="preserve"> z</w:t>
      </w:r>
      <w:r w:rsidR="00DD1DFA">
        <w:rPr>
          <w:noProof/>
          <w:color w:val="000000"/>
        </w:rPr>
        <w:t> </w:t>
      </w:r>
      <w:r w:rsidR="00DD1DFA" w:rsidRPr="00DD1DFA">
        <w:rPr>
          <w:noProof/>
          <w:color w:val="000000"/>
        </w:rPr>
        <w:t>wym</w:t>
      </w:r>
      <w:r w:rsidRPr="00DD1DFA">
        <w:rPr>
          <w:noProof/>
          <w:color w:val="000000"/>
        </w:rPr>
        <w:t>aganiami lub deklarowanymi właściwościami użytkowymi</w:t>
      </w:r>
      <w:r w:rsidR="00DD1DFA" w:rsidRPr="00DD1DFA">
        <w:rPr>
          <w:noProof/>
          <w:color w:val="000000"/>
        </w:rPr>
        <w:t xml:space="preserve"> w</w:t>
      </w:r>
      <w:r w:rsidR="00DD1DFA">
        <w:rPr>
          <w:noProof/>
          <w:color w:val="000000"/>
        </w:rPr>
        <w:t> </w:t>
      </w:r>
      <w:r w:rsidR="00DD1DFA" w:rsidRPr="00DD1DFA">
        <w:rPr>
          <w:noProof/>
          <w:color w:val="000000"/>
        </w:rPr>
        <w:t>odn</w:t>
      </w:r>
      <w:r w:rsidRPr="00DD1DFA">
        <w:rPr>
          <w:noProof/>
          <w:color w:val="000000"/>
        </w:rPr>
        <w:t>iesieniu do zasadniczych charakterystyk objętych strefą zharmonizowaną.</w:t>
      </w:r>
    </w:p>
    <w:p w14:paraId="280C20A1" w14:textId="7A3F549B" w:rsidR="00373A11" w:rsidRPr="00DD1DFA" w:rsidRDefault="005F7EFA" w:rsidP="005F7EFA">
      <w:pPr>
        <w:pStyle w:val="ManualNumPar1"/>
        <w:rPr>
          <w:rFonts w:eastAsia="Times New Roman"/>
          <w:noProof/>
        </w:rPr>
      </w:pPr>
      <w:r w:rsidRPr="005F7EFA">
        <w:t>6.</w:t>
      </w:r>
      <w:r w:rsidRPr="005F7EFA">
        <w:tab/>
      </w:r>
      <w:r w:rsidR="00373A11" w:rsidRPr="00DD1DFA">
        <w:rPr>
          <w:noProof/>
        </w:rPr>
        <w:t>Państwo członkowskie nie zakazuje ani nie utrudnia, na swoim terytorium lub</w:t>
      </w:r>
      <w:r w:rsidR="00DD1DFA" w:rsidRPr="00DD1DFA">
        <w:rPr>
          <w:noProof/>
        </w:rPr>
        <w:t xml:space="preserve"> w</w:t>
      </w:r>
      <w:r w:rsidR="00DD1DFA">
        <w:rPr>
          <w:noProof/>
        </w:rPr>
        <w:t> </w:t>
      </w:r>
      <w:r w:rsidR="00DD1DFA" w:rsidRPr="00DD1DFA">
        <w:rPr>
          <w:noProof/>
        </w:rPr>
        <w:t>zak</w:t>
      </w:r>
      <w:r w:rsidR="00373A11" w:rsidRPr="00DD1DFA">
        <w:rPr>
          <w:noProof/>
        </w:rPr>
        <w:t>resie swojej odpowiedzialności, udostępniania na rynku ani stosowania wyrobów noszących oznakowanie CE, jeśli deklarowane właściwości użytkowe odpowiadają wymaganiom dla takiego zastosowania</w:t>
      </w:r>
      <w:r w:rsidR="00DD1DFA" w:rsidRPr="00DD1DFA">
        <w:rPr>
          <w:noProof/>
        </w:rPr>
        <w:t xml:space="preserve"> w</w:t>
      </w:r>
      <w:r w:rsidR="00DD1DFA">
        <w:rPr>
          <w:noProof/>
        </w:rPr>
        <w:t> </w:t>
      </w:r>
      <w:r w:rsidR="00DD1DFA" w:rsidRPr="00DD1DFA">
        <w:rPr>
          <w:noProof/>
        </w:rPr>
        <w:t>dan</w:t>
      </w:r>
      <w:r w:rsidR="00373A11" w:rsidRPr="00DD1DFA">
        <w:rPr>
          <w:noProof/>
        </w:rPr>
        <w:t>ym państwie członkowskim.</w:t>
      </w:r>
    </w:p>
    <w:p w14:paraId="744C821F" w14:textId="4C1DD4AA" w:rsidR="00373A11" w:rsidRPr="00DD1DFA" w:rsidRDefault="00373A11" w:rsidP="00373A11">
      <w:pPr>
        <w:pStyle w:val="Text1"/>
        <w:rPr>
          <w:noProof/>
          <w:color w:val="000000"/>
        </w:rPr>
      </w:pPr>
      <w:r w:rsidRPr="00DD1DFA">
        <w:rPr>
          <w:noProof/>
          <w:color w:val="000000"/>
        </w:rPr>
        <w:t>Państwo członkowskie nie zakazuje ani nie utrudnia, na swoim terytorium lub</w:t>
      </w:r>
      <w:r w:rsidR="00DD1DFA" w:rsidRPr="00DD1DFA">
        <w:rPr>
          <w:noProof/>
          <w:color w:val="000000"/>
        </w:rPr>
        <w:t xml:space="preserve"> w</w:t>
      </w:r>
      <w:r w:rsidR="00DD1DFA">
        <w:rPr>
          <w:noProof/>
          <w:color w:val="000000"/>
        </w:rPr>
        <w:t> </w:t>
      </w:r>
      <w:r w:rsidR="00DD1DFA" w:rsidRPr="00DD1DFA">
        <w:rPr>
          <w:noProof/>
          <w:color w:val="000000"/>
        </w:rPr>
        <w:t>zak</w:t>
      </w:r>
      <w:r w:rsidRPr="00DD1DFA">
        <w:rPr>
          <w:noProof/>
          <w:color w:val="000000"/>
        </w:rPr>
        <w:t>resie swojej odpowiedzialności, udostępniania na rynku ani stosowania wyrobów noszących oznakowanie CE, jeśli dany wyrób spełnia wymogi dotyczące wyrobów określone</w:t>
      </w:r>
      <w:r w:rsidR="00DD1DFA" w:rsidRPr="00DD1DFA">
        <w:rPr>
          <w:noProof/>
          <w:color w:val="000000"/>
        </w:rPr>
        <w:t xml:space="preserve"> w</w:t>
      </w:r>
      <w:r w:rsidR="00DD1DFA">
        <w:rPr>
          <w:noProof/>
          <w:color w:val="000000"/>
        </w:rPr>
        <w:t> </w:t>
      </w:r>
      <w:r w:rsidR="00DD1DFA" w:rsidRPr="00DD1DFA">
        <w:rPr>
          <w:noProof/>
          <w:color w:val="000000"/>
        </w:rPr>
        <w:t>nin</w:t>
      </w:r>
      <w:r w:rsidRPr="00DD1DFA">
        <w:rPr>
          <w:noProof/>
          <w:color w:val="000000"/>
        </w:rPr>
        <w:t>iejszym rozporządzeniu lub na jego podstawie, chyba że</w:t>
      </w:r>
      <w:r w:rsidR="00DD1DFA" w:rsidRPr="00DD1DFA">
        <w:rPr>
          <w:noProof/>
          <w:color w:val="000000"/>
        </w:rPr>
        <w:t xml:space="preserve"> w</w:t>
      </w:r>
      <w:r w:rsidR="00DD1DFA">
        <w:rPr>
          <w:noProof/>
          <w:color w:val="000000"/>
        </w:rPr>
        <w:t> </w:t>
      </w:r>
      <w:r w:rsidR="00DD1DFA" w:rsidRPr="00DD1DFA">
        <w:rPr>
          <w:noProof/>
          <w:color w:val="000000"/>
        </w:rPr>
        <w:t>odp</w:t>
      </w:r>
      <w:r w:rsidRPr="00DD1DFA">
        <w:rPr>
          <w:noProof/>
          <w:color w:val="000000"/>
        </w:rPr>
        <w:t>owiedniej zharmonizowanej specyfikacji technicznej określono, że wymogi te są wyłącznie wymogami minimalnymi.</w:t>
      </w:r>
    </w:p>
    <w:p w14:paraId="3628E3F6" w14:textId="538A4329" w:rsidR="00BC1E12" w:rsidRPr="00DD1DFA" w:rsidRDefault="005F7EFA" w:rsidP="005F7EFA">
      <w:pPr>
        <w:pStyle w:val="ManualNumPar1"/>
        <w:rPr>
          <w:rFonts w:ascii="Calibri" w:eastAsia="Calibri" w:hAnsi="Calibri" w:cs="DejaVu Sans"/>
          <w:noProof/>
          <w:color w:val="00000A"/>
          <w:sz w:val="22"/>
        </w:rPr>
      </w:pPr>
      <w:r w:rsidRPr="005F7EFA">
        <w:t>7.</w:t>
      </w:r>
      <w:r w:rsidRPr="005F7EFA">
        <w:tab/>
      </w:r>
      <w:r w:rsidR="00373A11" w:rsidRPr="00DD1DFA">
        <w:rPr>
          <w:noProof/>
        </w:rPr>
        <w:t>Państwo członkowskie zapewnia, by stosowanie wyrobów noszących oznakowanie CE nie było utrudnione przez przepisy lub warunki wprowadzane przez organy publiczne lub przez organizacje prywatne działające jako przedsiębiorstwo publiczne lub jako organ publiczny ze względu na swoją pozycję monopolistyczną lub na mocy mandatu publicznego.</w:t>
      </w:r>
    </w:p>
    <w:p w14:paraId="59BE2237" w14:textId="77777777" w:rsidR="00BC1E12" w:rsidRPr="00DD1DFA" w:rsidRDefault="00BC1E12" w:rsidP="003A469B">
      <w:pPr>
        <w:pStyle w:val="Titrearticle"/>
        <w:rPr>
          <w:noProof/>
        </w:rPr>
      </w:pPr>
      <w:r w:rsidRPr="00DD1DFA">
        <w:rPr>
          <w:noProof/>
        </w:rPr>
        <w:t>Artykuł 17</w:t>
      </w:r>
    </w:p>
    <w:p w14:paraId="6E338D9E" w14:textId="7EFA60DE" w:rsidR="00BC1E12" w:rsidRPr="00DD1DFA" w:rsidRDefault="00373A11" w:rsidP="003A469B">
      <w:pPr>
        <w:pStyle w:val="Titrearticle"/>
        <w:rPr>
          <w:rFonts w:ascii="Calibri" w:eastAsia="Calibri" w:hAnsi="Calibri" w:cs="DejaVu Sans"/>
          <w:noProof/>
          <w:color w:val="00000A"/>
          <w:sz w:val="22"/>
        </w:rPr>
      </w:pPr>
      <w:r w:rsidRPr="00DD1DFA">
        <w:rPr>
          <w:b/>
          <w:bCs/>
          <w:noProof/>
        </w:rPr>
        <w:t>Zasady</w:t>
      </w:r>
      <w:r w:rsidR="00DD1DFA" w:rsidRPr="00DD1DFA">
        <w:rPr>
          <w:b/>
          <w:bCs/>
          <w:noProof/>
        </w:rPr>
        <w:t xml:space="preserve"> i</w:t>
      </w:r>
      <w:r w:rsidR="00DD1DFA">
        <w:rPr>
          <w:b/>
          <w:bCs/>
          <w:noProof/>
        </w:rPr>
        <w:t> </w:t>
      </w:r>
      <w:r w:rsidR="00DD1DFA" w:rsidRPr="00DD1DFA">
        <w:rPr>
          <w:b/>
          <w:bCs/>
          <w:noProof/>
        </w:rPr>
        <w:t>war</w:t>
      </w:r>
      <w:r w:rsidRPr="00DD1DFA">
        <w:rPr>
          <w:b/>
          <w:bCs/>
          <w:noProof/>
        </w:rPr>
        <w:t>unki umieszczania oznakowania CE</w:t>
      </w:r>
    </w:p>
    <w:p w14:paraId="4ACCC6FB" w14:textId="646A0D39" w:rsidR="00373A11" w:rsidRPr="00DD1DFA" w:rsidRDefault="005F7EFA" w:rsidP="005F7EFA">
      <w:pPr>
        <w:pStyle w:val="ManualNumPar1"/>
        <w:rPr>
          <w:rFonts w:ascii="Calibri" w:hAnsi="Calibri"/>
          <w:noProof/>
          <w:color w:val="00000A"/>
          <w:sz w:val="22"/>
        </w:rPr>
      </w:pPr>
      <w:r w:rsidRPr="005F7EFA">
        <w:t>1.</w:t>
      </w:r>
      <w:r w:rsidRPr="005F7EFA">
        <w:tab/>
      </w:r>
      <w:r w:rsidR="00373A11" w:rsidRPr="00DD1DFA">
        <w:rPr>
          <w:noProof/>
        </w:rPr>
        <w:t>Oznakowanie CE umieszcza się na wyrobie lub na jego etykiecie</w:t>
      </w:r>
      <w:r w:rsidR="00DD1DFA" w:rsidRPr="00DD1DFA">
        <w:rPr>
          <w:noProof/>
        </w:rPr>
        <w:t xml:space="preserve"> w</w:t>
      </w:r>
      <w:r w:rsidR="00DD1DFA">
        <w:rPr>
          <w:noProof/>
        </w:rPr>
        <w:t> </w:t>
      </w:r>
      <w:r w:rsidR="00DD1DFA" w:rsidRPr="00DD1DFA">
        <w:rPr>
          <w:noProof/>
        </w:rPr>
        <w:t>spo</w:t>
      </w:r>
      <w:r w:rsidR="00373A11" w:rsidRPr="00DD1DFA">
        <w:rPr>
          <w:noProof/>
        </w:rPr>
        <w:t>sób widoczny, czytelny</w:t>
      </w:r>
      <w:r w:rsidR="00DD1DFA" w:rsidRPr="00DD1DFA">
        <w:rPr>
          <w:noProof/>
        </w:rPr>
        <w:t xml:space="preserve"> i</w:t>
      </w:r>
      <w:r w:rsidR="00DD1DFA">
        <w:rPr>
          <w:noProof/>
        </w:rPr>
        <w:t> </w:t>
      </w:r>
      <w:r w:rsidR="00DD1DFA" w:rsidRPr="00DD1DFA">
        <w:rPr>
          <w:noProof/>
        </w:rPr>
        <w:t>trw</w:t>
      </w:r>
      <w:r w:rsidR="00373A11" w:rsidRPr="00DD1DFA">
        <w:rPr>
          <w:noProof/>
        </w:rPr>
        <w:t>ały</w:t>
      </w:r>
      <w:r w:rsidR="00DD1DFA" w:rsidRPr="00DD1DFA">
        <w:rPr>
          <w:noProof/>
        </w:rPr>
        <w:t>. W</w:t>
      </w:r>
      <w:r w:rsidR="00DD1DFA">
        <w:rPr>
          <w:noProof/>
        </w:rPr>
        <w:t> </w:t>
      </w:r>
      <w:r w:rsidR="00DD1DFA" w:rsidRPr="00DD1DFA">
        <w:rPr>
          <w:noProof/>
        </w:rPr>
        <w:t>prz</w:t>
      </w:r>
      <w:r w:rsidR="00373A11" w:rsidRPr="00DD1DFA">
        <w:rPr>
          <w:noProof/>
        </w:rPr>
        <w:t>ypadku gdy nie jest to możliwe lub nie można tego zapewnić</w:t>
      </w:r>
      <w:r w:rsidR="00DD1DFA" w:rsidRPr="00DD1DFA">
        <w:rPr>
          <w:noProof/>
        </w:rPr>
        <w:t xml:space="preserve"> z</w:t>
      </w:r>
      <w:r w:rsidR="00DD1DFA">
        <w:rPr>
          <w:noProof/>
        </w:rPr>
        <w:t> </w:t>
      </w:r>
      <w:r w:rsidR="00DD1DFA" w:rsidRPr="00DD1DFA">
        <w:rPr>
          <w:noProof/>
        </w:rPr>
        <w:t>uwa</w:t>
      </w:r>
      <w:r w:rsidR="00373A11" w:rsidRPr="00DD1DFA">
        <w:rPr>
          <w:noProof/>
        </w:rPr>
        <w:t>gi na charakter wyrobu, umieszcza się je na opakowaniu lub na dokumentach towarzyszących.</w:t>
      </w:r>
    </w:p>
    <w:p w14:paraId="2CFA6A45" w14:textId="07C9D12B" w:rsidR="00373A11" w:rsidRPr="00DD1DFA" w:rsidRDefault="005F7EFA" w:rsidP="005F7EFA">
      <w:pPr>
        <w:pStyle w:val="ManualNumPar1"/>
        <w:rPr>
          <w:noProof/>
        </w:rPr>
      </w:pPr>
      <w:r w:rsidRPr="005F7EFA">
        <w:t>2.</w:t>
      </w:r>
      <w:r w:rsidRPr="005F7EFA">
        <w:tab/>
      </w:r>
      <w:r w:rsidR="00373A11" w:rsidRPr="00DD1DFA">
        <w:rPr>
          <w:noProof/>
        </w:rPr>
        <w:t>Oznakowaniu CE towarzyszą:</w:t>
      </w:r>
    </w:p>
    <w:p w14:paraId="1DCB9FCD" w14:textId="4E2AD712" w:rsidR="00373A11" w:rsidRPr="00DD1DFA" w:rsidRDefault="00626BBA" w:rsidP="00626BBA">
      <w:pPr>
        <w:pStyle w:val="Point1"/>
        <w:rPr>
          <w:rFonts w:eastAsia="Calibri"/>
          <w:noProof/>
          <w:szCs w:val="24"/>
        </w:rPr>
      </w:pPr>
      <w:r w:rsidRPr="00626BBA">
        <w:rPr>
          <w:noProof/>
        </w:rPr>
        <w:t>a)</w:t>
      </w:r>
      <w:r w:rsidRPr="00626BBA">
        <w:rPr>
          <w:noProof/>
        </w:rPr>
        <w:tab/>
      </w:r>
      <w:r w:rsidR="00373A11" w:rsidRPr="00DD1DFA">
        <w:rPr>
          <w:noProof/>
        </w:rPr>
        <w:t>dwie ostatnie cyfry roku,</w:t>
      </w:r>
      <w:r w:rsidR="00DD1DFA" w:rsidRPr="00DD1DFA">
        <w:rPr>
          <w:noProof/>
        </w:rPr>
        <w:t xml:space="preserve"> w</w:t>
      </w:r>
      <w:r w:rsidR="00DD1DFA">
        <w:rPr>
          <w:noProof/>
        </w:rPr>
        <w:t> </w:t>
      </w:r>
      <w:r w:rsidR="00DD1DFA" w:rsidRPr="00DD1DFA">
        <w:rPr>
          <w:noProof/>
        </w:rPr>
        <w:t>któ</w:t>
      </w:r>
      <w:r w:rsidR="00373A11" w:rsidRPr="00DD1DFA">
        <w:rPr>
          <w:noProof/>
        </w:rPr>
        <w:t>rym zostało ono po raz pierwszy umieszczone;</w:t>
      </w:r>
    </w:p>
    <w:p w14:paraId="27BE40EF" w14:textId="707EAC29" w:rsidR="00373A11" w:rsidRPr="00DD1DFA" w:rsidRDefault="00626BBA" w:rsidP="00626BBA">
      <w:pPr>
        <w:pStyle w:val="Point1"/>
        <w:rPr>
          <w:noProof/>
          <w:szCs w:val="24"/>
        </w:rPr>
      </w:pPr>
      <w:r w:rsidRPr="00626BBA">
        <w:rPr>
          <w:noProof/>
        </w:rPr>
        <w:t>b)</w:t>
      </w:r>
      <w:r w:rsidRPr="00626BBA">
        <w:rPr>
          <w:noProof/>
        </w:rPr>
        <w:tab/>
      </w:r>
      <w:r w:rsidR="00373A11" w:rsidRPr="00DD1DFA">
        <w:rPr>
          <w:noProof/>
        </w:rPr>
        <w:t>nazwa</w:t>
      </w:r>
      <w:r w:rsidR="00DD1DFA" w:rsidRPr="00DD1DFA">
        <w:rPr>
          <w:noProof/>
        </w:rPr>
        <w:t xml:space="preserve"> i</w:t>
      </w:r>
      <w:r w:rsidR="00DD1DFA">
        <w:rPr>
          <w:noProof/>
        </w:rPr>
        <w:t> </w:t>
      </w:r>
      <w:r w:rsidR="00DD1DFA" w:rsidRPr="00DD1DFA">
        <w:rPr>
          <w:noProof/>
        </w:rPr>
        <w:t>adr</w:t>
      </w:r>
      <w:r w:rsidR="00373A11" w:rsidRPr="00DD1DFA">
        <w:rPr>
          <w:noProof/>
        </w:rPr>
        <w:t>es siedziby producenta lub znak identyfikujący pozwalający</w:t>
      </w:r>
      <w:r w:rsidR="00DD1DFA" w:rsidRPr="00DD1DFA">
        <w:rPr>
          <w:noProof/>
        </w:rPr>
        <w:t xml:space="preserve"> w</w:t>
      </w:r>
      <w:r w:rsidR="00DD1DFA">
        <w:rPr>
          <w:noProof/>
        </w:rPr>
        <w:t> </w:t>
      </w:r>
      <w:r w:rsidR="00DD1DFA" w:rsidRPr="00DD1DFA">
        <w:rPr>
          <w:noProof/>
        </w:rPr>
        <w:t>łat</w:t>
      </w:r>
      <w:r w:rsidR="00373A11" w:rsidRPr="00DD1DFA">
        <w:rPr>
          <w:noProof/>
        </w:rPr>
        <w:t>wy</w:t>
      </w:r>
      <w:r w:rsidR="00DD1DFA" w:rsidRPr="00DD1DFA">
        <w:rPr>
          <w:noProof/>
        </w:rPr>
        <w:t xml:space="preserve"> i</w:t>
      </w:r>
      <w:r w:rsidR="00DD1DFA">
        <w:rPr>
          <w:noProof/>
        </w:rPr>
        <w:t> </w:t>
      </w:r>
      <w:r w:rsidR="00DD1DFA" w:rsidRPr="00DD1DFA">
        <w:rPr>
          <w:noProof/>
        </w:rPr>
        <w:t>jed</w:t>
      </w:r>
      <w:r w:rsidR="00373A11" w:rsidRPr="00DD1DFA">
        <w:rPr>
          <w:noProof/>
        </w:rPr>
        <w:t>noznaczny sposób określić nazwę</w:t>
      </w:r>
      <w:r w:rsidR="00DD1DFA" w:rsidRPr="00DD1DFA">
        <w:rPr>
          <w:noProof/>
        </w:rPr>
        <w:t xml:space="preserve"> i</w:t>
      </w:r>
      <w:r w:rsidR="00DD1DFA">
        <w:rPr>
          <w:noProof/>
        </w:rPr>
        <w:t> </w:t>
      </w:r>
      <w:r w:rsidR="00DD1DFA" w:rsidRPr="00DD1DFA">
        <w:rPr>
          <w:noProof/>
        </w:rPr>
        <w:t>adr</w:t>
      </w:r>
      <w:r w:rsidR="00373A11" w:rsidRPr="00DD1DFA">
        <w:rPr>
          <w:noProof/>
        </w:rPr>
        <w:t>es producenta;</w:t>
      </w:r>
    </w:p>
    <w:p w14:paraId="48CDD2E9" w14:textId="16525D0E" w:rsidR="00373A11" w:rsidRPr="00DD1DFA" w:rsidRDefault="00626BBA" w:rsidP="00626BBA">
      <w:pPr>
        <w:pStyle w:val="Point1"/>
        <w:rPr>
          <w:rFonts w:eastAsia="Calibri"/>
          <w:noProof/>
          <w:szCs w:val="24"/>
        </w:rPr>
      </w:pPr>
      <w:r w:rsidRPr="00626BBA">
        <w:rPr>
          <w:noProof/>
        </w:rPr>
        <w:t>c)</w:t>
      </w:r>
      <w:r w:rsidRPr="00626BBA">
        <w:rPr>
          <w:noProof/>
        </w:rPr>
        <w:tab/>
      </w:r>
      <w:r w:rsidR="00373A11" w:rsidRPr="00DD1DFA">
        <w:rPr>
          <w:noProof/>
        </w:rPr>
        <w:t>nazwa</w:t>
      </w:r>
      <w:r w:rsidR="00DD1DFA" w:rsidRPr="00DD1DFA">
        <w:rPr>
          <w:noProof/>
        </w:rPr>
        <w:t xml:space="preserve"> i</w:t>
      </w:r>
      <w:r w:rsidR="00DD1DFA">
        <w:rPr>
          <w:noProof/>
        </w:rPr>
        <w:t> </w:t>
      </w:r>
      <w:r w:rsidR="00DD1DFA" w:rsidRPr="00DD1DFA">
        <w:rPr>
          <w:noProof/>
        </w:rPr>
        <w:t>adr</w:t>
      </w:r>
      <w:r w:rsidR="00373A11" w:rsidRPr="00DD1DFA">
        <w:rPr>
          <w:noProof/>
        </w:rPr>
        <w:t>es siedziby upoważnionego przedstawiciela lub znak identyfikujący pozwalający</w:t>
      </w:r>
      <w:r w:rsidR="00DD1DFA" w:rsidRPr="00DD1DFA">
        <w:rPr>
          <w:noProof/>
        </w:rPr>
        <w:t xml:space="preserve"> w</w:t>
      </w:r>
      <w:r w:rsidR="00DD1DFA">
        <w:rPr>
          <w:noProof/>
        </w:rPr>
        <w:t> </w:t>
      </w:r>
      <w:r w:rsidR="00DD1DFA" w:rsidRPr="00DD1DFA">
        <w:rPr>
          <w:noProof/>
        </w:rPr>
        <w:t>łat</w:t>
      </w:r>
      <w:r w:rsidR="00373A11" w:rsidRPr="00DD1DFA">
        <w:rPr>
          <w:noProof/>
        </w:rPr>
        <w:t>wy</w:t>
      </w:r>
      <w:r w:rsidR="00DD1DFA" w:rsidRPr="00DD1DFA">
        <w:rPr>
          <w:noProof/>
        </w:rPr>
        <w:t xml:space="preserve"> i</w:t>
      </w:r>
      <w:r w:rsidR="00DD1DFA">
        <w:rPr>
          <w:noProof/>
        </w:rPr>
        <w:t> </w:t>
      </w:r>
      <w:r w:rsidR="00DD1DFA" w:rsidRPr="00DD1DFA">
        <w:rPr>
          <w:noProof/>
        </w:rPr>
        <w:t>jed</w:t>
      </w:r>
      <w:r w:rsidR="00373A11" w:rsidRPr="00DD1DFA">
        <w:rPr>
          <w:noProof/>
        </w:rPr>
        <w:t>noznaczny sposób określić nazwę</w:t>
      </w:r>
      <w:r w:rsidR="00DD1DFA" w:rsidRPr="00DD1DFA">
        <w:rPr>
          <w:noProof/>
        </w:rPr>
        <w:t xml:space="preserve"> i</w:t>
      </w:r>
      <w:r w:rsidR="00DD1DFA">
        <w:rPr>
          <w:noProof/>
        </w:rPr>
        <w:t> </w:t>
      </w:r>
      <w:r w:rsidR="00DD1DFA" w:rsidRPr="00DD1DFA">
        <w:rPr>
          <w:noProof/>
        </w:rPr>
        <w:t>adr</w:t>
      </w:r>
      <w:r w:rsidR="00373A11" w:rsidRPr="00DD1DFA">
        <w:rPr>
          <w:noProof/>
        </w:rPr>
        <w:t>es upoważnionego przedstawiciela,</w:t>
      </w:r>
      <w:r w:rsidR="00DD1DFA" w:rsidRPr="00DD1DFA">
        <w:rPr>
          <w:noProof/>
        </w:rPr>
        <w:t xml:space="preserve"> w</w:t>
      </w:r>
      <w:r w:rsidR="00DD1DFA">
        <w:rPr>
          <w:noProof/>
        </w:rPr>
        <w:t> </w:t>
      </w:r>
      <w:r w:rsidR="00DD1DFA" w:rsidRPr="00DD1DFA">
        <w:rPr>
          <w:noProof/>
        </w:rPr>
        <w:t>prz</w:t>
      </w:r>
      <w:r w:rsidR="00373A11" w:rsidRPr="00DD1DFA">
        <w:rPr>
          <w:noProof/>
        </w:rPr>
        <w:t>ypadku gdy producent nie ma miejsca prowadzenia działalności</w:t>
      </w:r>
      <w:r w:rsidR="00DD1DFA" w:rsidRPr="00DD1DFA">
        <w:rPr>
          <w:noProof/>
        </w:rPr>
        <w:t xml:space="preserve"> w</w:t>
      </w:r>
      <w:r w:rsidR="00DD1DFA">
        <w:rPr>
          <w:noProof/>
        </w:rPr>
        <w:t> </w:t>
      </w:r>
      <w:r w:rsidR="00DD1DFA" w:rsidRPr="00DD1DFA">
        <w:rPr>
          <w:noProof/>
        </w:rPr>
        <w:t>Uni</w:t>
      </w:r>
      <w:r w:rsidR="00373A11" w:rsidRPr="00DD1DFA">
        <w:rPr>
          <w:noProof/>
        </w:rPr>
        <w:t>i lub gdy producent postanowi wyznaczyć upoważnionego przedstawiciela;</w:t>
      </w:r>
    </w:p>
    <w:p w14:paraId="1B21166E" w14:textId="444FF5D4" w:rsidR="00373A11" w:rsidRPr="00DD1DFA" w:rsidRDefault="00626BBA" w:rsidP="00626BBA">
      <w:pPr>
        <w:pStyle w:val="Point1"/>
        <w:rPr>
          <w:noProof/>
          <w:szCs w:val="24"/>
        </w:rPr>
      </w:pPr>
      <w:r w:rsidRPr="00626BBA">
        <w:rPr>
          <w:noProof/>
        </w:rPr>
        <w:t>d)</w:t>
      </w:r>
      <w:r w:rsidRPr="00626BBA">
        <w:rPr>
          <w:noProof/>
        </w:rPr>
        <w:tab/>
      </w:r>
      <w:r w:rsidR="00373A11" w:rsidRPr="00DD1DFA">
        <w:rPr>
          <w:noProof/>
        </w:rPr>
        <w:t>niepowtarzalny kod identyfikacyjny typu wyrobu, odnośnik bezpośredni do rejestracji wyrobów producenta</w:t>
      </w:r>
      <w:r w:rsidR="00DD1DFA" w:rsidRPr="00DD1DFA">
        <w:rPr>
          <w:noProof/>
        </w:rPr>
        <w:t xml:space="preserve"> w</w:t>
      </w:r>
      <w:r w:rsidR="00DD1DFA">
        <w:rPr>
          <w:noProof/>
        </w:rPr>
        <w:t> </w:t>
      </w:r>
      <w:r w:rsidR="00DD1DFA" w:rsidRPr="00DD1DFA">
        <w:rPr>
          <w:noProof/>
        </w:rPr>
        <w:t>uni</w:t>
      </w:r>
      <w:r w:rsidR="00373A11" w:rsidRPr="00DD1DFA">
        <w:rPr>
          <w:noProof/>
        </w:rPr>
        <w:t xml:space="preserve">jnych bazach danych oraz dokładna lokalizacja wyrobu; </w:t>
      </w:r>
    </w:p>
    <w:p w14:paraId="5F662F02" w14:textId="6B8B7AA0" w:rsidR="00373A11" w:rsidRPr="00DD1DFA" w:rsidRDefault="00626BBA" w:rsidP="00626BBA">
      <w:pPr>
        <w:pStyle w:val="Point1"/>
        <w:rPr>
          <w:noProof/>
          <w:szCs w:val="24"/>
        </w:rPr>
      </w:pPr>
      <w:r w:rsidRPr="00626BBA">
        <w:rPr>
          <w:noProof/>
        </w:rPr>
        <w:t>e)</w:t>
      </w:r>
      <w:r w:rsidRPr="00626BBA">
        <w:rPr>
          <w:noProof/>
        </w:rPr>
        <w:tab/>
      </w:r>
      <w:r w:rsidR="00373A11" w:rsidRPr="00DD1DFA">
        <w:rPr>
          <w:noProof/>
        </w:rPr>
        <w:t>odnośnik bezpośredni do strony internetowej producenta prezentującej wyrób, jeśli taka istnieje;</w:t>
      </w:r>
    </w:p>
    <w:p w14:paraId="6E2650A4" w14:textId="25C368A2" w:rsidR="00373A11" w:rsidRPr="00DD1DFA" w:rsidRDefault="00626BBA" w:rsidP="00626BBA">
      <w:pPr>
        <w:pStyle w:val="Point1"/>
        <w:rPr>
          <w:rFonts w:eastAsia="Calibri"/>
          <w:noProof/>
          <w:szCs w:val="24"/>
        </w:rPr>
      </w:pPr>
      <w:r w:rsidRPr="00626BBA">
        <w:rPr>
          <w:noProof/>
        </w:rPr>
        <w:t>f)</w:t>
      </w:r>
      <w:r w:rsidRPr="00626BBA">
        <w:rPr>
          <w:noProof/>
        </w:rPr>
        <w:tab/>
      </w:r>
      <w:r w:rsidR="00373A11" w:rsidRPr="00DD1DFA">
        <w:rPr>
          <w:noProof/>
        </w:rPr>
        <w:t>numer deklaracji właściwości użytkowych oraz</w:t>
      </w:r>
    </w:p>
    <w:p w14:paraId="4EF09984" w14:textId="75B155AD" w:rsidR="00373A11" w:rsidRPr="00DD1DFA" w:rsidRDefault="00626BBA" w:rsidP="00626BBA">
      <w:pPr>
        <w:pStyle w:val="Point1"/>
        <w:rPr>
          <w:noProof/>
          <w:szCs w:val="24"/>
        </w:rPr>
      </w:pPr>
      <w:r w:rsidRPr="00626BBA">
        <w:rPr>
          <w:noProof/>
        </w:rPr>
        <w:t>g)</w:t>
      </w:r>
      <w:r w:rsidRPr="00626BBA">
        <w:rPr>
          <w:noProof/>
        </w:rPr>
        <w:tab/>
      </w:r>
      <w:r w:rsidR="00373A11" w:rsidRPr="00DD1DFA">
        <w:rPr>
          <w:noProof/>
        </w:rPr>
        <w:t>numer identyfikacyjny jednostki notyfikowanej (w stosownych przypadkach)</w:t>
      </w:r>
      <w:r w:rsidR="004B5A11" w:rsidRPr="00DD1DFA">
        <w:rPr>
          <w:noProof/>
        </w:rPr>
        <w:t>.</w:t>
      </w:r>
    </w:p>
    <w:p w14:paraId="7F3E3331" w14:textId="486ACA45" w:rsidR="00373A11" w:rsidRPr="00DD1DFA" w:rsidRDefault="00373A11" w:rsidP="00300D3C">
      <w:pPr>
        <w:pStyle w:val="Text1"/>
        <w:rPr>
          <w:noProof/>
        </w:rPr>
      </w:pPr>
      <w:r w:rsidRPr="00DD1DFA">
        <w:rPr>
          <w:noProof/>
        </w:rPr>
        <w:t>Elementy wymienione</w:t>
      </w:r>
      <w:r w:rsidR="00DD1DFA" w:rsidRPr="00DD1DFA">
        <w:rPr>
          <w:noProof/>
        </w:rPr>
        <w:t xml:space="preserve"> w</w:t>
      </w:r>
      <w:r w:rsidR="00DD1DFA">
        <w:rPr>
          <w:noProof/>
        </w:rPr>
        <w:t> </w:t>
      </w:r>
      <w:r w:rsidR="00DD1DFA" w:rsidRPr="00DD1DFA">
        <w:rPr>
          <w:noProof/>
        </w:rPr>
        <w:t>lit</w:t>
      </w:r>
      <w:r w:rsidRPr="00DD1DFA">
        <w:rPr>
          <w:noProof/>
        </w:rPr>
        <w:t>.</w:t>
      </w:r>
      <w:r w:rsidR="00DD1DFA" w:rsidRPr="00DD1DFA">
        <w:rPr>
          <w:noProof/>
        </w:rPr>
        <w:t> </w:t>
      </w:r>
      <w:r w:rsidRPr="00DD1DFA">
        <w:rPr>
          <w:noProof/>
        </w:rPr>
        <w:t>d)–f) można zastąpić odnośnikiem bezpośrednim do połączonej deklaracji właściwości użytkowych</w:t>
      </w:r>
      <w:r w:rsidR="00DD1DFA" w:rsidRPr="00DD1DFA">
        <w:rPr>
          <w:noProof/>
        </w:rPr>
        <w:t xml:space="preserve"> i</w:t>
      </w:r>
      <w:r w:rsidR="00DD1DFA">
        <w:rPr>
          <w:noProof/>
        </w:rPr>
        <w:t> </w:t>
      </w:r>
      <w:r w:rsidR="00DD1DFA" w:rsidRPr="00DD1DFA">
        <w:rPr>
          <w:noProof/>
        </w:rPr>
        <w:t>zgo</w:t>
      </w:r>
      <w:r w:rsidRPr="00DD1DFA">
        <w:rPr>
          <w:noProof/>
        </w:rPr>
        <w:t>dności (elektroniczne oznakowanie CE).</w:t>
      </w:r>
    </w:p>
    <w:p w14:paraId="103EE1A1" w14:textId="0683C283" w:rsidR="00BC1E12" w:rsidRPr="00DD1DFA" w:rsidRDefault="005F7EFA" w:rsidP="005F7EFA">
      <w:pPr>
        <w:pStyle w:val="ManualNumPar1"/>
        <w:rPr>
          <w:noProof/>
        </w:rPr>
      </w:pPr>
      <w:bookmarkStart w:id="0" w:name="move26119311"/>
      <w:bookmarkEnd w:id="0"/>
      <w:r w:rsidRPr="005F7EFA">
        <w:t>3.</w:t>
      </w:r>
      <w:r w:rsidRPr="005F7EFA">
        <w:tab/>
      </w:r>
      <w:r w:rsidR="00373A11" w:rsidRPr="00DD1DFA">
        <w:rPr>
          <w:noProof/>
        </w:rPr>
        <w:t>Oznakowanie CE umieszcza się przed wprowadzeniem wyrobu do obrotu lub przed jego bezpośrednim wbudowywaniem</w:t>
      </w:r>
      <w:r w:rsidR="00DD1DFA" w:rsidRPr="00DD1DFA">
        <w:rPr>
          <w:noProof/>
        </w:rPr>
        <w:t xml:space="preserve"> w</w:t>
      </w:r>
      <w:r w:rsidR="00DD1DFA">
        <w:rPr>
          <w:noProof/>
        </w:rPr>
        <w:t> </w:t>
      </w:r>
      <w:r w:rsidR="00DD1DFA" w:rsidRPr="00DD1DFA">
        <w:rPr>
          <w:noProof/>
        </w:rPr>
        <w:t>dan</w:t>
      </w:r>
      <w:r w:rsidR="00373A11" w:rsidRPr="00DD1DFA">
        <w:rPr>
          <w:noProof/>
        </w:rPr>
        <w:t>y obiekt budowlany. Za oznakowaniem CE można umieścić piktogram lub innego rodzaju znak wskazujący na szczególne ryzyko lub zastosowanie.</w:t>
      </w:r>
    </w:p>
    <w:p w14:paraId="576296A8" w14:textId="77777777" w:rsidR="00BC1E12" w:rsidRPr="00DD1DFA" w:rsidRDefault="00BC1E12" w:rsidP="003A469B">
      <w:pPr>
        <w:pStyle w:val="Titrearticle"/>
        <w:rPr>
          <w:noProof/>
        </w:rPr>
      </w:pPr>
      <w:r w:rsidRPr="00DD1DFA">
        <w:rPr>
          <w:noProof/>
        </w:rPr>
        <w:t>Artykuł 18</w:t>
      </w:r>
    </w:p>
    <w:p w14:paraId="7C3A9B92" w14:textId="77777777" w:rsidR="00BC1E12" w:rsidRPr="00DD1DFA" w:rsidRDefault="00BC1E12" w:rsidP="003A469B">
      <w:pPr>
        <w:pStyle w:val="Titrearticle"/>
        <w:rPr>
          <w:rFonts w:ascii="Calibri" w:eastAsia="Calibri" w:hAnsi="Calibri" w:cs="DejaVu Sans"/>
          <w:noProof/>
          <w:color w:val="00000A"/>
          <w:sz w:val="22"/>
        </w:rPr>
      </w:pPr>
      <w:r w:rsidRPr="00DD1DFA">
        <w:rPr>
          <w:b/>
          <w:bCs/>
          <w:noProof/>
        </w:rPr>
        <w:t>Inne oznakowania</w:t>
      </w:r>
    </w:p>
    <w:p w14:paraId="6F6F297F" w14:textId="50E5CDC2" w:rsidR="00373A11" w:rsidRPr="00DD1DFA" w:rsidRDefault="00373A11" w:rsidP="00373A11">
      <w:pPr>
        <w:rPr>
          <w:noProof/>
        </w:rPr>
      </w:pPr>
      <w:r w:rsidRPr="00DD1DFA">
        <w:rPr>
          <w:noProof/>
        </w:rPr>
        <w:t>Oznakowania inne niż oznakowanie CE,</w:t>
      </w:r>
      <w:r w:rsidR="00DD1DFA" w:rsidRPr="00DD1DFA">
        <w:rPr>
          <w:noProof/>
        </w:rPr>
        <w:t xml:space="preserve"> w</w:t>
      </w:r>
      <w:r w:rsidR="00DD1DFA">
        <w:rPr>
          <w:noProof/>
        </w:rPr>
        <w:t> </w:t>
      </w:r>
      <w:r w:rsidR="00DD1DFA" w:rsidRPr="00DD1DFA">
        <w:rPr>
          <w:noProof/>
        </w:rPr>
        <w:t>tym</w:t>
      </w:r>
      <w:r w:rsidRPr="00DD1DFA">
        <w:rPr>
          <w:noProof/>
        </w:rPr>
        <w:t xml:space="preserve"> oznakowania prywatne, można umieszczać na wyrobie wyłącznie wówczas, gdy nie obejmują one zharmonizowanych specyfikacji technicznych lub wymogów dotyczących wyrobów, zasadniczych charakterystyk lub metod oceny</w:t>
      </w:r>
      <w:r w:rsidR="00DD1DFA" w:rsidRPr="00DD1DFA">
        <w:rPr>
          <w:noProof/>
        </w:rPr>
        <w:t xml:space="preserve"> w</w:t>
      </w:r>
      <w:r w:rsidR="00DD1DFA">
        <w:rPr>
          <w:noProof/>
        </w:rPr>
        <w:t> </w:t>
      </w:r>
      <w:r w:rsidR="00DD1DFA" w:rsidRPr="00DD1DFA">
        <w:rPr>
          <w:noProof/>
        </w:rPr>
        <w:t>ram</w:t>
      </w:r>
      <w:r w:rsidRPr="00DD1DFA">
        <w:rPr>
          <w:noProof/>
        </w:rPr>
        <w:t>ach strefy zharmonizowanej, ani się do nich nie odnoszą.</w:t>
      </w:r>
    </w:p>
    <w:p w14:paraId="1697D7EA" w14:textId="0812937A" w:rsidR="00373A11" w:rsidRPr="00DD1DFA" w:rsidRDefault="00373A11" w:rsidP="00373A11">
      <w:pPr>
        <w:rPr>
          <w:noProof/>
        </w:rPr>
      </w:pPr>
      <w:r w:rsidRPr="00DD1DFA">
        <w:rPr>
          <w:noProof/>
        </w:rPr>
        <w:t>Na wyrobie nie można umieszczać żadnego oznakowania innego niż oznakowanie określone</w:t>
      </w:r>
      <w:r w:rsidR="00DD1DFA" w:rsidRPr="00DD1DFA">
        <w:rPr>
          <w:noProof/>
        </w:rPr>
        <w:t xml:space="preserve"> w</w:t>
      </w:r>
      <w:r w:rsidR="00DD1DFA">
        <w:rPr>
          <w:noProof/>
        </w:rPr>
        <w:t> </w:t>
      </w:r>
      <w:r w:rsidR="00DD1DFA" w:rsidRPr="00DD1DFA">
        <w:rPr>
          <w:noProof/>
        </w:rPr>
        <w:t>prz</w:t>
      </w:r>
      <w:r w:rsidRPr="00DD1DFA">
        <w:rPr>
          <w:noProof/>
        </w:rPr>
        <w:t>episach unijnych</w:t>
      </w:r>
      <w:r w:rsidR="00DD1DFA" w:rsidRPr="00DD1DFA">
        <w:rPr>
          <w:noProof/>
        </w:rPr>
        <w:t xml:space="preserve"> w</w:t>
      </w:r>
      <w:r w:rsidR="00DD1DFA">
        <w:rPr>
          <w:noProof/>
        </w:rPr>
        <w:t> </w:t>
      </w:r>
      <w:r w:rsidR="00DD1DFA" w:rsidRPr="00DD1DFA">
        <w:rPr>
          <w:noProof/>
        </w:rPr>
        <w:t>odl</w:t>
      </w:r>
      <w:r w:rsidRPr="00DD1DFA">
        <w:rPr>
          <w:noProof/>
        </w:rPr>
        <w:t>egłości mniejszej niż podwójna długość oznakowania CE mierzona od dowolnego punktu oznakowania CE</w:t>
      </w:r>
      <w:r w:rsidR="00DD1DFA" w:rsidRPr="00DD1DFA">
        <w:rPr>
          <w:noProof/>
        </w:rPr>
        <w:t xml:space="preserve"> i</w:t>
      </w:r>
      <w:r w:rsidR="00DD1DFA">
        <w:rPr>
          <w:noProof/>
        </w:rPr>
        <w:t> </w:t>
      </w:r>
      <w:r w:rsidR="00DD1DFA" w:rsidRPr="00DD1DFA">
        <w:rPr>
          <w:noProof/>
        </w:rPr>
        <w:t>inn</w:t>
      </w:r>
      <w:r w:rsidRPr="00DD1DFA">
        <w:rPr>
          <w:noProof/>
        </w:rPr>
        <w:t>ego oznakowania określonego</w:t>
      </w:r>
      <w:r w:rsidR="00DD1DFA" w:rsidRPr="00DD1DFA">
        <w:rPr>
          <w:noProof/>
        </w:rPr>
        <w:t xml:space="preserve"> w</w:t>
      </w:r>
      <w:r w:rsidR="00DD1DFA">
        <w:rPr>
          <w:noProof/>
        </w:rPr>
        <w:t> </w:t>
      </w:r>
      <w:r w:rsidR="00DD1DFA" w:rsidRPr="00DD1DFA">
        <w:rPr>
          <w:noProof/>
        </w:rPr>
        <w:t>pra</w:t>
      </w:r>
      <w:r w:rsidRPr="00DD1DFA">
        <w:rPr>
          <w:noProof/>
        </w:rPr>
        <w:t>wie Unii.</w:t>
      </w:r>
    </w:p>
    <w:p w14:paraId="5A42D957" w14:textId="77777777" w:rsidR="00373A11" w:rsidRPr="00DD1DFA" w:rsidRDefault="00373A11" w:rsidP="00373A11">
      <w:pPr>
        <w:rPr>
          <w:noProof/>
        </w:rPr>
      </w:pPr>
      <w:r w:rsidRPr="00DD1DFA">
        <w:rPr>
          <w:noProof/>
        </w:rPr>
        <w:t>Na deklaracji właściwości użytkowych lub deklaracji zgodności nie można umieszczać oznakowań innych niż oznakowanie CE.</w:t>
      </w:r>
    </w:p>
    <w:p w14:paraId="5198B453" w14:textId="77777777" w:rsidR="00BC1E12" w:rsidRPr="00DD1DFA" w:rsidRDefault="00BC1E12" w:rsidP="00B85BA4">
      <w:pPr>
        <w:rPr>
          <w:noProof/>
          <w:lang w:eastAsia="en-GB"/>
        </w:rPr>
      </w:pPr>
    </w:p>
    <w:p w14:paraId="6A4AA632" w14:textId="77777777" w:rsidR="00BC1E12" w:rsidRPr="00DD1DFA" w:rsidRDefault="00BC1E12" w:rsidP="00505F26">
      <w:pPr>
        <w:pStyle w:val="ChapterTitle"/>
        <w:rPr>
          <w:noProof/>
          <w:sz w:val="24"/>
          <w:szCs w:val="24"/>
        </w:rPr>
      </w:pPr>
      <w:r w:rsidRPr="00DD1DFA">
        <w:rPr>
          <w:noProof/>
          <w:sz w:val="24"/>
          <w:szCs w:val="24"/>
        </w:rPr>
        <w:t>ROZDZIAŁ III</w:t>
      </w:r>
    </w:p>
    <w:p w14:paraId="4CD6C865" w14:textId="77777777" w:rsidR="00BC1E12" w:rsidRPr="00DD1DFA" w:rsidRDefault="00BC1E12" w:rsidP="00505F26">
      <w:pPr>
        <w:pStyle w:val="ChapterTitle"/>
        <w:rPr>
          <w:noProof/>
          <w:sz w:val="24"/>
          <w:szCs w:val="24"/>
        </w:rPr>
      </w:pPr>
      <w:r w:rsidRPr="00DD1DFA">
        <w:rPr>
          <w:noProof/>
          <w:sz w:val="24"/>
          <w:szCs w:val="24"/>
        </w:rPr>
        <w:t xml:space="preserve">OBOWIĄZKI I PRAWA PODMIOTÓW GOSPODARCZYCH </w:t>
      </w:r>
    </w:p>
    <w:p w14:paraId="66D2AAAC" w14:textId="77777777" w:rsidR="00BC1E12" w:rsidRPr="00DD1DFA" w:rsidRDefault="00BC1E12" w:rsidP="00505F26">
      <w:pPr>
        <w:pStyle w:val="Titrearticle"/>
        <w:rPr>
          <w:noProof/>
        </w:rPr>
      </w:pPr>
      <w:r w:rsidRPr="00DD1DFA">
        <w:rPr>
          <w:noProof/>
        </w:rPr>
        <w:t>Artykuł 19</w:t>
      </w:r>
    </w:p>
    <w:p w14:paraId="3AEA7C79" w14:textId="77777777" w:rsidR="00BC1E12" w:rsidRPr="00DD1DFA" w:rsidRDefault="00BC1E12" w:rsidP="00505F26">
      <w:pPr>
        <w:pStyle w:val="Titrearticle"/>
        <w:rPr>
          <w:b/>
          <w:bCs/>
          <w:noProof/>
        </w:rPr>
      </w:pPr>
      <w:r w:rsidRPr="00DD1DFA">
        <w:rPr>
          <w:b/>
          <w:bCs/>
          <w:noProof/>
        </w:rPr>
        <w:t>Obowiązki wszystkich podmiotów gospodarczych</w:t>
      </w:r>
    </w:p>
    <w:p w14:paraId="50B60EB0" w14:textId="40653A8B" w:rsidR="00373A11" w:rsidRPr="00DD1DFA" w:rsidRDefault="005F7EFA" w:rsidP="005F7EFA">
      <w:pPr>
        <w:pStyle w:val="ManualNumPar1"/>
        <w:rPr>
          <w:noProof/>
        </w:rPr>
      </w:pPr>
      <w:r w:rsidRPr="005F7EFA">
        <w:t>1.</w:t>
      </w:r>
      <w:r w:rsidRPr="005F7EFA">
        <w:tab/>
      </w:r>
      <w:r w:rsidR="00373A11" w:rsidRPr="00DD1DFA">
        <w:rPr>
          <w:noProof/>
        </w:rPr>
        <w:t>Podmiot gospodarczy wprowadza wszelkie niezbędne środki</w:t>
      </w:r>
      <w:r w:rsidR="00DD1DFA" w:rsidRPr="00DD1DFA">
        <w:rPr>
          <w:noProof/>
        </w:rPr>
        <w:t xml:space="preserve"> w</w:t>
      </w:r>
      <w:r w:rsidR="00DD1DFA">
        <w:rPr>
          <w:noProof/>
        </w:rPr>
        <w:t> </w:t>
      </w:r>
      <w:r w:rsidR="00DD1DFA" w:rsidRPr="00DD1DFA">
        <w:rPr>
          <w:noProof/>
        </w:rPr>
        <w:t>cel</w:t>
      </w:r>
      <w:r w:rsidR="00373A11" w:rsidRPr="00DD1DFA">
        <w:rPr>
          <w:noProof/>
        </w:rPr>
        <w:t>u zapewnienia stałej zgodności,</w:t>
      </w:r>
      <w:r w:rsidR="00DD1DFA" w:rsidRPr="00DD1DFA">
        <w:rPr>
          <w:noProof/>
        </w:rPr>
        <w:t xml:space="preserve"> w</w:t>
      </w:r>
      <w:r w:rsidR="00DD1DFA">
        <w:rPr>
          <w:noProof/>
        </w:rPr>
        <w:t> </w:t>
      </w:r>
      <w:r w:rsidR="00DD1DFA" w:rsidRPr="00DD1DFA">
        <w:rPr>
          <w:noProof/>
        </w:rPr>
        <w:t>tym</w:t>
      </w:r>
      <w:r w:rsidR="00373A11" w:rsidRPr="00DD1DFA">
        <w:rPr>
          <w:noProof/>
        </w:rPr>
        <w:t xml:space="preserve"> zgodności wyrobów,</w:t>
      </w:r>
      <w:r w:rsidR="00DD1DFA" w:rsidRPr="00DD1DFA">
        <w:rPr>
          <w:noProof/>
        </w:rPr>
        <w:t xml:space="preserve"> z</w:t>
      </w:r>
      <w:r w:rsidR="00DD1DFA">
        <w:rPr>
          <w:noProof/>
        </w:rPr>
        <w:t> </w:t>
      </w:r>
      <w:r w:rsidR="00DD1DFA" w:rsidRPr="00DD1DFA">
        <w:rPr>
          <w:noProof/>
        </w:rPr>
        <w:t>nin</w:t>
      </w:r>
      <w:r w:rsidR="00373A11" w:rsidRPr="00DD1DFA">
        <w:rPr>
          <w:noProof/>
        </w:rPr>
        <w:t>iejszym rozporządzeniem. Jeżeli organ nadzoru rynku stwierdzi występowanie niezgodności danego podmiotu gospodarczego lub wyrobu oraz zażąda podjęcie działań naprawczych zgodnie</w:t>
      </w:r>
      <w:r w:rsidR="00DD1DFA" w:rsidRPr="00DD1DFA">
        <w:rPr>
          <w:noProof/>
        </w:rPr>
        <w:t xml:space="preserve"> z</w:t>
      </w:r>
      <w:r w:rsidR="00DD1DFA">
        <w:rPr>
          <w:noProof/>
        </w:rPr>
        <w:t> </w:t>
      </w:r>
      <w:r w:rsidR="00DD1DFA" w:rsidRPr="00DD1DFA">
        <w:rPr>
          <w:noProof/>
        </w:rPr>
        <w:t>art</w:t>
      </w:r>
      <w:r w:rsidR="00373A11" w:rsidRPr="00DD1DFA">
        <w:rPr>
          <w:noProof/>
        </w:rPr>
        <w:t>.</w:t>
      </w:r>
      <w:r w:rsidR="00DD1DFA" w:rsidRPr="00DD1DFA">
        <w:rPr>
          <w:noProof/>
        </w:rPr>
        <w:t> </w:t>
      </w:r>
      <w:r w:rsidR="00373A11" w:rsidRPr="00DD1DFA">
        <w:rPr>
          <w:noProof/>
        </w:rPr>
        <w:t>70 ust.</w:t>
      </w:r>
      <w:r w:rsidR="00DD1DFA" w:rsidRPr="00DD1DFA">
        <w:rPr>
          <w:noProof/>
        </w:rPr>
        <w:t> </w:t>
      </w:r>
      <w:r w:rsidR="00373A11" w:rsidRPr="00DD1DFA">
        <w:rPr>
          <w:noProof/>
        </w:rPr>
        <w:t>1, podmiot gospodarczy przedstawia temu organowi sprawozdania</w:t>
      </w:r>
      <w:r w:rsidR="00DD1DFA" w:rsidRPr="00DD1DFA">
        <w:rPr>
          <w:noProof/>
        </w:rPr>
        <w:t xml:space="preserve"> z</w:t>
      </w:r>
      <w:r w:rsidR="00DD1DFA">
        <w:rPr>
          <w:noProof/>
        </w:rPr>
        <w:t> </w:t>
      </w:r>
      <w:r w:rsidR="00DD1DFA" w:rsidRPr="00DD1DFA">
        <w:rPr>
          <w:noProof/>
        </w:rPr>
        <w:t>pos</w:t>
      </w:r>
      <w:r w:rsidR="00373A11" w:rsidRPr="00DD1DFA">
        <w:rPr>
          <w:noProof/>
        </w:rPr>
        <w:t>tępu prac, dopóki organ ten nie zdecyduje, że działania naprawcze można zakończyć.</w:t>
      </w:r>
    </w:p>
    <w:p w14:paraId="735E62E1" w14:textId="57DFD117" w:rsidR="00373A11" w:rsidRPr="00DD1DFA" w:rsidRDefault="005F7EFA" w:rsidP="005F7EFA">
      <w:pPr>
        <w:pStyle w:val="ManualNumPar1"/>
        <w:rPr>
          <w:noProof/>
        </w:rPr>
      </w:pPr>
      <w:r w:rsidRPr="005F7EFA">
        <w:t>2.</w:t>
      </w:r>
      <w:r w:rsidRPr="005F7EFA">
        <w:tab/>
      </w:r>
      <w:r w:rsidR="00373A11" w:rsidRPr="00DD1DFA">
        <w:rPr>
          <w:noProof/>
        </w:rPr>
        <w:t>W przypadku rozbieżnych stwierdzeń organów różnych państw członkowskich co do występowania niezgodności podmiotu gospodarczego lub wyrobu oraz żądań</w:t>
      </w:r>
      <w:r w:rsidR="00DD1DFA" w:rsidRPr="00DD1DFA">
        <w:rPr>
          <w:noProof/>
        </w:rPr>
        <w:t xml:space="preserve"> z</w:t>
      </w:r>
      <w:r w:rsidR="00DD1DFA">
        <w:rPr>
          <w:noProof/>
        </w:rPr>
        <w:t> </w:t>
      </w:r>
      <w:r w:rsidR="00DD1DFA" w:rsidRPr="00DD1DFA">
        <w:rPr>
          <w:noProof/>
        </w:rPr>
        <w:t>ich</w:t>
      </w:r>
      <w:r w:rsidR="00373A11" w:rsidRPr="00DD1DFA">
        <w:rPr>
          <w:noProof/>
        </w:rPr>
        <w:t xml:space="preserve"> strony do podjęcia działań naprawczych, podmiot gospodarczy jest zobowiązany wprowadzić zróżnicowane środki,</w:t>
      </w:r>
      <w:r w:rsidR="00DD1DFA" w:rsidRPr="00DD1DFA">
        <w:rPr>
          <w:noProof/>
        </w:rPr>
        <w:t xml:space="preserve"> w</w:t>
      </w:r>
      <w:r w:rsidR="00DD1DFA">
        <w:rPr>
          <w:noProof/>
        </w:rPr>
        <w:t> </w:t>
      </w:r>
      <w:r w:rsidR="00DD1DFA" w:rsidRPr="00DD1DFA">
        <w:rPr>
          <w:noProof/>
        </w:rPr>
        <w:t>zal</w:t>
      </w:r>
      <w:r w:rsidR="00373A11" w:rsidRPr="00DD1DFA">
        <w:rPr>
          <w:noProof/>
        </w:rPr>
        <w:t>eżności od miejsca,</w:t>
      </w:r>
      <w:r w:rsidR="00DD1DFA" w:rsidRPr="00DD1DFA">
        <w:rPr>
          <w:noProof/>
        </w:rPr>
        <w:t xml:space="preserve"> w</w:t>
      </w:r>
      <w:r w:rsidR="00DD1DFA">
        <w:rPr>
          <w:noProof/>
        </w:rPr>
        <w:t> </w:t>
      </w:r>
      <w:r w:rsidR="00DD1DFA" w:rsidRPr="00DD1DFA">
        <w:rPr>
          <w:noProof/>
        </w:rPr>
        <w:t>któ</w:t>
      </w:r>
      <w:r w:rsidR="00373A11" w:rsidRPr="00DD1DFA">
        <w:rPr>
          <w:noProof/>
        </w:rPr>
        <w:t>rym dane wyroby są przeznaczone do wprowadzenia do obrotu lub bezpośredniego wbudowania. Jeżeli nie jest to możliwe lub jeżeli surowszy środek nałożony przez jedno państwo członkowskie obejmuje mniej surowy środek nałożony przez inne państwo członkowskie, stosuje się środek surowszy. Jeżeli przepisy te nie prowadzą do jednoznacznego rozstrzygnięcia, zainteresowane państwa członkowskie</w:t>
      </w:r>
      <w:r w:rsidR="00DD1DFA" w:rsidRPr="00DD1DFA">
        <w:rPr>
          <w:noProof/>
        </w:rPr>
        <w:t xml:space="preserve"> i</w:t>
      </w:r>
      <w:r w:rsidR="00DD1DFA">
        <w:rPr>
          <w:noProof/>
        </w:rPr>
        <w:t> </w:t>
      </w:r>
      <w:r w:rsidR="00DD1DFA" w:rsidRPr="00DD1DFA">
        <w:rPr>
          <w:noProof/>
        </w:rPr>
        <w:t>Kom</w:t>
      </w:r>
      <w:r w:rsidR="00373A11" w:rsidRPr="00DD1DFA">
        <w:rPr>
          <w:noProof/>
        </w:rPr>
        <w:t>isja, a na ich wniosek także inne państwa członkowskie, próbują znaleźć wspólne rozwiązanie</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raz</w:t>
      </w:r>
      <w:r w:rsidR="00373A11" w:rsidRPr="00DD1DFA">
        <w:rPr>
          <w:noProof/>
        </w:rPr>
        <w:t>ie potrzeby Komisja przyjmuje akt wykonawczy zgodnie</w:t>
      </w:r>
      <w:r w:rsidR="00DD1DFA" w:rsidRPr="00DD1DFA">
        <w:rPr>
          <w:noProof/>
        </w:rPr>
        <w:t xml:space="preserve"> z</w:t>
      </w:r>
      <w:r w:rsidR="00DD1DFA">
        <w:rPr>
          <w:noProof/>
        </w:rPr>
        <w:t> </w:t>
      </w:r>
      <w:r w:rsidR="00DD1DFA" w:rsidRPr="00DD1DFA">
        <w:rPr>
          <w:noProof/>
        </w:rPr>
        <w:t>art</w:t>
      </w:r>
      <w:r w:rsidR="00373A11" w:rsidRPr="00DD1DFA">
        <w:rPr>
          <w:noProof/>
        </w:rPr>
        <w:t>.</w:t>
      </w:r>
      <w:r w:rsidR="00DD1DFA" w:rsidRPr="00DD1DFA">
        <w:rPr>
          <w:noProof/>
        </w:rPr>
        <w:t> </w:t>
      </w:r>
      <w:r w:rsidR="00373A11" w:rsidRPr="00DD1DFA">
        <w:rPr>
          <w:noProof/>
        </w:rPr>
        <w:t>33.</w:t>
      </w:r>
    </w:p>
    <w:p w14:paraId="070455FE" w14:textId="566766CE" w:rsidR="00373A11" w:rsidRPr="00DD1DFA" w:rsidRDefault="005F7EFA" w:rsidP="005F7EFA">
      <w:pPr>
        <w:pStyle w:val="ManualNumPar1"/>
        <w:rPr>
          <w:noProof/>
        </w:rPr>
      </w:pPr>
      <w:r w:rsidRPr="005F7EFA">
        <w:t>3.</w:t>
      </w:r>
      <w:r w:rsidRPr="005F7EFA">
        <w:tab/>
      </w:r>
      <w:r w:rsidR="00373A11" w:rsidRPr="00DD1DFA">
        <w:rPr>
          <w:noProof/>
        </w:rPr>
        <w:t>Na wniosek organu podmiot gospodarczy jest zobowiązany poinformować ten organ</w:t>
      </w:r>
      <w:r w:rsidR="00DD1DFA" w:rsidRPr="00DD1DFA">
        <w:rPr>
          <w:noProof/>
        </w:rPr>
        <w:t xml:space="preserve"> o</w:t>
      </w:r>
      <w:r w:rsidR="00DD1DFA">
        <w:rPr>
          <w:noProof/>
        </w:rPr>
        <w:t> </w:t>
      </w:r>
      <w:r w:rsidR="00DD1DFA" w:rsidRPr="00DD1DFA">
        <w:rPr>
          <w:noProof/>
        </w:rPr>
        <w:t>każ</w:t>
      </w:r>
      <w:r w:rsidR="00373A11" w:rsidRPr="00DD1DFA">
        <w:rPr>
          <w:noProof/>
        </w:rPr>
        <w:t>dym podmiocie gospodarczym lub innym podmiocie:</w:t>
      </w:r>
    </w:p>
    <w:p w14:paraId="4C639550" w14:textId="2103B033" w:rsidR="00373A11" w:rsidRPr="00DD1DFA" w:rsidRDefault="00626BBA" w:rsidP="00626BBA">
      <w:pPr>
        <w:pStyle w:val="Point1"/>
        <w:rPr>
          <w:noProof/>
        </w:rPr>
      </w:pPr>
      <w:r w:rsidRPr="00626BBA">
        <w:rPr>
          <w:noProof/>
        </w:rPr>
        <w:t>a)</w:t>
      </w:r>
      <w:r w:rsidRPr="00626BBA">
        <w:rPr>
          <w:noProof/>
        </w:rPr>
        <w:tab/>
      </w:r>
      <w:r w:rsidR="00373A11" w:rsidRPr="00DD1DFA">
        <w:rPr>
          <w:noProof/>
        </w:rPr>
        <w:t>który dostarczył mu wyrób,</w:t>
      </w:r>
      <w:r w:rsidR="00DD1DFA" w:rsidRPr="00DD1DFA">
        <w:rPr>
          <w:noProof/>
        </w:rPr>
        <w:t xml:space="preserve"> w</w:t>
      </w:r>
      <w:r w:rsidR="00DD1DFA">
        <w:rPr>
          <w:noProof/>
        </w:rPr>
        <w:t> </w:t>
      </w:r>
      <w:r w:rsidR="00DD1DFA" w:rsidRPr="00DD1DFA">
        <w:rPr>
          <w:noProof/>
        </w:rPr>
        <w:t>tym</w:t>
      </w:r>
      <w:r w:rsidR="00373A11" w:rsidRPr="00DD1DFA">
        <w:rPr>
          <w:noProof/>
        </w:rPr>
        <w:t xml:space="preserve"> części składowe lub części zamienne do wyrobów, lub usługi, mające znaczenie dla danego wyrobu, oraz</w:t>
      </w:r>
      <w:r w:rsidR="00DD1DFA" w:rsidRPr="00DD1DFA">
        <w:rPr>
          <w:noProof/>
        </w:rPr>
        <w:t xml:space="preserve"> o</w:t>
      </w:r>
      <w:r w:rsidR="00DD1DFA">
        <w:rPr>
          <w:noProof/>
        </w:rPr>
        <w:t> </w:t>
      </w:r>
      <w:r w:rsidR="00DD1DFA" w:rsidRPr="00DD1DFA">
        <w:rPr>
          <w:noProof/>
        </w:rPr>
        <w:t>wie</w:t>
      </w:r>
      <w:r w:rsidR="00373A11" w:rsidRPr="00DD1DFA">
        <w:rPr>
          <w:noProof/>
        </w:rPr>
        <w:t>lkości tej dostawy;</w:t>
      </w:r>
    </w:p>
    <w:p w14:paraId="23640611" w14:textId="553FE3A8" w:rsidR="00373A11" w:rsidRPr="00DD1DFA" w:rsidRDefault="00626BBA" w:rsidP="00626BBA">
      <w:pPr>
        <w:pStyle w:val="Point1"/>
        <w:rPr>
          <w:noProof/>
        </w:rPr>
      </w:pPr>
      <w:r w:rsidRPr="00626BBA">
        <w:rPr>
          <w:noProof/>
        </w:rPr>
        <w:t>b)</w:t>
      </w:r>
      <w:r w:rsidRPr="00626BBA">
        <w:rPr>
          <w:noProof/>
        </w:rPr>
        <w:tab/>
      </w:r>
      <w:r w:rsidR="00373A11" w:rsidRPr="00DD1DFA">
        <w:rPr>
          <w:noProof/>
        </w:rPr>
        <w:t>któremu dostarczył wyrób,</w:t>
      </w:r>
      <w:r w:rsidR="00DD1DFA" w:rsidRPr="00DD1DFA">
        <w:rPr>
          <w:noProof/>
        </w:rPr>
        <w:t xml:space="preserve"> w</w:t>
      </w:r>
      <w:r w:rsidR="00DD1DFA">
        <w:rPr>
          <w:noProof/>
        </w:rPr>
        <w:t> </w:t>
      </w:r>
      <w:r w:rsidR="00DD1DFA" w:rsidRPr="00DD1DFA">
        <w:rPr>
          <w:noProof/>
        </w:rPr>
        <w:t>tym</w:t>
      </w:r>
      <w:r w:rsidR="00373A11" w:rsidRPr="00DD1DFA">
        <w:rPr>
          <w:noProof/>
        </w:rPr>
        <w:t xml:space="preserve"> części składowe lub części zamienne do wyrobów, lub usługi, mające znaczenie dla danego wyrobu, oraz</w:t>
      </w:r>
      <w:r w:rsidR="00DD1DFA" w:rsidRPr="00DD1DFA">
        <w:rPr>
          <w:noProof/>
        </w:rPr>
        <w:t xml:space="preserve"> o</w:t>
      </w:r>
      <w:r w:rsidR="00DD1DFA">
        <w:rPr>
          <w:noProof/>
        </w:rPr>
        <w:t> </w:t>
      </w:r>
      <w:r w:rsidR="00DD1DFA" w:rsidRPr="00DD1DFA">
        <w:rPr>
          <w:noProof/>
        </w:rPr>
        <w:t>wie</w:t>
      </w:r>
      <w:r w:rsidR="00373A11" w:rsidRPr="00DD1DFA">
        <w:rPr>
          <w:noProof/>
        </w:rPr>
        <w:t>lkości tej dostawy;</w:t>
      </w:r>
    </w:p>
    <w:p w14:paraId="4F497226" w14:textId="069CAAA3" w:rsidR="00373A11" w:rsidRPr="00DD1DFA" w:rsidRDefault="00626BBA" w:rsidP="00626BBA">
      <w:pPr>
        <w:pStyle w:val="Point1"/>
        <w:rPr>
          <w:noProof/>
        </w:rPr>
      </w:pPr>
      <w:r w:rsidRPr="00626BBA">
        <w:rPr>
          <w:noProof/>
        </w:rPr>
        <w:t>c)</w:t>
      </w:r>
      <w:r w:rsidRPr="00626BBA">
        <w:rPr>
          <w:noProof/>
        </w:rPr>
        <w:tab/>
      </w:r>
      <w:r w:rsidR="00373A11" w:rsidRPr="00DD1DFA">
        <w:rPr>
          <w:noProof/>
        </w:rPr>
        <w:t>który świadczy usługi finansowe</w:t>
      </w:r>
      <w:r w:rsidR="00DD1DFA" w:rsidRPr="00DD1DFA">
        <w:rPr>
          <w:noProof/>
        </w:rPr>
        <w:t xml:space="preserve"> i</w:t>
      </w:r>
      <w:r w:rsidR="00DD1DFA">
        <w:rPr>
          <w:noProof/>
        </w:rPr>
        <w:t> </w:t>
      </w:r>
      <w:r w:rsidR="00DD1DFA" w:rsidRPr="00DD1DFA">
        <w:rPr>
          <w:noProof/>
        </w:rPr>
        <w:t>inn</w:t>
      </w:r>
      <w:r w:rsidR="00373A11" w:rsidRPr="00DD1DFA">
        <w:rPr>
          <w:noProof/>
        </w:rPr>
        <w:t>e usługi dodatkowe związane</w:t>
      </w:r>
      <w:r w:rsidR="00DD1DFA" w:rsidRPr="00DD1DFA">
        <w:rPr>
          <w:noProof/>
        </w:rPr>
        <w:t xml:space="preserve"> z</w:t>
      </w:r>
      <w:r w:rsidR="00DD1DFA">
        <w:rPr>
          <w:noProof/>
        </w:rPr>
        <w:t> </w:t>
      </w:r>
      <w:r w:rsidR="00DD1DFA" w:rsidRPr="00DD1DFA">
        <w:rPr>
          <w:noProof/>
        </w:rPr>
        <w:t>wpr</w:t>
      </w:r>
      <w:r w:rsidR="00373A11" w:rsidRPr="00DD1DFA">
        <w:rPr>
          <w:noProof/>
        </w:rPr>
        <w:t>owadzeniem wyrobów do obrotu lub ich bezpośrednim montażem.</w:t>
      </w:r>
    </w:p>
    <w:p w14:paraId="4FACE994" w14:textId="22C7AA57" w:rsidR="00373A11" w:rsidRPr="00DD1DFA" w:rsidRDefault="00373A11" w:rsidP="00300D3C">
      <w:pPr>
        <w:pStyle w:val="Text1"/>
        <w:rPr>
          <w:noProof/>
        </w:rPr>
      </w:pPr>
      <w:r w:rsidRPr="00DD1DFA">
        <w:rPr>
          <w:noProof/>
        </w:rPr>
        <w:t>Podczas identyfikowania wyrobów,</w:t>
      </w:r>
      <w:r w:rsidR="00DD1DFA" w:rsidRPr="00DD1DFA">
        <w:rPr>
          <w:noProof/>
        </w:rPr>
        <w:t xml:space="preserve"> o</w:t>
      </w:r>
      <w:r w:rsidR="00DD1DFA">
        <w:rPr>
          <w:noProof/>
        </w:rPr>
        <w:t> </w:t>
      </w:r>
      <w:r w:rsidR="00DD1DFA" w:rsidRPr="00DD1DFA">
        <w:rPr>
          <w:noProof/>
        </w:rPr>
        <w:t>któ</w:t>
      </w:r>
      <w:r w:rsidRPr="00DD1DFA">
        <w:rPr>
          <w:noProof/>
        </w:rPr>
        <w:t>rych mowa</w:t>
      </w:r>
      <w:r w:rsidR="00DD1DFA" w:rsidRPr="00DD1DFA">
        <w:rPr>
          <w:noProof/>
        </w:rPr>
        <w:t xml:space="preserve"> w</w:t>
      </w:r>
      <w:r w:rsidR="00DD1DFA">
        <w:rPr>
          <w:noProof/>
        </w:rPr>
        <w:t> </w:t>
      </w:r>
      <w:r w:rsidR="00DD1DFA" w:rsidRPr="00DD1DFA">
        <w:rPr>
          <w:noProof/>
        </w:rPr>
        <w:t>aka</w:t>
      </w:r>
      <w:r w:rsidRPr="00DD1DFA">
        <w:rPr>
          <w:noProof/>
        </w:rPr>
        <w:t>picie pierwszym, podmiot gospodarczy przedstawia organowi wszystkie związane</w:t>
      </w:r>
      <w:r w:rsidR="00DD1DFA" w:rsidRPr="00DD1DFA">
        <w:rPr>
          <w:noProof/>
        </w:rPr>
        <w:t xml:space="preserve"> z</w:t>
      </w:r>
      <w:r w:rsidR="00DD1DFA">
        <w:rPr>
          <w:noProof/>
        </w:rPr>
        <w:t> </w:t>
      </w:r>
      <w:r w:rsidR="00DD1DFA" w:rsidRPr="00DD1DFA">
        <w:rPr>
          <w:noProof/>
        </w:rPr>
        <w:t>nim</w:t>
      </w:r>
      <w:r w:rsidRPr="00DD1DFA">
        <w:rPr>
          <w:noProof/>
        </w:rPr>
        <w:t>i dane,</w:t>
      </w:r>
      <w:r w:rsidR="00DD1DFA" w:rsidRPr="00DD1DFA">
        <w:rPr>
          <w:noProof/>
        </w:rPr>
        <w:t xml:space="preserve"> w</w:t>
      </w:r>
      <w:r w:rsidR="00DD1DFA">
        <w:rPr>
          <w:noProof/>
        </w:rPr>
        <w:t> </w:t>
      </w:r>
      <w:r w:rsidR="00DD1DFA" w:rsidRPr="00DD1DFA">
        <w:rPr>
          <w:noProof/>
        </w:rPr>
        <w:t>tym</w:t>
      </w:r>
      <w:r w:rsidRPr="00DD1DFA">
        <w:rPr>
          <w:noProof/>
        </w:rPr>
        <w:t xml:space="preserve">: </w:t>
      </w:r>
    </w:p>
    <w:p w14:paraId="3789C170" w14:textId="04128AE7" w:rsidR="00373A11" w:rsidRPr="00DD1DFA" w:rsidRDefault="005F7EFA" w:rsidP="005F7EFA">
      <w:pPr>
        <w:pStyle w:val="Point1"/>
        <w:rPr>
          <w:noProof/>
        </w:rPr>
      </w:pPr>
      <w:r w:rsidRPr="005F7EFA">
        <w:t>(i)</w:t>
      </w:r>
      <w:r w:rsidRPr="005F7EFA">
        <w:tab/>
      </w:r>
      <w:r w:rsidR="00373A11" w:rsidRPr="00DD1DFA">
        <w:rPr>
          <w:noProof/>
        </w:rPr>
        <w:t>adresy operatorów,</w:t>
      </w:r>
      <w:r w:rsidR="00DD1DFA" w:rsidRPr="00DD1DFA">
        <w:rPr>
          <w:noProof/>
        </w:rPr>
        <w:t xml:space="preserve"> o</w:t>
      </w:r>
      <w:r w:rsidR="00DD1DFA">
        <w:rPr>
          <w:noProof/>
        </w:rPr>
        <w:t> </w:t>
      </w:r>
      <w:r w:rsidR="00DD1DFA" w:rsidRPr="00DD1DFA">
        <w:rPr>
          <w:noProof/>
        </w:rPr>
        <w:t>któ</w:t>
      </w:r>
      <w:r w:rsidR="00373A11" w:rsidRPr="00DD1DFA">
        <w:rPr>
          <w:noProof/>
        </w:rPr>
        <w:t>rych mowa</w:t>
      </w:r>
      <w:r w:rsidR="00DD1DFA" w:rsidRPr="00DD1DFA">
        <w:rPr>
          <w:noProof/>
        </w:rPr>
        <w:t xml:space="preserve"> w</w:t>
      </w:r>
      <w:r w:rsidR="00DD1DFA">
        <w:rPr>
          <w:noProof/>
        </w:rPr>
        <w:t> </w:t>
      </w:r>
      <w:r w:rsidR="00DD1DFA" w:rsidRPr="00DD1DFA">
        <w:rPr>
          <w:noProof/>
        </w:rPr>
        <w:t>aka</w:t>
      </w:r>
      <w:r w:rsidR="00373A11" w:rsidRPr="00DD1DFA">
        <w:rPr>
          <w:noProof/>
        </w:rPr>
        <w:t xml:space="preserve">picie pierwszym; </w:t>
      </w:r>
    </w:p>
    <w:p w14:paraId="3ACEA407" w14:textId="4CD0DF47" w:rsidR="00373A11" w:rsidRPr="00DD1DFA" w:rsidRDefault="005F7EFA" w:rsidP="005F7EFA">
      <w:pPr>
        <w:pStyle w:val="Point1"/>
        <w:rPr>
          <w:noProof/>
        </w:rPr>
      </w:pPr>
      <w:r w:rsidRPr="005F7EFA">
        <w:t>(ii)</w:t>
      </w:r>
      <w:r w:rsidRPr="005F7EFA">
        <w:tab/>
      </w:r>
      <w:r w:rsidR="00373A11" w:rsidRPr="00DD1DFA">
        <w:rPr>
          <w:noProof/>
        </w:rPr>
        <w:t>dane kontaktowe tych operatorów;</w:t>
      </w:r>
    </w:p>
    <w:p w14:paraId="24777F2E" w14:textId="3B0869D5" w:rsidR="00373A11" w:rsidRPr="00DD1DFA" w:rsidRDefault="005F7EFA" w:rsidP="005F7EFA">
      <w:pPr>
        <w:pStyle w:val="Point1"/>
        <w:rPr>
          <w:noProof/>
        </w:rPr>
      </w:pPr>
      <w:r w:rsidRPr="005F7EFA">
        <w:t>(iii)</w:t>
      </w:r>
      <w:r w:rsidRPr="005F7EFA">
        <w:tab/>
      </w:r>
      <w:r w:rsidR="00373A11" w:rsidRPr="00DD1DFA">
        <w:rPr>
          <w:noProof/>
        </w:rPr>
        <w:t>adresy e-mail, strony internetowe</w:t>
      </w:r>
      <w:r w:rsidR="00DD1DFA" w:rsidRPr="00DD1DFA">
        <w:rPr>
          <w:noProof/>
        </w:rPr>
        <w:t xml:space="preserve"> i</w:t>
      </w:r>
      <w:r w:rsidR="00DD1DFA">
        <w:rPr>
          <w:noProof/>
        </w:rPr>
        <w:t> </w:t>
      </w:r>
      <w:r w:rsidR="00DD1DFA" w:rsidRPr="00DD1DFA">
        <w:rPr>
          <w:noProof/>
        </w:rPr>
        <w:t>pro</w:t>
      </w:r>
      <w:r w:rsidR="00373A11" w:rsidRPr="00DD1DFA">
        <w:rPr>
          <w:noProof/>
        </w:rPr>
        <w:t>file tych operatorów</w:t>
      </w:r>
      <w:r w:rsidR="00DD1DFA" w:rsidRPr="00DD1DFA">
        <w:rPr>
          <w:noProof/>
        </w:rPr>
        <w:t xml:space="preserve"> w</w:t>
      </w:r>
      <w:r w:rsidR="00DD1DFA">
        <w:rPr>
          <w:noProof/>
        </w:rPr>
        <w:t> </w:t>
      </w:r>
      <w:r w:rsidR="00DD1DFA" w:rsidRPr="00DD1DFA">
        <w:rPr>
          <w:noProof/>
        </w:rPr>
        <w:t>med</w:t>
      </w:r>
      <w:r w:rsidR="00373A11" w:rsidRPr="00DD1DFA">
        <w:rPr>
          <w:noProof/>
        </w:rPr>
        <w:t>iach społecznościowych;</w:t>
      </w:r>
    </w:p>
    <w:p w14:paraId="1756CB00" w14:textId="1817A9C9" w:rsidR="00373A11" w:rsidRPr="00DD1DFA" w:rsidRDefault="00373A11" w:rsidP="00373A11">
      <w:pPr>
        <w:pStyle w:val="Text1"/>
        <w:rPr>
          <w:noProof/>
        </w:rPr>
      </w:pPr>
      <w:r w:rsidRPr="00DD1DFA">
        <w:rPr>
          <w:noProof/>
        </w:rPr>
        <w:t>(iv)</w:t>
      </w:r>
      <w:r w:rsidRPr="00DD1DFA">
        <w:rPr>
          <w:noProof/>
        </w:rPr>
        <w:tab/>
        <w:t>numer identyfikacji podatkowej</w:t>
      </w:r>
      <w:r w:rsidR="00DD1DFA" w:rsidRPr="00DD1DFA">
        <w:rPr>
          <w:noProof/>
        </w:rPr>
        <w:t xml:space="preserve"> i</w:t>
      </w:r>
      <w:r w:rsidR="00DD1DFA">
        <w:rPr>
          <w:noProof/>
        </w:rPr>
        <w:t> </w:t>
      </w:r>
      <w:r w:rsidR="00DD1DFA" w:rsidRPr="00DD1DFA">
        <w:rPr>
          <w:noProof/>
        </w:rPr>
        <w:t>num</w:t>
      </w:r>
      <w:r w:rsidRPr="00DD1DFA">
        <w:rPr>
          <w:noProof/>
        </w:rPr>
        <w:t>er wpisu spółki tych operatorów;</w:t>
      </w:r>
    </w:p>
    <w:p w14:paraId="77B676D2" w14:textId="7713509C" w:rsidR="00373A11" w:rsidRPr="00DD1DFA" w:rsidRDefault="005F7EFA" w:rsidP="005F7EFA">
      <w:pPr>
        <w:pStyle w:val="Point1"/>
        <w:rPr>
          <w:noProof/>
        </w:rPr>
      </w:pPr>
      <w:r w:rsidRPr="005F7EFA">
        <w:t>(v)</w:t>
      </w:r>
      <w:r w:rsidRPr="005F7EFA">
        <w:tab/>
      </w:r>
      <w:r w:rsidR="00373A11" w:rsidRPr="00DD1DFA">
        <w:rPr>
          <w:noProof/>
        </w:rPr>
        <w:t>rachunki bankowe tych operatorów; oraz</w:t>
      </w:r>
    </w:p>
    <w:p w14:paraId="2DF93C7E" w14:textId="279F590E" w:rsidR="00373A11" w:rsidRPr="00DD1DFA" w:rsidRDefault="00373A11" w:rsidP="00373A11">
      <w:pPr>
        <w:pStyle w:val="Text1"/>
        <w:rPr>
          <w:noProof/>
        </w:rPr>
      </w:pPr>
      <w:r w:rsidRPr="00DD1DFA">
        <w:rPr>
          <w:noProof/>
        </w:rPr>
        <w:t>(vi)</w:t>
      </w:r>
      <w:r w:rsidRPr="00DD1DFA">
        <w:rPr>
          <w:noProof/>
        </w:rPr>
        <w:tab/>
        <w:t>nazwy, adresy, dane kontaktowe osób fizycznych lub prawnych działających</w:t>
      </w:r>
      <w:r w:rsidR="00DD1DFA" w:rsidRPr="00DD1DFA">
        <w:rPr>
          <w:noProof/>
        </w:rPr>
        <w:t xml:space="preserve"> w</w:t>
      </w:r>
      <w:r w:rsidR="00DD1DFA">
        <w:rPr>
          <w:noProof/>
        </w:rPr>
        <w:t> </w:t>
      </w:r>
      <w:r w:rsidR="00DD1DFA" w:rsidRPr="00DD1DFA">
        <w:rPr>
          <w:noProof/>
        </w:rPr>
        <w:t>imi</w:t>
      </w:r>
      <w:r w:rsidRPr="00DD1DFA">
        <w:rPr>
          <w:noProof/>
        </w:rPr>
        <w:t>eniu tych operatorów.</w:t>
      </w:r>
    </w:p>
    <w:p w14:paraId="4D927E52" w14:textId="4C33B77F" w:rsidR="00373A11" w:rsidRPr="00DD1DFA" w:rsidRDefault="005F7EFA" w:rsidP="005F7EFA">
      <w:pPr>
        <w:pStyle w:val="ManualNumPar1"/>
        <w:rPr>
          <w:noProof/>
        </w:rPr>
      </w:pPr>
      <w:r w:rsidRPr="005F7EFA">
        <w:t>4.</w:t>
      </w:r>
      <w:r w:rsidRPr="005F7EFA">
        <w:tab/>
      </w:r>
      <w:r w:rsidR="00373A11" w:rsidRPr="00DD1DFA">
        <w:rPr>
          <w:noProof/>
        </w:rPr>
        <w:t>Podmiot gospodarczy musi być</w:t>
      </w:r>
      <w:r w:rsidR="00DD1DFA" w:rsidRPr="00DD1DFA">
        <w:rPr>
          <w:noProof/>
        </w:rPr>
        <w:t xml:space="preserve"> w</w:t>
      </w:r>
      <w:r w:rsidR="00DD1DFA">
        <w:rPr>
          <w:noProof/>
        </w:rPr>
        <w:t> </w:t>
      </w:r>
      <w:r w:rsidR="00DD1DFA" w:rsidRPr="00DD1DFA">
        <w:rPr>
          <w:noProof/>
        </w:rPr>
        <w:t>sta</w:t>
      </w:r>
      <w:r w:rsidR="00373A11" w:rsidRPr="00DD1DFA">
        <w:rPr>
          <w:noProof/>
        </w:rPr>
        <w:t>nie przedstawić organom wszystkie dokumenty</w:t>
      </w:r>
      <w:r w:rsidR="00DD1DFA" w:rsidRPr="00DD1DFA">
        <w:rPr>
          <w:noProof/>
        </w:rPr>
        <w:t xml:space="preserve"> i</w:t>
      </w:r>
      <w:r w:rsidR="00DD1DFA">
        <w:rPr>
          <w:noProof/>
        </w:rPr>
        <w:t> </w:t>
      </w:r>
      <w:r w:rsidR="00DD1DFA" w:rsidRPr="00DD1DFA">
        <w:rPr>
          <w:noProof/>
        </w:rPr>
        <w:t>inf</w:t>
      </w:r>
      <w:r w:rsidR="00373A11" w:rsidRPr="00DD1DFA">
        <w:rPr>
          <w:noProof/>
        </w:rPr>
        <w:t>ormacje,</w:t>
      </w:r>
      <w:r w:rsidR="00DD1DFA" w:rsidRPr="00DD1DFA">
        <w:rPr>
          <w:noProof/>
        </w:rPr>
        <w:t xml:space="preserve"> o</w:t>
      </w:r>
      <w:r w:rsidR="00DD1DFA">
        <w:rPr>
          <w:noProof/>
        </w:rPr>
        <w:t> </w:t>
      </w:r>
      <w:r w:rsidR="00DD1DFA" w:rsidRPr="00DD1DFA">
        <w:rPr>
          <w:noProof/>
        </w:rPr>
        <w:t>któ</w:t>
      </w:r>
      <w:r w:rsidR="00373A11" w:rsidRPr="00DD1DFA">
        <w:rPr>
          <w:noProof/>
        </w:rPr>
        <w:t>rych mowa</w:t>
      </w:r>
      <w:r w:rsidR="00DD1DFA" w:rsidRPr="00DD1DFA">
        <w:rPr>
          <w:noProof/>
        </w:rPr>
        <w:t xml:space="preserve"> w</w:t>
      </w:r>
      <w:r w:rsidR="00DD1DFA">
        <w:rPr>
          <w:noProof/>
        </w:rPr>
        <w:t> </w:t>
      </w:r>
      <w:r w:rsidR="00DD1DFA" w:rsidRPr="00DD1DFA">
        <w:rPr>
          <w:noProof/>
        </w:rPr>
        <w:t>nin</w:t>
      </w:r>
      <w:r w:rsidR="00373A11" w:rsidRPr="00DD1DFA">
        <w:rPr>
          <w:noProof/>
        </w:rPr>
        <w:t>iejszym rozdziale, przez okres dziesięciu lat od dnia,</w:t>
      </w:r>
      <w:r w:rsidR="00DD1DFA" w:rsidRPr="00DD1DFA">
        <w:rPr>
          <w:noProof/>
        </w:rPr>
        <w:t xml:space="preserve"> w</w:t>
      </w:r>
      <w:r w:rsidR="00DD1DFA">
        <w:rPr>
          <w:noProof/>
        </w:rPr>
        <w:t> </w:t>
      </w:r>
      <w:r w:rsidR="00DD1DFA" w:rsidRPr="00DD1DFA">
        <w:rPr>
          <w:noProof/>
        </w:rPr>
        <w:t>któ</w:t>
      </w:r>
      <w:r w:rsidR="00373A11" w:rsidRPr="00DD1DFA">
        <w:rPr>
          <w:noProof/>
        </w:rPr>
        <w:t>rym po raz ostatni był</w:t>
      </w:r>
      <w:r w:rsidR="00DD1DFA" w:rsidRPr="00DD1DFA">
        <w:rPr>
          <w:noProof/>
        </w:rPr>
        <w:t xml:space="preserve"> w</w:t>
      </w:r>
      <w:r w:rsidR="00DD1DFA">
        <w:rPr>
          <w:noProof/>
        </w:rPr>
        <w:t> </w:t>
      </w:r>
      <w:r w:rsidR="00DD1DFA" w:rsidRPr="00DD1DFA">
        <w:rPr>
          <w:noProof/>
        </w:rPr>
        <w:t>pos</w:t>
      </w:r>
      <w:r w:rsidR="00373A11" w:rsidRPr="00DD1DFA">
        <w:rPr>
          <w:noProof/>
        </w:rPr>
        <w:t>iadaniu danego wyrobu lub miał</w:t>
      </w:r>
      <w:r w:rsidR="00DD1DFA" w:rsidRPr="00DD1DFA">
        <w:rPr>
          <w:noProof/>
        </w:rPr>
        <w:t xml:space="preserve"> z</w:t>
      </w:r>
      <w:r w:rsidR="00DD1DFA">
        <w:rPr>
          <w:noProof/>
        </w:rPr>
        <w:t> </w:t>
      </w:r>
      <w:r w:rsidR="00DD1DFA" w:rsidRPr="00DD1DFA">
        <w:rPr>
          <w:noProof/>
        </w:rPr>
        <w:t>nim</w:t>
      </w:r>
      <w:r w:rsidR="00373A11" w:rsidRPr="00DD1DFA">
        <w:rPr>
          <w:noProof/>
        </w:rPr>
        <w:t xml:space="preserve"> do czynienia, chyba że informacje te są stale dostępne za pośrednictwem bazy danych rejestracji wyrobów lub systemu ustanowionego zgodnie</w:t>
      </w:r>
      <w:r w:rsidR="00DD1DFA" w:rsidRPr="00DD1DFA">
        <w:rPr>
          <w:noProof/>
        </w:rPr>
        <w:t xml:space="preserve"> z</w:t>
      </w:r>
      <w:r w:rsidR="00DD1DFA">
        <w:rPr>
          <w:noProof/>
        </w:rPr>
        <w:t> </w:t>
      </w:r>
      <w:r w:rsidR="00DD1DFA" w:rsidRPr="00DD1DFA">
        <w:rPr>
          <w:noProof/>
        </w:rPr>
        <w:t>art</w:t>
      </w:r>
      <w:r w:rsidR="00373A11" w:rsidRPr="00DD1DFA">
        <w:rPr>
          <w:noProof/>
        </w:rPr>
        <w:t>.</w:t>
      </w:r>
      <w:r w:rsidR="00DD1DFA" w:rsidRPr="00DD1DFA">
        <w:rPr>
          <w:noProof/>
        </w:rPr>
        <w:t> </w:t>
      </w:r>
      <w:r w:rsidR="00373A11" w:rsidRPr="00DD1DFA">
        <w:rPr>
          <w:noProof/>
        </w:rPr>
        <w:t>78. Podmiot gospodarczy przedstawia dokumentację</w:t>
      </w:r>
      <w:r w:rsidR="00DD1DFA" w:rsidRPr="00DD1DFA">
        <w:rPr>
          <w:noProof/>
        </w:rPr>
        <w:t xml:space="preserve"> i</w:t>
      </w:r>
      <w:r w:rsidR="00DD1DFA">
        <w:rPr>
          <w:noProof/>
        </w:rPr>
        <w:t> </w:t>
      </w:r>
      <w:r w:rsidR="00DD1DFA" w:rsidRPr="00DD1DFA">
        <w:rPr>
          <w:noProof/>
        </w:rPr>
        <w:t>inf</w:t>
      </w:r>
      <w:r w:rsidR="00373A11" w:rsidRPr="00DD1DFA">
        <w:rPr>
          <w:noProof/>
        </w:rPr>
        <w:t>ormacje</w:t>
      </w:r>
      <w:r w:rsidR="00DD1DFA" w:rsidRPr="00DD1DFA">
        <w:rPr>
          <w:noProof/>
        </w:rPr>
        <w:t xml:space="preserve"> w</w:t>
      </w:r>
      <w:r w:rsidR="00DD1DFA">
        <w:rPr>
          <w:noProof/>
        </w:rPr>
        <w:t> </w:t>
      </w:r>
      <w:r w:rsidR="00DD1DFA" w:rsidRPr="00DD1DFA">
        <w:rPr>
          <w:noProof/>
        </w:rPr>
        <w:t>ter</w:t>
      </w:r>
      <w:r w:rsidR="00373A11" w:rsidRPr="00DD1DFA">
        <w:rPr>
          <w:noProof/>
        </w:rPr>
        <w:t>minie 10 dni od daty otrzymania wniosku od odpowiedniego organu.</w:t>
      </w:r>
    </w:p>
    <w:p w14:paraId="0804F3BF" w14:textId="2F077582" w:rsidR="00373A11" w:rsidRPr="00DD1DFA" w:rsidRDefault="005F7EFA" w:rsidP="005F7EFA">
      <w:pPr>
        <w:pStyle w:val="ManualNumPar1"/>
        <w:rPr>
          <w:noProof/>
        </w:rPr>
      </w:pPr>
      <w:r w:rsidRPr="005F7EFA">
        <w:t>5.</w:t>
      </w:r>
      <w:r w:rsidRPr="005F7EFA">
        <w:tab/>
      </w:r>
      <w:r w:rsidR="00373A11" w:rsidRPr="00DD1DFA">
        <w:rPr>
          <w:noProof/>
        </w:rPr>
        <w:t>Podmiot gospodarczy wprowadza wszystkie wymagane dane do bazy danych lub systemu ustanowionego zgodnie</w:t>
      </w:r>
      <w:r w:rsidR="00DD1DFA" w:rsidRPr="00DD1DFA">
        <w:rPr>
          <w:noProof/>
        </w:rPr>
        <w:t xml:space="preserve"> z</w:t>
      </w:r>
      <w:r w:rsidR="00DD1DFA">
        <w:rPr>
          <w:noProof/>
        </w:rPr>
        <w:t> </w:t>
      </w:r>
      <w:r w:rsidR="00DD1DFA" w:rsidRPr="00DD1DFA">
        <w:rPr>
          <w:noProof/>
        </w:rPr>
        <w:t>art</w:t>
      </w:r>
      <w:r w:rsidR="00373A11" w:rsidRPr="00DD1DFA">
        <w:rPr>
          <w:noProof/>
        </w:rPr>
        <w:t>.</w:t>
      </w:r>
      <w:r w:rsidR="00DD1DFA" w:rsidRPr="00DD1DFA">
        <w:rPr>
          <w:noProof/>
        </w:rPr>
        <w:t> </w:t>
      </w:r>
      <w:r w:rsidR="00373A11" w:rsidRPr="00DD1DFA">
        <w:rPr>
          <w:noProof/>
        </w:rPr>
        <w:t>78</w:t>
      </w:r>
      <w:r w:rsidR="00DD1DFA" w:rsidRPr="00DD1DFA">
        <w:rPr>
          <w:noProof/>
        </w:rPr>
        <w:t xml:space="preserve"> w</w:t>
      </w:r>
      <w:r w:rsidR="00DD1DFA">
        <w:rPr>
          <w:noProof/>
        </w:rPr>
        <w:t> </w:t>
      </w:r>
      <w:r w:rsidR="00DD1DFA" w:rsidRPr="00DD1DFA">
        <w:rPr>
          <w:noProof/>
        </w:rPr>
        <w:t>ter</w:t>
      </w:r>
      <w:r w:rsidR="00373A11" w:rsidRPr="00DD1DFA">
        <w:rPr>
          <w:noProof/>
        </w:rPr>
        <w:t>minie dwóch miesięcy od daty opublikowania dostępności tej bazy danych lub systemu</w:t>
      </w:r>
      <w:r w:rsidR="00DD1DFA" w:rsidRPr="00DD1DFA">
        <w:rPr>
          <w:noProof/>
        </w:rPr>
        <w:t xml:space="preserve"> w</w:t>
      </w:r>
      <w:r w:rsidR="00DD1DFA">
        <w:rPr>
          <w:noProof/>
        </w:rPr>
        <w:t> </w:t>
      </w:r>
      <w:r w:rsidR="00DD1DFA" w:rsidRPr="00DD1DFA">
        <w:rPr>
          <w:noProof/>
        </w:rPr>
        <w:t>Dzi</w:t>
      </w:r>
      <w:r w:rsidR="00373A11" w:rsidRPr="00DD1DFA">
        <w:rPr>
          <w:noProof/>
        </w:rPr>
        <w:t>enniku Urzędowym oraz ponosi związane</w:t>
      </w:r>
      <w:r w:rsidR="00DD1DFA" w:rsidRPr="00DD1DFA">
        <w:rPr>
          <w:noProof/>
        </w:rPr>
        <w:t xml:space="preserve"> z</w:t>
      </w:r>
      <w:r w:rsidR="00DD1DFA">
        <w:rPr>
          <w:noProof/>
        </w:rPr>
        <w:t> </w:t>
      </w:r>
      <w:r w:rsidR="00DD1DFA" w:rsidRPr="00DD1DFA">
        <w:rPr>
          <w:noProof/>
        </w:rPr>
        <w:t>tym</w:t>
      </w:r>
      <w:r w:rsidR="00373A11" w:rsidRPr="00DD1DFA">
        <w:rPr>
          <w:noProof/>
        </w:rPr>
        <w:t xml:space="preserve"> opłaty rejestracyjne. Co najmniej dwa razy</w:t>
      </w:r>
      <w:r w:rsidR="00DD1DFA" w:rsidRPr="00DD1DFA">
        <w:rPr>
          <w:noProof/>
        </w:rPr>
        <w:t xml:space="preserve"> w</w:t>
      </w:r>
      <w:r w:rsidR="00DD1DFA">
        <w:rPr>
          <w:noProof/>
        </w:rPr>
        <w:t> </w:t>
      </w:r>
      <w:r w:rsidR="00DD1DFA" w:rsidRPr="00DD1DFA">
        <w:rPr>
          <w:noProof/>
        </w:rPr>
        <w:t>rok</w:t>
      </w:r>
      <w:r w:rsidR="00373A11" w:rsidRPr="00DD1DFA">
        <w:rPr>
          <w:noProof/>
        </w:rPr>
        <w:t xml:space="preserve">u podmiot gospodarczy weryfikuje poprawność dostarczonych danych. </w:t>
      </w:r>
    </w:p>
    <w:p w14:paraId="4107A5B4" w14:textId="0516E595" w:rsidR="00373A11" w:rsidRPr="00DD1DFA" w:rsidRDefault="00373A11" w:rsidP="00300D3C">
      <w:pPr>
        <w:pStyle w:val="Text1"/>
        <w:rPr>
          <w:rFonts w:eastAsia="Times New Roman"/>
          <w:noProof/>
        </w:rPr>
      </w:pPr>
      <w:r w:rsidRPr="00DD1DFA">
        <w:rPr>
          <w:noProof/>
        </w:rPr>
        <w:t>Podmiot gospodarczy rejestruje się</w:t>
      </w:r>
      <w:r w:rsidR="00DD1DFA" w:rsidRPr="00DD1DFA">
        <w:rPr>
          <w:noProof/>
        </w:rPr>
        <w:t xml:space="preserve"> w</w:t>
      </w:r>
      <w:r w:rsidR="00DD1DFA">
        <w:rPr>
          <w:noProof/>
        </w:rPr>
        <w:t> </w:t>
      </w:r>
      <w:r w:rsidR="00DD1DFA" w:rsidRPr="00DD1DFA">
        <w:rPr>
          <w:noProof/>
        </w:rPr>
        <w:t>swo</w:t>
      </w:r>
      <w:r w:rsidRPr="00DD1DFA">
        <w:rPr>
          <w:noProof/>
        </w:rPr>
        <w:t>im odpowiednim systemie krajowym ustanowionym zgodnie</w:t>
      </w:r>
      <w:r w:rsidR="00DD1DFA" w:rsidRPr="00DD1DFA">
        <w:rPr>
          <w:noProof/>
        </w:rPr>
        <w:t xml:space="preserve"> z</w:t>
      </w:r>
      <w:r w:rsidR="00DD1DFA">
        <w:rPr>
          <w:noProof/>
        </w:rPr>
        <w:t> </w:t>
      </w:r>
      <w:r w:rsidR="00DD1DFA" w:rsidRPr="00DD1DFA">
        <w:rPr>
          <w:noProof/>
        </w:rPr>
        <w:t>art</w:t>
      </w:r>
      <w:r w:rsidRPr="00DD1DFA">
        <w:rPr>
          <w:noProof/>
        </w:rPr>
        <w:t>.</w:t>
      </w:r>
      <w:r w:rsidR="00DD1DFA" w:rsidRPr="00DD1DFA">
        <w:rPr>
          <w:noProof/>
        </w:rPr>
        <w:t> </w:t>
      </w:r>
      <w:r w:rsidRPr="00DD1DFA">
        <w:rPr>
          <w:noProof/>
        </w:rPr>
        <w:t>77 ust.</w:t>
      </w:r>
      <w:r w:rsidR="00DD1DFA" w:rsidRPr="00DD1DFA">
        <w:rPr>
          <w:noProof/>
        </w:rPr>
        <w:t> </w:t>
      </w:r>
      <w:r w:rsidRPr="00DD1DFA">
        <w:rPr>
          <w:noProof/>
        </w:rPr>
        <w:t xml:space="preserve">5. </w:t>
      </w:r>
    </w:p>
    <w:p w14:paraId="5D6CB086" w14:textId="56DF5F29" w:rsidR="00373A11" w:rsidRPr="00DD1DFA" w:rsidRDefault="00373A11" w:rsidP="00300D3C">
      <w:pPr>
        <w:pStyle w:val="Text1"/>
        <w:rPr>
          <w:rFonts w:eastAsia="Times New Roman"/>
          <w:noProof/>
          <w:szCs w:val="24"/>
        </w:rPr>
      </w:pPr>
      <w:r w:rsidRPr="00DD1DFA">
        <w:rPr>
          <w:noProof/>
        </w:rPr>
        <w:t>Podmiot gospodarczy udostępnia konsumentom</w:t>
      </w:r>
      <w:r w:rsidR="00DD1DFA" w:rsidRPr="00DD1DFA">
        <w:rPr>
          <w:noProof/>
        </w:rPr>
        <w:t xml:space="preserve"> i</w:t>
      </w:r>
      <w:r w:rsidR="00DD1DFA">
        <w:rPr>
          <w:noProof/>
        </w:rPr>
        <w:t> </w:t>
      </w:r>
      <w:r w:rsidR="00DD1DFA" w:rsidRPr="00DD1DFA">
        <w:rPr>
          <w:noProof/>
        </w:rPr>
        <w:t>uży</w:t>
      </w:r>
      <w:r w:rsidRPr="00DD1DFA">
        <w:rPr>
          <w:noProof/>
        </w:rPr>
        <w:t>tkownikom kanały komunikacyjne,</w:t>
      </w:r>
      <w:r w:rsidR="00DD1DFA" w:rsidRPr="00DD1DFA">
        <w:rPr>
          <w:noProof/>
        </w:rPr>
        <w:t xml:space="preserve"> w</w:t>
      </w:r>
      <w:r w:rsidR="00DD1DFA">
        <w:rPr>
          <w:noProof/>
        </w:rPr>
        <w:t> </w:t>
      </w:r>
      <w:r w:rsidR="00DD1DFA" w:rsidRPr="00DD1DFA">
        <w:rPr>
          <w:noProof/>
        </w:rPr>
        <w:t>tym</w:t>
      </w:r>
      <w:r w:rsidRPr="00DD1DFA">
        <w:rPr>
          <w:noProof/>
        </w:rPr>
        <w:t xml:space="preserve"> numery telefonów, adres e-mail lub specjalne sekcje na swojej stronie internetowej</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med</w:t>
      </w:r>
      <w:r w:rsidRPr="00DD1DFA">
        <w:rPr>
          <w:noProof/>
        </w:rPr>
        <w:t>iach społecznościowych, które umożliwiają informowanie</w:t>
      </w:r>
      <w:r w:rsidR="00DD1DFA" w:rsidRPr="00DD1DFA">
        <w:rPr>
          <w:noProof/>
        </w:rPr>
        <w:t xml:space="preserve"> o</w:t>
      </w:r>
      <w:r w:rsidR="00DD1DFA">
        <w:rPr>
          <w:noProof/>
        </w:rPr>
        <w:t> </w:t>
      </w:r>
      <w:r w:rsidR="00DD1DFA" w:rsidRPr="00DD1DFA">
        <w:rPr>
          <w:noProof/>
        </w:rPr>
        <w:t>wsz</w:t>
      </w:r>
      <w:r w:rsidRPr="00DD1DFA">
        <w:rPr>
          <w:noProof/>
        </w:rPr>
        <w:t>elkich wypadkach, zdarzeniach lub kwestiach bezpieczeństwa związanych</w:t>
      </w:r>
      <w:r w:rsidR="00DD1DFA" w:rsidRPr="00DD1DFA">
        <w:rPr>
          <w:noProof/>
        </w:rPr>
        <w:t xml:space="preserve"> z</w:t>
      </w:r>
      <w:r w:rsidR="00DD1DFA">
        <w:rPr>
          <w:noProof/>
        </w:rPr>
        <w:t> </w:t>
      </w:r>
      <w:r w:rsidR="00DD1DFA" w:rsidRPr="00DD1DFA">
        <w:rPr>
          <w:noProof/>
        </w:rPr>
        <w:t>wyr</w:t>
      </w:r>
      <w:r w:rsidRPr="00DD1DFA">
        <w:rPr>
          <w:noProof/>
        </w:rPr>
        <w:t>obem.</w:t>
      </w:r>
    </w:p>
    <w:p w14:paraId="2DBCDF1F" w14:textId="27883289" w:rsidR="00373A11" w:rsidRPr="00DD1DFA" w:rsidRDefault="005F7EFA" w:rsidP="005F7EFA">
      <w:pPr>
        <w:pStyle w:val="ManualNumPar1"/>
        <w:rPr>
          <w:noProof/>
        </w:rPr>
      </w:pPr>
      <w:r w:rsidRPr="005F7EFA">
        <w:t>6.</w:t>
      </w:r>
      <w:r w:rsidRPr="005F7EFA">
        <w:tab/>
      </w:r>
      <w:r w:rsidR="00C13D49" w:rsidRPr="00DD1DFA">
        <w:rPr>
          <w:noProof/>
        </w:rPr>
        <w:t>Podmiot gospodarczy może poinformować organy</w:t>
      </w:r>
      <w:r w:rsidR="00DD1DFA" w:rsidRPr="00DD1DFA">
        <w:rPr>
          <w:noProof/>
        </w:rPr>
        <w:t xml:space="preserve"> o</w:t>
      </w:r>
      <w:r w:rsidR="00DD1DFA">
        <w:rPr>
          <w:noProof/>
        </w:rPr>
        <w:t> </w:t>
      </w:r>
      <w:r w:rsidR="00DD1DFA" w:rsidRPr="00DD1DFA">
        <w:rPr>
          <w:noProof/>
        </w:rPr>
        <w:t>każ</w:t>
      </w:r>
      <w:r w:rsidR="00C13D49" w:rsidRPr="00DD1DFA">
        <w:rPr>
          <w:noProof/>
        </w:rPr>
        <w:t>dym potencjalnym naruszeniu niniejszego rozporządzenia,</w:t>
      </w:r>
      <w:r w:rsidR="00DD1DFA" w:rsidRPr="00DD1DFA">
        <w:rPr>
          <w:noProof/>
        </w:rPr>
        <w:t xml:space="preserve"> o</w:t>
      </w:r>
      <w:r w:rsidR="00DD1DFA">
        <w:rPr>
          <w:noProof/>
        </w:rPr>
        <w:t> </w:t>
      </w:r>
      <w:r w:rsidR="00DD1DFA" w:rsidRPr="00DD1DFA">
        <w:rPr>
          <w:noProof/>
        </w:rPr>
        <w:t>któ</w:t>
      </w:r>
      <w:r w:rsidR="00C13D49" w:rsidRPr="00DD1DFA">
        <w:rPr>
          <w:noProof/>
        </w:rPr>
        <w:t>rym się dowiedział. Jeżeli podmiot gospodarczy uzna, że wyroby niezgodne stwarzają zagrożenie dla bezpieczeństwa ludzi lub dla środowiska, niezwłocznie informuje</w:t>
      </w:r>
      <w:r w:rsidR="00DD1DFA" w:rsidRPr="00DD1DFA">
        <w:rPr>
          <w:noProof/>
        </w:rPr>
        <w:t xml:space="preserve"> o</w:t>
      </w:r>
      <w:r w:rsidR="00DD1DFA">
        <w:rPr>
          <w:noProof/>
        </w:rPr>
        <w:t> </w:t>
      </w:r>
      <w:r w:rsidR="00DD1DFA" w:rsidRPr="00DD1DFA">
        <w:rPr>
          <w:noProof/>
        </w:rPr>
        <w:t>tym</w:t>
      </w:r>
      <w:r w:rsidR="00C13D49" w:rsidRPr="00DD1DFA">
        <w:rPr>
          <w:noProof/>
        </w:rPr>
        <w:t xml:space="preserve"> właściwe organy państw członkowskich,</w:t>
      </w:r>
      <w:r w:rsidR="00DD1DFA" w:rsidRPr="00DD1DFA">
        <w:rPr>
          <w:noProof/>
        </w:rPr>
        <w:t xml:space="preserve"> w</w:t>
      </w:r>
      <w:r w:rsidR="00DD1DFA">
        <w:rPr>
          <w:noProof/>
        </w:rPr>
        <w:t> </w:t>
      </w:r>
      <w:r w:rsidR="00DD1DFA" w:rsidRPr="00DD1DFA">
        <w:rPr>
          <w:noProof/>
        </w:rPr>
        <w:t>któ</w:t>
      </w:r>
      <w:r w:rsidR="00C13D49" w:rsidRPr="00DD1DFA">
        <w:rPr>
          <w:noProof/>
        </w:rPr>
        <w:t>rych wyrób został przez niego udostępniony, podając szczegółowe informacje,</w:t>
      </w:r>
      <w:r w:rsidR="00DD1DFA" w:rsidRPr="00DD1DFA">
        <w:rPr>
          <w:noProof/>
        </w:rPr>
        <w:t xml:space="preserve"> w</w:t>
      </w:r>
      <w:r w:rsidR="00DD1DFA">
        <w:rPr>
          <w:noProof/>
        </w:rPr>
        <w:t> </w:t>
      </w:r>
      <w:r w:rsidR="00DD1DFA" w:rsidRPr="00DD1DFA">
        <w:rPr>
          <w:noProof/>
        </w:rPr>
        <w:t>szc</w:t>
      </w:r>
      <w:r w:rsidR="00C13D49" w:rsidRPr="00DD1DFA">
        <w:rPr>
          <w:noProof/>
        </w:rPr>
        <w:t>zególności</w:t>
      </w:r>
      <w:r w:rsidR="00DD1DFA" w:rsidRPr="00DD1DFA">
        <w:rPr>
          <w:noProof/>
        </w:rPr>
        <w:t xml:space="preserve"> o</w:t>
      </w:r>
      <w:r w:rsidR="00DD1DFA">
        <w:rPr>
          <w:noProof/>
        </w:rPr>
        <w:t> </w:t>
      </w:r>
      <w:r w:rsidR="00DD1DFA" w:rsidRPr="00DD1DFA">
        <w:rPr>
          <w:noProof/>
        </w:rPr>
        <w:t>nie</w:t>
      </w:r>
      <w:r w:rsidR="00C13D49" w:rsidRPr="00DD1DFA">
        <w:rPr>
          <w:noProof/>
        </w:rPr>
        <w:t>zgodności oraz</w:t>
      </w:r>
      <w:r w:rsidR="00DD1DFA" w:rsidRPr="00DD1DFA">
        <w:rPr>
          <w:noProof/>
        </w:rPr>
        <w:t xml:space="preserve"> o</w:t>
      </w:r>
      <w:r w:rsidR="00DD1DFA">
        <w:rPr>
          <w:noProof/>
        </w:rPr>
        <w:t> </w:t>
      </w:r>
      <w:r w:rsidR="00DD1DFA" w:rsidRPr="00DD1DFA">
        <w:rPr>
          <w:noProof/>
        </w:rPr>
        <w:t>pod</w:t>
      </w:r>
      <w:r w:rsidR="00C13D49" w:rsidRPr="00DD1DFA">
        <w:rPr>
          <w:noProof/>
        </w:rPr>
        <w:t>jętych środkach naprawczych.</w:t>
      </w:r>
    </w:p>
    <w:p w14:paraId="41C864F4" w14:textId="0B967EB9" w:rsidR="00A33A85" w:rsidRPr="00DD1DFA" w:rsidRDefault="005F7EFA" w:rsidP="005F7EFA">
      <w:pPr>
        <w:pStyle w:val="ManualNumPar1"/>
        <w:rPr>
          <w:noProof/>
        </w:rPr>
      </w:pPr>
      <w:r w:rsidRPr="005F7EFA">
        <w:t>7.</w:t>
      </w:r>
      <w:r w:rsidRPr="005F7EFA">
        <w:tab/>
      </w:r>
      <w:r w:rsidR="00373A11" w:rsidRPr="00DD1DFA">
        <w:rPr>
          <w:noProof/>
        </w:rPr>
        <w:t>Podmiot gospodarczy, który podlega certyfikacji przez jednostkę notyfikowaną lub świadczy usługi lub dostarcza części producentom, umożliwia jednostkom notyfikowanym dostęp do swojej dokumentacji</w:t>
      </w:r>
      <w:r w:rsidR="00DD1DFA" w:rsidRPr="00DD1DFA">
        <w:rPr>
          <w:noProof/>
        </w:rPr>
        <w:t xml:space="preserve"> i</w:t>
      </w:r>
      <w:r w:rsidR="00DD1DFA">
        <w:rPr>
          <w:noProof/>
        </w:rPr>
        <w:t> </w:t>
      </w:r>
      <w:r w:rsidR="00DD1DFA" w:rsidRPr="00DD1DFA">
        <w:rPr>
          <w:noProof/>
        </w:rPr>
        <w:t>pom</w:t>
      </w:r>
      <w:r w:rsidR="00373A11" w:rsidRPr="00DD1DFA">
        <w:rPr>
          <w:noProof/>
        </w:rPr>
        <w:t>ieszczeń</w:t>
      </w:r>
      <w:r w:rsidR="00DD1DFA" w:rsidRPr="00DD1DFA">
        <w:rPr>
          <w:noProof/>
        </w:rPr>
        <w:t xml:space="preserve"> w</w:t>
      </w:r>
      <w:r w:rsidR="00DD1DFA">
        <w:rPr>
          <w:noProof/>
        </w:rPr>
        <w:t> </w:t>
      </w:r>
      <w:r w:rsidR="00DD1DFA" w:rsidRPr="00DD1DFA">
        <w:rPr>
          <w:noProof/>
        </w:rPr>
        <w:t>zak</w:t>
      </w:r>
      <w:r w:rsidR="00373A11" w:rsidRPr="00DD1DFA">
        <w:rPr>
          <w:noProof/>
        </w:rPr>
        <w:t>resie,</w:t>
      </w:r>
      <w:r w:rsidR="00DD1DFA" w:rsidRPr="00DD1DFA">
        <w:rPr>
          <w:noProof/>
        </w:rPr>
        <w:t xml:space="preserve"> w</w:t>
      </w:r>
      <w:r w:rsidR="00DD1DFA">
        <w:rPr>
          <w:noProof/>
        </w:rPr>
        <w:t> </w:t>
      </w:r>
      <w:r w:rsidR="00DD1DFA" w:rsidRPr="00DD1DFA">
        <w:rPr>
          <w:noProof/>
        </w:rPr>
        <w:t>jak</w:t>
      </w:r>
      <w:r w:rsidR="00373A11" w:rsidRPr="00DD1DFA">
        <w:rPr>
          <w:noProof/>
        </w:rPr>
        <w:t>im jest to niezbędne do wykonywania zadań jednostek notyfikowanych. Podmiot gospodarczy dostarcza jednostkom notyfikowanym prawidłowe informacje</w:t>
      </w:r>
      <w:r w:rsidR="00DD1DFA" w:rsidRPr="00DD1DFA">
        <w:rPr>
          <w:noProof/>
        </w:rPr>
        <w:t xml:space="preserve"> i</w:t>
      </w:r>
      <w:r w:rsidR="00DD1DFA">
        <w:rPr>
          <w:noProof/>
        </w:rPr>
        <w:t> </w:t>
      </w:r>
      <w:r w:rsidR="00DD1DFA" w:rsidRPr="00DD1DFA">
        <w:rPr>
          <w:noProof/>
        </w:rPr>
        <w:t>kor</w:t>
      </w:r>
      <w:r w:rsidR="00373A11" w:rsidRPr="00DD1DFA">
        <w:rPr>
          <w:noProof/>
        </w:rPr>
        <w:t>yguje wszelkie nieprawidłowe informacje. Ponadto podmiot gospodarczy informuje jednostkę notyfikowaną</w:t>
      </w:r>
      <w:r w:rsidR="00DD1DFA" w:rsidRPr="00DD1DFA">
        <w:rPr>
          <w:noProof/>
        </w:rPr>
        <w:t xml:space="preserve"> w</w:t>
      </w:r>
      <w:r w:rsidR="00DD1DFA">
        <w:rPr>
          <w:noProof/>
        </w:rPr>
        <w:t> </w:t>
      </w:r>
      <w:r w:rsidR="00DD1DFA" w:rsidRPr="00DD1DFA">
        <w:rPr>
          <w:noProof/>
        </w:rPr>
        <w:t>ter</w:t>
      </w:r>
      <w:r w:rsidR="00373A11" w:rsidRPr="00DD1DFA">
        <w:rPr>
          <w:noProof/>
        </w:rPr>
        <w:t>minie jednego miesiąca</w:t>
      </w:r>
      <w:r w:rsidR="00DD1DFA" w:rsidRPr="00DD1DFA">
        <w:rPr>
          <w:noProof/>
        </w:rPr>
        <w:t xml:space="preserve"> o</w:t>
      </w:r>
      <w:r w:rsidR="00DD1DFA">
        <w:rPr>
          <w:noProof/>
        </w:rPr>
        <w:t> </w:t>
      </w:r>
      <w:r w:rsidR="00DD1DFA" w:rsidRPr="00DD1DFA">
        <w:rPr>
          <w:noProof/>
        </w:rPr>
        <w:t>wsz</w:t>
      </w:r>
      <w:r w:rsidR="00373A11" w:rsidRPr="00DD1DFA">
        <w:rPr>
          <w:noProof/>
        </w:rPr>
        <w:t>elkich zmianach, które mogą mieć wpływ na zgodność</w:t>
      </w:r>
      <w:r w:rsidR="00DD1DFA" w:rsidRPr="00DD1DFA">
        <w:rPr>
          <w:noProof/>
        </w:rPr>
        <w:t xml:space="preserve"> z</w:t>
      </w:r>
      <w:r w:rsidR="00DD1DFA">
        <w:rPr>
          <w:noProof/>
        </w:rPr>
        <w:t> </w:t>
      </w:r>
      <w:r w:rsidR="00DD1DFA" w:rsidRPr="00DD1DFA">
        <w:rPr>
          <w:noProof/>
        </w:rPr>
        <w:t>nin</w:t>
      </w:r>
      <w:r w:rsidR="00373A11" w:rsidRPr="00DD1DFA">
        <w:rPr>
          <w:noProof/>
        </w:rPr>
        <w:t>iejszym rozporządzeniem.</w:t>
      </w:r>
    </w:p>
    <w:p w14:paraId="3FD5C36D" w14:textId="77777777" w:rsidR="00BC1E12" w:rsidRPr="00DD1DFA" w:rsidRDefault="00B83CA9" w:rsidP="00A33A85">
      <w:pPr>
        <w:pStyle w:val="Titrearticle"/>
        <w:rPr>
          <w:noProof/>
        </w:rPr>
      </w:pPr>
      <w:r w:rsidRPr="00DD1DFA">
        <w:rPr>
          <w:noProof/>
        </w:rPr>
        <w:t>Artykuł 20</w:t>
      </w:r>
    </w:p>
    <w:p w14:paraId="06B6FDD3" w14:textId="77777777" w:rsidR="00BC1E12" w:rsidRPr="00DD1DFA" w:rsidRDefault="00AA4211" w:rsidP="00A33A85">
      <w:pPr>
        <w:pStyle w:val="Titrearticle"/>
        <w:rPr>
          <w:b/>
          <w:noProof/>
        </w:rPr>
      </w:pPr>
      <w:r w:rsidRPr="00DD1DFA">
        <w:rPr>
          <w:b/>
          <w:noProof/>
        </w:rPr>
        <w:t>Prawa proceduralne podmiotów gospodarczych</w:t>
      </w:r>
    </w:p>
    <w:p w14:paraId="3534373C" w14:textId="732FCB48" w:rsidR="00AA4211" w:rsidRPr="00DD1DFA" w:rsidRDefault="005F7EFA" w:rsidP="005F7EFA">
      <w:pPr>
        <w:pStyle w:val="ManualNumPar1"/>
        <w:rPr>
          <w:noProof/>
        </w:rPr>
      </w:pPr>
      <w:r w:rsidRPr="005F7EFA">
        <w:t>1.</w:t>
      </w:r>
      <w:r w:rsidRPr="005F7EFA">
        <w:tab/>
      </w:r>
      <w:r w:rsidR="00AA4211" w:rsidRPr="00DD1DFA">
        <w:rPr>
          <w:noProof/>
        </w:rPr>
        <w:t>Każdy ostateczny lub tymczasowy środek, każda decyzja lub każdy nakaz przyjęte lub wydane przez organy na podstawie niniejszego rozporządzenia wobec podmiotu gospodarczego oraz osób fizycznych lub prawnych działających</w:t>
      </w:r>
      <w:r w:rsidR="00DD1DFA" w:rsidRPr="00DD1DFA">
        <w:rPr>
          <w:noProof/>
        </w:rPr>
        <w:t xml:space="preserve"> w</w:t>
      </w:r>
      <w:r w:rsidR="00DD1DFA">
        <w:rPr>
          <w:noProof/>
        </w:rPr>
        <w:t> </w:t>
      </w:r>
      <w:r w:rsidR="00DD1DFA" w:rsidRPr="00DD1DFA">
        <w:rPr>
          <w:noProof/>
        </w:rPr>
        <w:t>jeg</w:t>
      </w:r>
      <w:r w:rsidR="00AA4211" w:rsidRPr="00DD1DFA">
        <w:rPr>
          <w:noProof/>
        </w:rPr>
        <w:t>o imieniu zawierają dokładną podstawę,</w:t>
      </w:r>
      <w:r w:rsidR="00DD1DFA" w:rsidRPr="00DD1DFA">
        <w:rPr>
          <w:noProof/>
        </w:rPr>
        <w:t xml:space="preserve"> w</w:t>
      </w:r>
      <w:r w:rsidR="00DD1DFA">
        <w:rPr>
          <w:noProof/>
        </w:rPr>
        <w:t> </w:t>
      </w:r>
      <w:r w:rsidR="00DD1DFA" w:rsidRPr="00DD1DFA">
        <w:rPr>
          <w:noProof/>
        </w:rPr>
        <w:t>opa</w:t>
      </w:r>
      <w:r w:rsidR="00AA4211" w:rsidRPr="00DD1DFA">
        <w:rPr>
          <w:noProof/>
        </w:rPr>
        <w:t>rciu</w:t>
      </w:r>
      <w:r w:rsidR="00DD1DFA" w:rsidRPr="00DD1DFA">
        <w:rPr>
          <w:noProof/>
        </w:rPr>
        <w:t xml:space="preserve"> o</w:t>
      </w:r>
      <w:r w:rsidR="00DD1DFA">
        <w:rPr>
          <w:noProof/>
        </w:rPr>
        <w:t> </w:t>
      </w:r>
      <w:r w:rsidR="00DD1DFA" w:rsidRPr="00DD1DFA">
        <w:rPr>
          <w:noProof/>
        </w:rPr>
        <w:t>któ</w:t>
      </w:r>
      <w:r w:rsidR="00AA4211" w:rsidRPr="00DD1DFA">
        <w:rPr>
          <w:noProof/>
        </w:rPr>
        <w:t>rą je przyjęto.</w:t>
      </w:r>
    </w:p>
    <w:p w14:paraId="2F37B963" w14:textId="26AA6D4C" w:rsidR="00AA4211" w:rsidRPr="00DD1DFA" w:rsidRDefault="005F7EFA" w:rsidP="005F7EFA">
      <w:pPr>
        <w:pStyle w:val="ManualNumPar1"/>
        <w:rPr>
          <w:noProof/>
        </w:rPr>
      </w:pPr>
      <w:r w:rsidRPr="005F7EFA">
        <w:t>2.</w:t>
      </w:r>
      <w:r w:rsidRPr="005F7EFA">
        <w:tab/>
      </w:r>
      <w:r w:rsidR="00AA4211" w:rsidRPr="00DD1DFA">
        <w:rPr>
          <w:noProof/>
        </w:rPr>
        <w:t>Takie środki, decyzje lub nakazy niezwłocznie podaje się do wiadomości właściwego podmiotu gospodarczego oraz osób fizycznych lub prawnych działających</w:t>
      </w:r>
      <w:r w:rsidR="00DD1DFA" w:rsidRPr="00DD1DFA">
        <w:rPr>
          <w:noProof/>
        </w:rPr>
        <w:t xml:space="preserve"> w</w:t>
      </w:r>
      <w:r w:rsidR="00DD1DFA">
        <w:rPr>
          <w:noProof/>
        </w:rPr>
        <w:t> </w:t>
      </w:r>
      <w:r w:rsidR="00DD1DFA" w:rsidRPr="00DD1DFA">
        <w:rPr>
          <w:noProof/>
        </w:rPr>
        <w:t>jeg</w:t>
      </w:r>
      <w:r w:rsidR="00AA4211" w:rsidRPr="00DD1DFA">
        <w:rPr>
          <w:noProof/>
        </w:rPr>
        <w:t>o imieniu, których jednocześnie informuje się</w:t>
      </w:r>
      <w:r w:rsidR="00DD1DFA" w:rsidRPr="00DD1DFA">
        <w:rPr>
          <w:noProof/>
        </w:rPr>
        <w:t xml:space="preserve"> o</w:t>
      </w:r>
      <w:r w:rsidR="00DD1DFA">
        <w:rPr>
          <w:noProof/>
        </w:rPr>
        <w:t> </w:t>
      </w:r>
      <w:r w:rsidR="00DD1DFA" w:rsidRPr="00DD1DFA">
        <w:rPr>
          <w:noProof/>
        </w:rPr>
        <w:t>śro</w:t>
      </w:r>
      <w:r w:rsidR="00AA4211" w:rsidRPr="00DD1DFA">
        <w:rPr>
          <w:noProof/>
        </w:rPr>
        <w:t>dkach odwoławczych przysługujących im na podstawie prawa danego państwa członkowskiego oraz terminach na ich wniesienie.</w:t>
      </w:r>
    </w:p>
    <w:p w14:paraId="07CFD479" w14:textId="30617AA2" w:rsidR="00AA4211" w:rsidRPr="00DD1DFA" w:rsidRDefault="005F7EFA" w:rsidP="005F7EFA">
      <w:pPr>
        <w:pStyle w:val="ManualNumPar1"/>
        <w:rPr>
          <w:noProof/>
        </w:rPr>
      </w:pPr>
      <w:r w:rsidRPr="005F7EFA">
        <w:t>3.</w:t>
      </w:r>
      <w:r w:rsidRPr="005F7EFA">
        <w:tab/>
      </w:r>
      <w:r w:rsidR="00AA4211" w:rsidRPr="00DD1DFA">
        <w:rPr>
          <w:noProof/>
        </w:rPr>
        <w:t>Przed przyjęciem środka, decyzji lub nakazu,</w:t>
      </w:r>
      <w:r w:rsidR="00DD1DFA" w:rsidRPr="00DD1DFA">
        <w:rPr>
          <w:noProof/>
        </w:rPr>
        <w:t xml:space="preserve"> o</w:t>
      </w:r>
      <w:r w:rsidR="00DD1DFA">
        <w:rPr>
          <w:noProof/>
        </w:rPr>
        <w:t> </w:t>
      </w:r>
      <w:r w:rsidR="00DD1DFA" w:rsidRPr="00DD1DFA">
        <w:rPr>
          <w:noProof/>
        </w:rPr>
        <w:t>któ</w:t>
      </w:r>
      <w:r w:rsidR="00AA4211" w:rsidRPr="00DD1DFA">
        <w:rPr>
          <w:noProof/>
        </w:rPr>
        <w:t>rych mowa</w:t>
      </w:r>
      <w:r w:rsidR="00DD1DFA" w:rsidRPr="00DD1DFA">
        <w:rPr>
          <w:noProof/>
        </w:rPr>
        <w:t xml:space="preserve"> w</w:t>
      </w:r>
      <w:r w:rsidR="00DD1DFA">
        <w:rPr>
          <w:noProof/>
        </w:rPr>
        <w:t> </w:t>
      </w:r>
      <w:r w:rsidR="00DD1DFA" w:rsidRPr="00DD1DFA">
        <w:rPr>
          <w:noProof/>
        </w:rPr>
        <w:t>ust</w:t>
      </w:r>
      <w:r w:rsidR="00AA4211" w:rsidRPr="00DD1DFA">
        <w:rPr>
          <w:noProof/>
        </w:rPr>
        <w:t>.</w:t>
      </w:r>
      <w:r w:rsidR="00DD1DFA" w:rsidRPr="00DD1DFA">
        <w:rPr>
          <w:noProof/>
        </w:rPr>
        <w:t> </w:t>
      </w:r>
      <w:r w:rsidR="00AA4211" w:rsidRPr="00DD1DFA">
        <w:rPr>
          <w:noProof/>
        </w:rPr>
        <w:t>1, zainteresowany podmiot gospodarczy musi mieć możliwość przedstawienia swojego stanowiska</w:t>
      </w:r>
      <w:r w:rsidR="00DD1DFA" w:rsidRPr="00DD1DFA">
        <w:rPr>
          <w:noProof/>
        </w:rPr>
        <w:t xml:space="preserve"> w</w:t>
      </w:r>
      <w:r w:rsidR="00DD1DFA">
        <w:rPr>
          <w:noProof/>
        </w:rPr>
        <w:t> </w:t>
      </w:r>
      <w:r w:rsidR="00DD1DFA" w:rsidRPr="00DD1DFA">
        <w:rPr>
          <w:noProof/>
        </w:rPr>
        <w:t>odp</w:t>
      </w:r>
      <w:r w:rsidR="00AA4211" w:rsidRPr="00DD1DFA">
        <w:rPr>
          <w:noProof/>
        </w:rPr>
        <w:t>owiednim terminie, nie krótszym niż 10 dni roboczych, chyba że środek, decyzja lub nakaz mają pilny charakter uzasadniony wymaganiami dotyczącymi zdrowia lub bezpieczeństwa, lub</w:t>
      </w:r>
      <w:r w:rsidR="00DD1DFA" w:rsidRPr="00DD1DFA">
        <w:rPr>
          <w:noProof/>
        </w:rPr>
        <w:t xml:space="preserve"> z</w:t>
      </w:r>
      <w:r w:rsidR="00DD1DFA">
        <w:rPr>
          <w:noProof/>
        </w:rPr>
        <w:t> </w:t>
      </w:r>
      <w:r w:rsidR="00DD1DFA" w:rsidRPr="00DD1DFA">
        <w:rPr>
          <w:noProof/>
        </w:rPr>
        <w:t>uwa</w:t>
      </w:r>
      <w:r w:rsidR="00AA4211" w:rsidRPr="00DD1DFA">
        <w:rPr>
          <w:noProof/>
        </w:rPr>
        <w:t>gi na innego rodzaju powody związane</w:t>
      </w:r>
      <w:r w:rsidR="00DD1DFA" w:rsidRPr="00DD1DFA">
        <w:rPr>
          <w:noProof/>
        </w:rPr>
        <w:t xml:space="preserve"> z</w:t>
      </w:r>
      <w:r w:rsidR="00DD1DFA">
        <w:rPr>
          <w:noProof/>
        </w:rPr>
        <w:t> </w:t>
      </w:r>
      <w:r w:rsidR="00DD1DFA" w:rsidRPr="00DD1DFA">
        <w:rPr>
          <w:noProof/>
        </w:rPr>
        <w:t>int</w:t>
      </w:r>
      <w:r w:rsidR="00AA4211" w:rsidRPr="00DD1DFA">
        <w:rPr>
          <w:noProof/>
        </w:rPr>
        <w:t>eresem publicznym objęte niniejszym rozporządzeniem.</w:t>
      </w:r>
    </w:p>
    <w:p w14:paraId="4B16E0B3" w14:textId="6AF411F3" w:rsidR="00AA4211" w:rsidRPr="00DD1DFA" w:rsidRDefault="005F7EFA" w:rsidP="005F7EFA">
      <w:pPr>
        <w:pStyle w:val="ManualNumPar1"/>
        <w:rPr>
          <w:noProof/>
        </w:rPr>
      </w:pPr>
      <w:r w:rsidRPr="005F7EFA">
        <w:t>4.</w:t>
      </w:r>
      <w:r w:rsidRPr="005F7EFA">
        <w:tab/>
      </w:r>
      <w:r w:rsidR="00AA4211" w:rsidRPr="00DD1DFA">
        <w:rPr>
          <w:noProof/>
        </w:rPr>
        <w:t xml:space="preserve">Jeżeli środek, decyzja lub nakaz zostają przyjęte bez umożliwienia zainteresowanemu podmiotowi gospodarczemu przedstawienia swojego stanowiska, podmiotowi temu umożliwia się zajęcie stanowiska jak najszybciej po przyjęciu środka, decyzji lub nakazu, które następnie mogą zostać niezwłocznie poddane przeglądowi ze strony danego organu nadzoru rynku. </w:t>
      </w:r>
    </w:p>
    <w:p w14:paraId="47B71C74" w14:textId="62FEFB1A" w:rsidR="00BC1E12" w:rsidRPr="00DD1DFA" w:rsidRDefault="005F7EFA" w:rsidP="005F7EFA">
      <w:pPr>
        <w:pStyle w:val="ManualNumPar1"/>
        <w:rPr>
          <w:noProof/>
        </w:rPr>
      </w:pPr>
      <w:r w:rsidRPr="005F7EFA">
        <w:t>5.</w:t>
      </w:r>
      <w:r w:rsidRPr="005F7EFA">
        <w:tab/>
      </w:r>
      <w:r w:rsidR="00AA4211" w:rsidRPr="00DD1DFA">
        <w:rPr>
          <w:noProof/>
        </w:rPr>
        <w:t>Państwa członkowskie zapewniają możliwość odwołania się przed właściwym sądem od każdego środka objętego niniejszym artykułem,</w:t>
      </w:r>
      <w:r w:rsidR="00DD1DFA" w:rsidRPr="00DD1DFA">
        <w:rPr>
          <w:noProof/>
        </w:rPr>
        <w:t xml:space="preserve"> z</w:t>
      </w:r>
      <w:r w:rsidR="00DD1DFA">
        <w:rPr>
          <w:noProof/>
        </w:rPr>
        <w:t> </w:t>
      </w:r>
      <w:r w:rsidR="00DD1DFA" w:rsidRPr="00DD1DFA">
        <w:rPr>
          <w:noProof/>
        </w:rPr>
        <w:t>zas</w:t>
      </w:r>
      <w:r w:rsidR="00AA4211" w:rsidRPr="00DD1DFA">
        <w:rPr>
          <w:noProof/>
        </w:rPr>
        <w:t>tosowaniem administracyjnej procedury odwoławczej lub bez niej. Sąd ten jest również właściwy do podejmowania decyzji</w:t>
      </w:r>
      <w:r w:rsidR="00DD1DFA" w:rsidRPr="00DD1DFA">
        <w:rPr>
          <w:noProof/>
        </w:rPr>
        <w:t xml:space="preserve"> w</w:t>
      </w:r>
      <w:r w:rsidR="00DD1DFA">
        <w:rPr>
          <w:noProof/>
        </w:rPr>
        <w:t> </w:t>
      </w:r>
      <w:r w:rsidR="00DD1DFA" w:rsidRPr="00DD1DFA">
        <w:rPr>
          <w:noProof/>
        </w:rPr>
        <w:t>spr</w:t>
      </w:r>
      <w:r w:rsidR="00AA4211" w:rsidRPr="00DD1DFA">
        <w:rPr>
          <w:noProof/>
        </w:rPr>
        <w:t>awie skutku zawieszającego odwołania lub środków tymczasowych nakładanych przez sąd, mając na uwadze zarówno interes publiczny, jak</w:t>
      </w:r>
      <w:r w:rsidR="00DD1DFA" w:rsidRPr="00DD1DFA">
        <w:rPr>
          <w:noProof/>
        </w:rPr>
        <w:t xml:space="preserve"> i</w:t>
      </w:r>
      <w:r w:rsidR="00DD1DFA">
        <w:rPr>
          <w:noProof/>
        </w:rPr>
        <w:t> </w:t>
      </w:r>
      <w:r w:rsidR="00DD1DFA" w:rsidRPr="00DD1DFA">
        <w:rPr>
          <w:noProof/>
        </w:rPr>
        <w:t>int</w:t>
      </w:r>
      <w:r w:rsidR="00AA4211" w:rsidRPr="00DD1DFA">
        <w:rPr>
          <w:noProof/>
        </w:rPr>
        <w:t>eres podmiotu gospodarczego.</w:t>
      </w:r>
    </w:p>
    <w:p w14:paraId="56CB576B" w14:textId="77777777" w:rsidR="00BC1E12" w:rsidRPr="00DD1DFA" w:rsidRDefault="00BC1E12" w:rsidP="008F44A8">
      <w:pPr>
        <w:pStyle w:val="Titrearticle"/>
        <w:rPr>
          <w:noProof/>
        </w:rPr>
      </w:pPr>
      <w:r w:rsidRPr="00DD1DFA">
        <w:rPr>
          <w:noProof/>
        </w:rPr>
        <w:t>Artykuł 21</w:t>
      </w:r>
    </w:p>
    <w:p w14:paraId="51E59670" w14:textId="77777777" w:rsidR="00BC1E12" w:rsidRPr="00DD1DFA" w:rsidRDefault="00CA5C81" w:rsidP="008F44A8">
      <w:pPr>
        <w:pStyle w:val="Titrearticle"/>
        <w:rPr>
          <w:b/>
          <w:bCs/>
          <w:noProof/>
        </w:rPr>
      </w:pPr>
      <w:r w:rsidRPr="00DD1DFA">
        <w:rPr>
          <w:b/>
          <w:bCs/>
          <w:noProof/>
        </w:rPr>
        <w:t>Obowiązki producentów</w:t>
      </w:r>
    </w:p>
    <w:p w14:paraId="6FC9161C" w14:textId="312B3E3A" w:rsidR="00AA4211" w:rsidRPr="00DD1DFA" w:rsidRDefault="005F7EFA" w:rsidP="005F7EFA">
      <w:pPr>
        <w:pStyle w:val="ManualNumPar1"/>
        <w:rPr>
          <w:noProof/>
        </w:rPr>
      </w:pPr>
      <w:r w:rsidRPr="005F7EFA">
        <w:t>1.</w:t>
      </w:r>
      <w:r w:rsidRPr="005F7EFA">
        <w:tab/>
      </w:r>
      <w:r w:rsidR="00AA4211" w:rsidRPr="00DD1DFA">
        <w:rPr>
          <w:noProof/>
        </w:rPr>
        <w:t>Producent określa typ wyrobu, przestrzegając ograniczeń wyznaczonych</w:t>
      </w:r>
      <w:r w:rsidR="00DD1DFA" w:rsidRPr="00DD1DFA">
        <w:rPr>
          <w:noProof/>
        </w:rPr>
        <w:t xml:space="preserve"> w</w:t>
      </w:r>
      <w:r w:rsidR="00DD1DFA">
        <w:rPr>
          <w:noProof/>
        </w:rPr>
        <w:t> </w:t>
      </w:r>
      <w:r w:rsidR="00DD1DFA" w:rsidRPr="00DD1DFA">
        <w:rPr>
          <w:noProof/>
        </w:rPr>
        <w:t>ram</w:t>
      </w:r>
      <w:r w:rsidR="00AA4211" w:rsidRPr="00DD1DFA">
        <w:rPr>
          <w:noProof/>
        </w:rPr>
        <w:t>ach definicji zawartej</w:t>
      </w:r>
      <w:r w:rsidR="00DD1DFA" w:rsidRPr="00DD1DFA">
        <w:rPr>
          <w:noProof/>
        </w:rPr>
        <w:t xml:space="preserve"> w</w:t>
      </w:r>
      <w:r w:rsidR="00DD1DFA">
        <w:rPr>
          <w:noProof/>
        </w:rPr>
        <w:t> </w:t>
      </w:r>
      <w:r w:rsidR="00DD1DFA" w:rsidRPr="00DD1DFA">
        <w:rPr>
          <w:noProof/>
        </w:rPr>
        <w:t>art</w:t>
      </w:r>
      <w:r w:rsidR="00AA4211" w:rsidRPr="00DD1DFA">
        <w:rPr>
          <w:noProof/>
        </w:rPr>
        <w:t>.</w:t>
      </w:r>
      <w:r w:rsidR="00DD1DFA" w:rsidRPr="00DD1DFA">
        <w:rPr>
          <w:noProof/>
        </w:rPr>
        <w:t> </w:t>
      </w:r>
      <w:r w:rsidR="00AA4211" w:rsidRPr="00DD1DFA">
        <w:rPr>
          <w:noProof/>
        </w:rPr>
        <w:t>3 pkt</w:t>
      </w:r>
      <w:r w:rsidR="00DD1DFA" w:rsidRPr="00DD1DFA">
        <w:rPr>
          <w:noProof/>
        </w:rPr>
        <w:t> </w:t>
      </w:r>
      <w:r w:rsidR="00AA4211" w:rsidRPr="00DD1DFA">
        <w:rPr>
          <w:noProof/>
        </w:rPr>
        <w:t xml:space="preserve">31. Typ wyrobu </w:t>
      </w:r>
      <w:r w:rsidR="00AA4211" w:rsidRPr="00DD1DFA">
        <w:rPr>
          <w:noProof/>
          <w:color w:val="00000A"/>
          <w:szCs w:val="24"/>
        </w:rPr>
        <w:t>rozpatruje się zgodnie</w:t>
      </w:r>
      <w:r w:rsidR="00DD1DFA" w:rsidRPr="00DD1DFA">
        <w:rPr>
          <w:noProof/>
          <w:color w:val="00000A"/>
          <w:szCs w:val="24"/>
        </w:rPr>
        <w:t xml:space="preserve"> z</w:t>
      </w:r>
      <w:r w:rsidR="00DD1DFA">
        <w:rPr>
          <w:noProof/>
          <w:color w:val="00000A"/>
          <w:szCs w:val="24"/>
        </w:rPr>
        <w:t> </w:t>
      </w:r>
      <w:r w:rsidR="00DD1DFA" w:rsidRPr="00DD1DFA">
        <w:rPr>
          <w:noProof/>
          <w:color w:val="00000A"/>
          <w:szCs w:val="24"/>
        </w:rPr>
        <w:t>maj</w:t>
      </w:r>
      <w:r w:rsidR="00AA4211" w:rsidRPr="00DD1DFA">
        <w:rPr>
          <w:noProof/>
          <w:color w:val="00000A"/>
          <w:szCs w:val="24"/>
        </w:rPr>
        <w:t>ącym zastosowanie systemem oceny</w:t>
      </w:r>
      <w:r w:rsidR="00DD1DFA" w:rsidRPr="00DD1DFA">
        <w:rPr>
          <w:noProof/>
          <w:color w:val="00000A"/>
          <w:szCs w:val="24"/>
        </w:rPr>
        <w:t xml:space="preserve"> i</w:t>
      </w:r>
      <w:r w:rsidR="00DD1DFA">
        <w:rPr>
          <w:noProof/>
          <w:color w:val="00000A"/>
          <w:szCs w:val="24"/>
        </w:rPr>
        <w:t> </w:t>
      </w:r>
      <w:r w:rsidR="00DD1DFA" w:rsidRPr="00DD1DFA">
        <w:rPr>
          <w:noProof/>
          <w:color w:val="00000A"/>
          <w:szCs w:val="24"/>
        </w:rPr>
        <w:t>wer</w:t>
      </w:r>
      <w:r w:rsidR="00AA4211" w:rsidRPr="00DD1DFA">
        <w:rPr>
          <w:noProof/>
          <w:color w:val="00000A"/>
          <w:szCs w:val="24"/>
        </w:rPr>
        <w:t>yfikacji określonym</w:t>
      </w:r>
      <w:r w:rsidR="00DD1DFA" w:rsidRPr="00DD1DFA">
        <w:rPr>
          <w:noProof/>
          <w:color w:val="00000A"/>
          <w:szCs w:val="24"/>
        </w:rPr>
        <w:t xml:space="preserve"> w</w:t>
      </w:r>
      <w:r w:rsidR="00DD1DFA">
        <w:rPr>
          <w:noProof/>
          <w:color w:val="00000A"/>
          <w:szCs w:val="24"/>
        </w:rPr>
        <w:t> </w:t>
      </w:r>
      <w:r w:rsidR="00DD1DFA" w:rsidRPr="00DD1DFA">
        <w:rPr>
          <w:noProof/>
          <w:color w:val="00000A"/>
          <w:szCs w:val="24"/>
        </w:rPr>
        <w:t>zał</w:t>
      </w:r>
      <w:r w:rsidR="00AA4211" w:rsidRPr="00DD1DFA">
        <w:rPr>
          <w:noProof/>
          <w:color w:val="00000A"/>
          <w:szCs w:val="24"/>
        </w:rPr>
        <w:t>ączniku V. Producent</w:t>
      </w:r>
      <w:r w:rsidR="00AA4211" w:rsidRPr="00DD1DFA">
        <w:rPr>
          <w:noProof/>
        </w:rPr>
        <w:t xml:space="preserve"> sporządza deklarację właściwości użytkowych</w:t>
      </w:r>
      <w:r w:rsidR="00DD1DFA" w:rsidRPr="00DD1DFA">
        <w:rPr>
          <w:noProof/>
        </w:rPr>
        <w:t xml:space="preserve"> i</w:t>
      </w:r>
      <w:r w:rsidR="00DD1DFA">
        <w:rPr>
          <w:noProof/>
        </w:rPr>
        <w:t> </w:t>
      </w:r>
      <w:r w:rsidR="00DD1DFA" w:rsidRPr="00DD1DFA">
        <w:rPr>
          <w:noProof/>
        </w:rPr>
        <w:t>dek</w:t>
      </w:r>
      <w:r w:rsidR="00AA4211" w:rsidRPr="00DD1DFA">
        <w:rPr>
          <w:noProof/>
        </w:rPr>
        <w:t>larację zgodności zgodnie</w:t>
      </w:r>
      <w:r w:rsidR="00DD1DFA" w:rsidRPr="00DD1DFA">
        <w:rPr>
          <w:noProof/>
        </w:rPr>
        <w:t xml:space="preserve"> z</w:t>
      </w:r>
      <w:r w:rsidR="00DD1DFA">
        <w:rPr>
          <w:noProof/>
        </w:rPr>
        <w:t> </w:t>
      </w:r>
      <w:r w:rsidR="00DD1DFA" w:rsidRPr="00DD1DFA">
        <w:rPr>
          <w:noProof/>
        </w:rPr>
        <w:t>art</w:t>
      </w:r>
      <w:r w:rsidR="00AA4211" w:rsidRPr="00DD1DFA">
        <w:rPr>
          <w:noProof/>
        </w:rPr>
        <w:t>.</w:t>
      </w:r>
      <w:r w:rsidR="00DD1DFA" w:rsidRPr="00DD1DFA">
        <w:rPr>
          <w:noProof/>
        </w:rPr>
        <w:t> </w:t>
      </w:r>
      <w:r w:rsidR="00AA4211" w:rsidRPr="00DD1DFA">
        <w:rPr>
          <w:noProof/>
          <w:color w:val="00000A"/>
          <w:szCs w:val="24"/>
        </w:rPr>
        <w:t>9</w:t>
      </w:r>
      <w:r w:rsidR="00DD1DFA" w:rsidRPr="00DD1DFA">
        <w:rPr>
          <w:noProof/>
          <w:color w:val="00000A"/>
          <w:szCs w:val="24"/>
        </w:rPr>
        <w:t xml:space="preserve"> i</w:t>
      </w:r>
      <w:r w:rsidR="00DD1DFA">
        <w:rPr>
          <w:noProof/>
          <w:color w:val="00000A"/>
          <w:szCs w:val="24"/>
        </w:rPr>
        <w:t> </w:t>
      </w:r>
      <w:r w:rsidR="00DD1DFA" w:rsidRPr="00DD1DFA">
        <w:rPr>
          <w:noProof/>
          <w:color w:val="00000A"/>
          <w:szCs w:val="24"/>
        </w:rPr>
        <w:t>art</w:t>
      </w:r>
      <w:r w:rsidR="00AA4211" w:rsidRPr="00DD1DFA">
        <w:rPr>
          <w:noProof/>
          <w:color w:val="00000A"/>
          <w:szCs w:val="24"/>
        </w:rPr>
        <w:t>.</w:t>
      </w:r>
      <w:r w:rsidR="00DD1DFA" w:rsidRPr="00DD1DFA">
        <w:rPr>
          <w:noProof/>
          <w:color w:val="00000A"/>
          <w:szCs w:val="24"/>
        </w:rPr>
        <w:t> </w:t>
      </w:r>
      <w:r w:rsidR="00AA4211" w:rsidRPr="00DD1DFA">
        <w:rPr>
          <w:noProof/>
          <w:color w:val="00000A"/>
          <w:szCs w:val="24"/>
        </w:rPr>
        <w:t>11–15</w:t>
      </w:r>
      <w:r w:rsidR="00AA4211" w:rsidRPr="00DD1DFA">
        <w:rPr>
          <w:noProof/>
        </w:rPr>
        <w:t xml:space="preserve"> oraz umieszcza oznakowanie CE zgodnie</w:t>
      </w:r>
      <w:r w:rsidR="00DD1DFA" w:rsidRPr="00DD1DFA">
        <w:rPr>
          <w:noProof/>
        </w:rPr>
        <w:t xml:space="preserve"> z</w:t>
      </w:r>
      <w:r w:rsidR="00DD1DFA">
        <w:rPr>
          <w:noProof/>
        </w:rPr>
        <w:t> </w:t>
      </w:r>
      <w:r w:rsidR="00DD1DFA" w:rsidRPr="00DD1DFA">
        <w:rPr>
          <w:noProof/>
        </w:rPr>
        <w:t>art</w:t>
      </w:r>
      <w:r w:rsidR="00AA4211" w:rsidRPr="00DD1DFA">
        <w:rPr>
          <w:noProof/>
        </w:rPr>
        <w:t>.</w:t>
      </w:r>
      <w:r w:rsidR="00DD1DFA" w:rsidRPr="00DD1DFA">
        <w:rPr>
          <w:noProof/>
        </w:rPr>
        <w:t> </w:t>
      </w:r>
      <w:r w:rsidR="00AA4211" w:rsidRPr="00DD1DFA">
        <w:rPr>
          <w:noProof/>
          <w:color w:val="00000A"/>
          <w:szCs w:val="24"/>
        </w:rPr>
        <w:t>16</w:t>
      </w:r>
      <w:r w:rsidR="00DD1DFA" w:rsidRPr="00DD1DFA">
        <w:rPr>
          <w:noProof/>
          <w:color w:val="00000A"/>
          <w:szCs w:val="24"/>
        </w:rPr>
        <w:t xml:space="preserve"> i</w:t>
      </w:r>
      <w:r w:rsidR="00DD1DFA">
        <w:rPr>
          <w:noProof/>
          <w:color w:val="00000A"/>
          <w:szCs w:val="24"/>
        </w:rPr>
        <w:t> </w:t>
      </w:r>
      <w:r w:rsidR="00DD1DFA" w:rsidRPr="00DD1DFA">
        <w:rPr>
          <w:noProof/>
          <w:color w:val="00000A"/>
          <w:szCs w:val="24"/>
        </w:rPr>
        <w:t>1</w:t>
      </w:r>
      <w:r w:rsidR="00AA4211" w:rsidRPr="00DD1DFA">
        <w:rPr>
          <w:noProof/>
          <w:color w:val="00000A"/>
          <w:szCs w:val="24"/>
        </w:rPr>
        <w:t>7</w:t>
      </w:r>
      <w:r w:rsidR="00AA4211" w:rsidRPr="00DD1DFA">
        <w:rPr>
          <w:noProof/>
        </w:rPr>
        <w:t>.</w:t>
      </w:r>
    </w:p>
    <w:p w14:paraId="10621EB2" w14:textId="3BF13FD9" w:rsidR="00AA4211" w:rsidRPr="00DD1DFA" w:rsidRDefault="005F7EFA" w:rsidP="005F7EFA">
      <w:pPr>
        <w:pStyle w:val="ManualNumPar1"/>
        <w:rPr>
          <w:rFonts w:eastAsia="Calibri"/>
          <w:noProof/>
        </w:rPr>
      </w:pPr>
      <w:r w:rsidRPr="005F7EFA">
        <w:t>2.</w:t>
      </w:r>
      <w:r w:rsidRPr="005F7EFA">
        <w:tab/>
      </w:r>
      <w:r w:rsidR="00AA4211" w:rsidRPr="00DD1DFA">
        <w:rPr>
          <w:noProof/>
        </w:rPr>
        <w:t>Producent powstrzymuje się od wszelkich oświadczeń dotyczących właściwości wyrobu, które nie są oparte na:</w:t>
      </w:r>
    </w:p>
    <w:p w14:paraId="1F404325" w14:textId="4E7EA2E8" w:rsidR="00AA4211" w:rsidRPr="00DD1DFA" w:rsidRDefault="00626BBA" w:rsidP="00626BBA">
      <w:pPr>
        <w:pStyle w:val="Point1"/>
        <w:rPr>
          <w:noProof/>
        </w:rPr>
      </w:pPr>
      <w:r w:rsidRPr="00626BBA">
        <w:rPr>
          <w:noProof/>
        </w:rPr>
        <w:t>a)</w:t>
      </w:r>
      <w:r w:rsidRPr="00626BBA">
        <w:rPr>
          <w:noProof/>
        </w:rPr>
        <w:tab/>
      </w:r>
      <w:r w:rsidR="00AA4211" w:rsidRPr="00DD1DFA">
        <w:rPr>
          <w:noProof/>
        </w:rPr>
        <w:t>metodzie oceny zawartej</w:t>
      </w:r>
      <w:r w:rsidR="00DD1DFA" w:rsidRPr="00DD1DFA">
        <w:rPr>
          <w:noProof/>
        </w:rPr>
        <w:t xml:space="preserve"> w</w:t>
      </w:r>
      <w:r w:rsidR="00DD1DFA">
        <w:rPr>
          <w:noProof/>
        </w:rPr>
        <w:t> </w:t>
      </w:r>
      <w:r w:rsidR="00DD1DFA" w:rsidRPr="00DD1DFA">
        <w:rPr>
          <w:noProof/>
        </w:rPr>
        <w:t>zha</w:t>
      </w:r>
      <w:r w:rsidR="00AA4211" w:rsidRPr="00DD1DFA">
        <w:rPr>
          <w:noProof/>
        </w:rPr>
        <w:t>rmonizowanej specyfikacji technicznej, jeżeli dana właściwość jest objęta taką specyfikacją; lub</w:t>
      </w:r>
    </w:p>
    <w:p w14:paraId="7F5CA9EB" w14:textId="5A9D9039" w:rsidR="00AA4211" w:rsidRPr="00DD1DFA" w:rsidRDefault="00626BBA" w:rsidP="00626BBA">
      <w:pPr>
        <w:pStyle w:val="Point1"/>
        <w:rPr>
          <w:noProof/>
        </w:rPr>
      </w:pPr>
      <w:r w:rsidRPr="00626BBA">
        <w:rPr>
          <w:noProof/>
        </w:rPr>
        <w:t>b)</w:t>
      </w:r>
      <w:r w:rsidRPr="00626BBA">
        <w:rPr>
          <w:noProof/>
        </w:rPr>
        <w:tab/>
      </w:r>
      <w:r w:rsidR="00F3454E" w:rsidRPr="00DD1DFA">
        <w:rPr>
          <w:noProof/>
        </w:rPr>
        <w:t>jeżeli nie istnieje żadna taka metoda oceny – na metodzie oceny, która jest najbardziej skuteczną</w:t>
      </w:r>
      <w:r w:rsidR="00DD1DFA" w:rsidRPr="00DD1DFA">
        <w:rPr>
          <w:noProof/>
        </w:rPr>
        <w:t xml:space="preserve"> i</w:t>
      </w:r>
      <w:r w:rsidR="00DD1DFA">
        <w:rPr>
          <w:noProof/>
        </w:rPr>
        <w:t> </w:t>
      </w:r>
      <w:r w:rsidR="00DD1DFA" w:rsidRPr="00DD1DFA">
        <w:rPr>
          <w:noProof/>
        </w:rPr>
        <w:t>zaa</w:t>
      </w:r>
      <w:r w:rsidR="00F3454E" w:rsidRPr="00DD1DFA">
        <w:rPr>
          <w:noProof/>
        </w:rPr>
        <w:t>wansowaną metodą umożliwiającą sporządzenie dokładnej oceny.</w:t>
      </w:r>
    </w:p>
    <w:p w14:paraId="20EFA784" w14:textId="1BB9A4BA" w:rsidR="00AA4211" w:rsidRPr="00DD1DFA" w:rsidRDefault="005F7EFA" w:rsidP="005F7EFA">
      <w:pPr>
        <w:pStyle w:val="ManualNumPar1"/>
        <w:rPr>
          <w:rFonts w:eastAsia="Calibri"/>
          <w:noProof/>
          <w:color w:val="00000A"/>
        </w:rPr>
      </w:pPr>
      <w:r w:rsidRPr="005F7EFA">
        <w:t>3.</w:t>
      </w:r>
      <w:r w:rsidRPr="005F7EFA">
        <w:tab/>
      </w:r>
      <w:r w:rsidR="00AA4211" w:rsidRPr="00DD1DFA">
        <w:rPr>
          <w:noProof/>
        </w:rPr>
        <w:t>Producent sporządza, jako podstawę do deklaracji,</w:t>
      </w:r>
      <w:r w:rsidR="00DD1DFA" w:rsidRPr="00DD1DFA">
        <w:rPr>
          <w:noProof/>
        </w:rPr>
        <w:t xml:space="preserve"> o</w:t>
      </w:r>
      <w:r w:rsidR="00DD1DFA">
        <w:rPr>
          <w:noProof/>
        </w:rPr>
        <w:t> </w:t>
      </w:r>
      <w:r w:rsidR="00DD1DFA" w:rsidRPr="00DD1DFA">
        <w:rPr>
          <w:noProof/>
        </w:rPr>
        <w:t>któ</w:t>
      </w:r>
      <w:r w:rsidR="00AA4211" w:rsidRPr="00DD1DFA">
        <w:rPr>
          <w:noProof/>
        </w:rPr>
        <w:t>rych mowa</w:t>
      </w:r>
      <w:r w:rsidR="00DD1DFA" w:rsidRPr="00DD1DFA">
        <w:rPr>
          <w:noProof/>
        </w:rPr>
        <w:t xml:space="preserve"> w</w:t>
      </w:r>
      <w:r w:rsidR="00DD1DFA">
        <w:rPr>
          <w:noProof/>
        </w:rPr>
        <w:t> </w:t>
      </w:r>
      <w:r w:rsidR="00DD1DFA" w:rsidRPr="00DD1DFA">
        <w:rPr>
          <w:noProof/>
        </w:rPr>
        <w:t>ust</w:t>
      </w:r>
      <w:r w:rsidR="00AA4211" w:rsidRPr="00DD1DFA">
        <w:rPr>
          <w:noProof/>
        </w:rPr>
        <w:t>.</w:t>
      </w:r>
      <w:r w:rsidR="00DD1DFA" w:rsidRPr="00DD1DFA">
        <w:rPr>
          <w:noProof/>
          <w:szCs w:val="24"/>
        </w:rPr>
        <w:t> </w:t>
      </w:r>
      <w:r w:rsidR="00AA4211" w:rsidRPr="00DD1DFA">
        <w:rPr>
          <w:noProof/>
        </w:rPr>
        <w:t>1, dokumentację techniczną opisującą zamierzone zastosowanie,</w:t>
      </w:r>
      <w:r w:rsidR="00DD1DFA" w:rsidRPr="00DD1DFA">
        <w:rPr>
          <w:noProof/>
        </w:rPr>
        <w:t xml:space="preserve"> w</w:t>
      </w:r>
      <w:r w:rsidR="00DD1DFA">
        <w:rPr>
          <w:noProof/>
        </w:rPr>
        <w:t> </w:t>
      </w:r>
      <w:r w:rsidR="00DD1DFA" w:rsidRPr="00DD1DFA">
        <w:rPr>
          <w:noProof/>
        </w:rPr>
        <w:t>tym</w:t>
      </w:r>
      <w:r w:rsidR="00AA4211" w:rsidRPr="00DD1DFA">
        <w:rPr>
          <w:noProof/>
        </w:rPr>
        <w:t xml:space="preserve"> dokładne warunki stosowania oraz wszystkie elementy niezbędne do wykazania właściwości użytkowych</w:t>
      </w:r>
      <w:r w:rsidR="00DD1DFA" w:rsidRPr="00DD1DFA">
        <w:rPr>
          <w:noProof/>
        </w:rPr>
        <w:t xml:space="preserve"> i</w:t>
      </w:r>
      <w:r w:rsidR="00DD1DFA">
        <w:rPr>
          <w:noProof/>
        </w:rPr>
        <w:t> </w:t>
      </w:r>
      <w:r w:rsidR="00DD1DFA" w:rsidRPr="00DD1DFA">
        <w:rPr>
          <w:noProof/>
        </w:rPr>
        <w:t>zgo</w:t>
      </w:r>
      <w:r w:rsidR="00AA4211" w:rsidRPr="00DD1DFA">
        <w:rPr>
          <w:noProof/>
        </w:rPr>
        <w:t>dności.</w:t>
      </w:r>
    </w:p>
    <w:p w14:paraId="24FA3245" w14:textId="7C4E663A" w:rsidR="00AA4211" w:rsidRPr="00DD1DFA" w:rsidRDefault="00AA4211" w:rsidP="00AA4211">
      <w:pPr>
        <w:pStyle w:val="Text1"/>
        <w:rPr>
          <w:noProof/>
        </w:rPr>
      </w:pPr>
      <w:r w:rsidRPr="00DD1DFA">
        <w:rPr>
          <w:noProof/>
        </w:rPr>
        <w:t>Wspomniana dokumentacja techniczna zawiera obowiązkowe lub fakultatywne obliczenia dotyczące wpływu na środowisko,</w:t>
      </w:r>
      <w:r w:rsidR="00DD1DFA" w:rsidRPr="00DD1DFA">
        <w:rPr>
          <w:noProof/>
        </w:rPr>
        <w:t xml:space="preserve"> w</w:t>
      </w:r>
      <w:r w:rsidR="00DD1DFA">
        <w:rPr>
          <w:noProof/>
        </w:rPr>
        <w:t> </w:t>
      </w:r>
      <w:r w:rsidR="00DD1DFA" w:rsidRPr="00DD1DFA">
        <w:rPr>
          <w:noProof/>
        </w:rPr>
        <w:t>tym</w:t>
      </w:r>
      <w:r w:rsidRPr="00DD1DFA">
        <w:rPr>
          <w:noProof/>
        </w:rPr>
        <w:t xml:space="preserve"> na zrównoważoność klimatyczną, ocenione zgodnie ze zharmonizowanymi specyfikacjami technicznymi przyjętymi na podstawie niniejszego rozporządzenia lub</w:t>
      </w:r>
      <w:r w:rsidR="00DD1DFA" w:rsidRPr="00DD1DFA">
        <w:rPr>
          <w:noProof/>
        </w:rPr>
        <w:t xml:space="preserve"> z</w:t>
      </w:r>
      <w:r w:rsidR="00DD1DFA">
        <w:rPr>
          <w:noProof/>
        </w:rPr>
        <w:t> </w:t>
      </w:r>
      <w:r w:rsidR="00DD1DFA" w:rsidRPr="00DD1DFA">
        <w:rPr>
          <w:noProof/>
        </w:rPr>
        <w:t>akt</w:t>
      </w:r>
      <w:r w:rsidRPr="00DD1DFA">
        <w:rPr>
          <w:noProof/>
        </w:rPr>
        <w:t>ami Komisji przyjętymi na podstawie niniejszego rozporządzenia.</w:t>
      </w:r>
    </w:p>
    <w:p w14:paraId="2D674733" w14:textId="612FC772" w:rsidR="00AA4211" w:rsidRPr="00DD1DFA" w:rsidRDefault="00AA4211" w:rsidP="00AA4211">
      <w:pPr>
        <w:pStyle w:val="Text1"/>
        <w:rPr>
          <w:noProof/>
        </w:rPr>
      </w:pPr>
      <w:r w:rsidRPr="00DD1DFA">
        <w:rPr>
          <w:noProof/>
        </w:rPr>
        <w:t xml:space="preserve">Akapit drugi </w:t>
      </w:r>
      <w:r w:rsidRPr="00DD1DFA">
        <w:rPr>
          <w:noProof/>
          <w:color w:val="00000A"/>
        </w:rPr>
        <w:t>nie ma zastosowania</w:t>
      </w:r>
      <w:r w:rsidR="00DD1DFA" w:rsidRPr="00DD1DFA">
        <w:rPr>
          <w:noProof/>
          <w:color w:val="00000A"/>
        </w:rPr>
        <w:t xml:space="preserve"> w</w:t>
      </w:r>
      <w:r w:rsidR="00DD1DFA">
        <w:rPr>
          <w:noProof/>
          <w:color w:val="00000A"/>
        </w:rPr>
        <w:t> </w:t>
      </w:r>
      <w:r w:rsidR="00DD1DFA" w:rsidRPr="00DD1DFA">
        <w:rPr>
          <w:noProof/>
          <w:color w:val="00000A"/>
        </w:rPr>
        <w:t>odn</w:t>
      </w:r>
      <w:r w:rsidRPr="00DD1DFA">
        <w:rPr>
          <w:noProof/>
          <w:color w:val="00000A"/>
        </w:rPr>
        <w:t>iesieniu do wyrobów używanych, poddanych regeneracji lub nadwyżek wyrobów, chyba że podmiot gospodarczy, podlegający obowiązkom wynikającym</w:t>
      </w:r>
      <w:r w:rsidR="00DD1DFA" w:rsidRPr="00DD1DFA">
        <w:rPr>
          <w:noProof/>
          <w:color w:val="00000A"/>
        </w:rPr>
        <w:t xml:space="preserve"> z</w:t>
      </w:r>
      <w:r w:rsidR="00DD1DFA">
        <w:rPr>
          <w:noProof/>
          <w:color w:val="00000A"/>
        </w:rPr>
        <w:t> </w:t>
      </w:r>
      <w:r w:rsidR="00DD1DFA" w:rsidRPr="00DD1DFA">
        <w:rPr>
          <w:noProof/>
          <w:color w:val="00000A"/>
        </w:rPr>
        <w:t>nin</w:t>
      </w:r>
      <w:r w:rsidRPr="00DD1DFA">
        <w:rPr>
          <w:noProof/>
          <w:color w:val="00000A"/>
        </w:rPr>
        <w:t>iejszego artykułu na podstawie art.</w:t>
      </w:r>
      <w:r w:rsidR="00DD1DFA" w:rsidRPr="00DD1DFA">
        <w:rPr>
          <w:noProof/>
          <w:color w:val="00000A"/>
        </w:rPr>
        <w:t> </w:t>
      </w:r>
      <w:r w:rsidRPr="00DD1DFA">
        <w:rPr>
          <w:noProof/>
          <w:color w:val="00000A"/>
        </w:rPr>
        <w:t>26, zdecyduje się na zastosowanie niniejszego rozporządzenia do nowych wyrobów.</w:t>
      </w:r>
    </w:p>
    <w:p w14:paraId="6E2349F7" w14:textId="573B5F08" w:rsidR="00AA4211" w:rsidRPr="00DD1DFA" w:rsidRDefault="005F7EFA" w:rsidP="005F7EFA">
      <w:pPr>
        <w:pStyle w:val="ManualNumPar1"/>
        <w:rPr>
          <w:rFonts w:eastAsia="Calibri"/>
          <w:noProof/>
        </w:rPr>
      </w:pPr>
      <w:r w:rsidRPr="005F7EFA">
        <w:t>4.</w:t>
      </w:r>
      <w:r w:rsidRPr="005F7EFA">
        <w:tab/>
      </w:r>
      <w:r w:rsidR="00AA4211" w:rsidRPr="00DD1DFA">
        <w:rPr>
          <w:noProof/>
        </w:rPr>
        <w:t>Producenci zapewniają istnienie procedur zapewniających utrzymanie</w:t>
      </w:r>
      <w:r w:rsidR="00DD1DFA" w:rsidRPr="00DD1DFA">
        <w:rPr>
          <w:noProof/>
        </w:rPr>
        <w:t xml:space="preserve"> w</w:t>
      </w:r>
      <w:r w:rsidR="00DD1DFA">
        <w:rPr>
          <w:noProof/>
        </w:rPr>
        <w:t> </w:t>
      </w:r>
      <w:r w:rsidR="00DD1DFA" w:rsidRPr="00DD1DFA">
        <w:rPr>
          <w:noProof/>
        </w:rPr>
        <w:t>pro</w:t>
      </w:r>
      <w:r w:rsidR="00AA4211" w:rsidRPr="00DD1DFA">
        <w:rPr>
          <w:noProof/>
        </w:rPr>
        <w:t>dukcji seryjnej deklarowanych właściwości użytkowych wyrobu</w:t>
      </w:r>
      <w:r w:rsidR="00DD1DFA" w:rsidRPr="00DD1DFA">
        <w:rPr>
          <w:noProof/>
        </w:rPr>
        <w:t xml:space="preserve"> i</w:t>
      </w:r>
      <w:r w:rsidR="00DD1DFA">
        <w:rPr>
          <w:noProof/>
        </w:rPr>
        <w:t> </w:t>
      </w:r>
      <w:r w:rsidR="00DD1DFA" w:rsidRPr="00DD1DFA">
        <w:rPr>
          <w:noProof/>
        </w:rPr>
        <w:t>zgo</w:t>
      </w:r>
      <w:r w:rsidR="00AA4211" w:rsidRPr="00DD1DFA">
        <w:rPr>
          <w:noProof/>
        </w:rPr>
        <w:t>dności. Odpowiednio uwzględnia się zmiany</w:t>
      </w:r>
      <w:r w:rsidR="00DD1DFA" w:rsidRPr="00DD1DFA">
        <w:rPr>
          <w:noProof/>
        </w:rPr>
        <w:t xml:space="preserve"> w</w:t>
      </w:r>
      <w:r w:rsidR="00DD1DFA">
        <w:rPr>
          <w:noProof/>
        </w:rPr>
        <w:t> </w:t>
      </w:r>
      <w:r w:rsidR="00DD1DFA" w:rsidRPr="00DD1DFA">
        <w:rPr>
          <w:noProof/>
        </w:rPr>
        <w:t>pro</w:t>
      </w:r>
      <w:r w:rsidR="00AA4211" w:rsidRPr="00DD1DFA">
        <w:rPr>
          <w:noProof/>
        </w:rPr>
        <w:t>cesie produkcji, projekcie lub właściwościach wyrobu oraz zmiany</w:t>
      </w:r>
      <w:r w:rsidR="00DD1DFA" w:rsidRPr="00DD1DFA">
        <w:rPr>
          <w:noProof/>
        </w:rPr>
        <w:t xml:space="preserve"> w</w:t>
      </w:r>
      <w:r w:rsidR="00DD1DFA">
        <w:rPr>
          <w:noProof/>
        </w:rPr>
        <w:t> </w:t>
      </w:r>
      <w:r w:rsidR="00DD1DFA" w:rsidRPr="00DD1DFA">
        <w:rPr>
          <w:noProof/>
        </w:rPr>
        <w:t>zha</w:t>
      </w:r>
      <w:r w:rsidR="00AA4211" w:rsidRPr="00DD1DFA">
        <w:rPr>
          <w:noProof/>
        </w:rPr>
        <w:t>rmonizowanych specyfikacjach technicznych,</w:t>
      </w:r>
      <w:r w:rsidR="00DD1DFA" w:rsidRPr="00DD1DFA">
        <w:rPr>
          <w:noProof/>
        </w:rPr>
        <w:t xml:space="preserve"> w</w:t>
      </w:r>
      <w:r w:rsidR="00DD1DFA">
        <w:rPr>
          <w:noProof/>
        </w:rPr>
        <w:t> </w:t>
      </w:r>
      <w:r w:rsidR="00DD1DFA" w:rsidRPr="00DD1DFA">
        <w:rPr>
          <w:noProof/>
        </w:rPr>
        <w:t>odn</w:t>
      </w:r>
      <w:r w:rsidR="00AA4211" w:rsidRPr="00DD1DFA">
        <w:rPr>
          <w:noProof/>
        </w:rPr>
        <w:t>iesieniu do których deklaruje się właściwości użytkowe bądź zgodność wyrobu lub poprzez stosowanie których weryfikuje się właściwości użytkowe bądź zgodność wyrobu,</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prz</w:t>
      </w:r>
      <w:r w:rsidR="00AA4211" w:rsidRPr="00DD1DFA">
        <w:rPr>
          <w:noProof/>
        </w:rPr>
        <w:t>ypadku gdy mają one wpływ na właściwości użytkowe lub zgodność wyrobu, skutkują przeprowadzeniem ponownej oceny zgodnie</w:t>
      </w:r>
      <w:r w:rsidR="00DD1DFA" w:rsidRPr="00DD1DFA">
        <w:rPr>
          <w:noProof/>
        </w:rPr>
        <w:t xml:space="preserve"> z</w:t>
      </w:r>
      <w:r w:rsidR="00DD1DFA">
        <w:rPr>
          <w:noProof/>
        </w:rPr>
        <w:t> </w:t>
      </w:r>
      <w:r w:rsidR="00DD1DFA" w:rsidRPr="00DD1DFA">
        <w:rPr>
          <w:noProof/>
        </w:rPr>
        <w:t>odp</w:t>
      </w:r>
      <w:r w:rsidR="00AA4211" w:rsidRPr="00DD1DFA">
        <w:rPr>
          <w:noProof/>
        </w:rPr>
        <w:t>owiednią procedurą oceny.</w:t>
      </w:r>
    </w:p>
    <w:p w14:paraId="5AD96BC9" w14:textId="780572C5" w:rsidR="00AA4211" w:rsidRPr="00DD1DFA" w:rsidRDefault="00AA4211" w:rsidP="00AA4211">
      <w:pPr>
        <w:pStyle w:val="Text1"/>
        <w:rPr>
          <w:noProof/>
        </w:rPr>
      </w:pPr>
      <w:r w:rsidRPr="00DD1DFA">
        <w:rPr>
          <w:noProof/>
        </w:rPr>
        <w:t>Producenci –</w:t>
      </w:r>
      <w:r w:rsidR="00DD1DFA" w:rsidRPr="00DD1DFA">
        <w:rPr>
          <w:noProof/>
        </w:rPr>
        <w:t xml:space="preserve"> w</w:t>
      </w:r>
      <w:r w:rsidR="00DD1DFA">
        <w:rPr>
          <w:noProof/>
        </w:rPr>
        <w:t> </w:t>
      </w:r>
      <w:r w:rsidR="00DD1DFA" w:rsidRPr="00DD1DFA">
        <w:rPr>
          <w:noProof/>
        </w:rPr>
        <w:t>sto</w:t>
      </w:r>
      <w:r w:rsidRPr="00DD1DFA">
        <w:rPr>
          <w:noProof/>
        </w:rPr>
        <w:t>sownych przypadkach</w:t>
      </w:r>
      <w:r w:rsidR="00DD1DFA" w:rsidRPr="00DD1DFA">
        <w:rPr>
          <w:noProof/>
        </w:rPr>
        <w:t xml:space="preserve"> w</w:t>
      </w:r>
      <w:r w:rsidR="00DD1DFA">
        <w:rPr>
          <w:noProof/>
        </w:rPr>
        <w:t> </w:t>
      </w:r>
      <w:r w:rsidR="00DD1DFA" w:rsidRPr="00DD1DFA">
        <w:rPr>
          <w:noProof/>
        </w:rPr>
        <w:t>odn</w:t>
      </w:r>
      <w:r w:rsidRPr="00DD1DFA">
        <w:rPr>
          <w:noProof/>
        </w:rPr>
        <w:t>iesieniu do zapewnienia dokładności, wiarygodności</w:t>
      </w:r>
      <w:r w:rsidR="00DD1DFA" w:rsidRPr="00DD1DFA">
        <w:rPr>
          <w:noProof/>
        </w:rPr>
        <w:t xml:space="preserve"> i</w:t>
      </w:r>
      <w:r w:rsidR="00DD1DFA">
        <w:rPr>
          <w:noProof/>
        </w:rPr>
        <w:t> </w:t>
      </w:r>
      <w:r w:rsidR="00DD1DFA" w:rsidRPr="00DD1DFA">
        <w:rPr>
          <w:noProof/>
        </w:rPr>
        <w:t>sta</w:t>
      </w:r>
      <w:r w:rsidRPr="00DD1DFA">
        <w:rPr>
          <w:noProof/>
        </w:rPr>
        <w:t>łości deklarowanych właściwości użytkowych</w:t>
      </w:r>
      <w:r w:rsidR="00DD1DFA" w:rsidRPr="00DD1DFA">
        <w:rPr>
          <w:noProof/>
        </w:rPr>
        <w:t xml:space="preserve"> i</w:t>
      </w:r>
      <w:r w:rsidR="00DD1DFA">
        <w:rPr>
          <w:noProof/>
        </w:rPr>
        <w:t> </w:t>
      </w:r>
      <w:r w:rsidR="00DD1DFA" w:rsidRPr="00DD1DFA">
        <w:rPr>
          <w:noProof/>
        </w:rPr>
        <w:t>zgo</w:t>
      </w:r>
      <w:r w:rsidRPr="00DD1DFA">
        <w:rPr>
          <w:noProof/>
        </w:rPr>
        <w:t>dności wyrobu – prowadzą badania próbek wyrobów wprowadzonych do obrotu lub udostępnionych na rynku oraz – jeśli wystąpi taka konieczność – prowadzą ewidencję skarg, wyrobów niezgodnych</w:t>
      </w:r>
      <w:r w:rsidR="00DD1DFA" w:rsidRPr="00DD1DFA">
        <w:rPr>
          <w:noProof/>
        </w:rPr>
        <w:t xml:space="preserve"> i</w:t>
      </w:r>
      <w:r w:rsidR="00DD1DFA">
        <w:rPr>
          <w:noProof/>
        </w:rPr>
        <w:t> </w:t>
      </w:r>
      <w:r w:rsidR="00DD1DFA" w:rsidRPr="00DD1DFA">
        <w:rPr>
          <w:noProof/>
        </w:rPr>
        <w:t>wyr</w:t>
      </w:r>
      <w:r w:rsidRPr="00DD1DFA">
        <w:rPr>
          <w:noProof/>
        </w:rPr>
        <w:t>obów odzyskanych,</w:t>
      </w:r>
      <w:r w:rsidR="00DD1DFA" w:rsidRPr="00DD1DFA">
        <w:rPr>
          <w:noProof/>
        </w:rPr>
        <w:t xml:space="preserve"> a</w:t>
      </w:r>
      <w:r w:rsidR="00DD1DFA">
        <w:rPr>
          <w:noProof/>
        </w:rPr>
        <w:t> </w:t>
      </w:r>
      <w:r w:rsidR="00DD1DFA" w:rsidRPr="00DD1DFA">
        <w:rPr>
          <w:noProof/>
        </w:rPr>
        <w:t>tak</w:t>
      </w:r>
      <w:r w:rsidRPr="00DD1DFA">
        <w:rPr>
          <w:noProof/>
        </w:rPr>
        <w:t>że informują importerów</w:t>
      </w:r>
      <w:r w:rsidR="00DD1DFA" w:rsidRPr="00DD1DFA">
        <w:rPr>
          <w:noProof/>
        </w:rPr>
        <w:t xml:space="preserve"> i</w:t>
      </w:r>
      <w:r w:rsidR="00DD1DFA">
        <w:rPr>
          <w:noProof/>
        </w:rPr>
        <w:t> </w:t>
      </w:r>
      <w:r w:rsidR="00DD1DFA" w:rsidRPr="00DD1DFA">
        <w:rPr>
          <w:noProof/>
        </w:rPr>
        <w:t>dys</w:t>
      </w:r>
      <w:r w:rsidRPr="00DD1DFA">
        <w:rPr>
          <w:noProof/>
        </w:rPr>
        <w:t>trybutorów</w:t>
      </w:r>
      <w:r w:rsidR="00DD1DFA" w:rsidRPr="00DD1DFA">
        <w:rPr>
          <w:noProof/>
        </w:rPr>
        <w:t xml:space="preserve"> o</w:t>
      </w:r>
      <w:r w:rsidR="00DD1DFA">
        <w:rPr>
          <w:noProof/>
        </w:rPr>
        <w:t> </w:t>
      </w:r>
      <w:r w:rsidR="00DD1DFA" w:rsidRPr="00DD1DFA">
        <w:rPr>
          <w:noProof/>
        </w:rPr>
        <w:t>teg</w:t>
      </w:r>
      <w:r w:rsidRPr="00DD1DFA">
        <w:rPr>
          <w:noProof/>
        </w:rPr>
        <w:t>o rodzaju działaniach</w:t>
      </w:r>
      <w:r w:rsidR="00DD1DFA" w:rsidRPr="00DD1DFA">
        <w:rPr>
          <w:noProof/>
        </w:rPr>
        <w:t xml:space="preserve"> w</w:t>
      </w:r>
      <w:r w:rsidR="00DD1DFA">
        <w:rPr>
          <w:noProof/>
        </w:rPr>
        <w:t> </w:t>
      </w:r>
      <w:r w:rsidR="00DD1DFA" w:rsidRPr="00DD1DFA">
        <w:rPr>
          <w:noProof/>
        </w:rPr>
        <w:t>zak</w:t>
      </w:r>
      <w:r w:rsidRPr="00DD1DFA">
        <w:rPr>
          <w:noProof/>
        </w:rPr>
        <w:t>resie monitorowania.</w:t>
      </w:r>
    </w:p>
    <w:p w14:paraId="6208DCF4" w14:textId="6639454E" w:rsidR="00AA4211" w:rsidRPr="00DD1DFA" w:rsidRDefault="00AA4211" w:rsidP="00AA4211">
      <w:pPr>
        <w:pStyle w:val="Text1"/>
        <w:rPr>
          <w:noProof/>
        </w:rPr>
      </w:pPr>
      <w:r w:rsidRPr="00DD1DFA">
        <w:rPr>
          <w:noProof/>
        </w:rPr>
        <w:t>W dokumentacji technicznej,</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ust</w:t>
      </w:r>
      <w:r w:rsidRPr="00DD1DFA">
        <w:rPr>
          <w:noProof/>
        </w:rPr>
        <w:t>.</w:t>
      </w:r>
      <w:r w:rsidR="00DD1DFA" w:rsidRPr="00DD1DFA">
        <w:rPr>
          <w:noProof/>
        </w:rPr>
        <w:t> </w:t>
      </w:r>
      <w:r w:rsidRPr="00DD1DFA">
        <w:rPr>
          <w:noProof/>
        </w:rPr>
        <w:t>3, opisuje się procedury,</w:t>
      </w:r>
      <w:r w:rsidR="00DD1DFA" w:rsidRPr="00DD1DFA">
        <w:rPr>
          <w:noProof/>
        </w:rPr>
        <w:t xml:space="preserve"> o</w:t>
      </w:r>
      <w:r w:rsidR="00DD1DFA">
        <w:rPr>
          <w:noProof/>
        </w:rPr>
        <w:t> </w:t>
      </w:r>
      <w:r w:rsidR="00DD1DFA" w:rsidRPr="00DD1DFA">
        <w:rPr>
          <w:noProof/>
        </w:rPr>
        <w:t>któ</w:t>
      </w:r>
      <w:r w:rsidRPr="00DD1DFA">
        <w:rPr>
          <w:noProof/>
        </w:rPr>
        <w:t>rych mowa</w:t>
      </w:r>
      <w:r w:rsidR="00DD1DFA" w:rsidRPr="00DD1DFA">
        <w:rPr>
          <w:noProof/>
        </w:rPr>
        <w:t xml:space="preserve"> w</w:t>
      </w:r>
      <w:r w:rsidR="00DD1DFA">
        <w:rPr>
          <w:noProof/>
        </w:rPr>
        <w:t> </w:t>
      </w:r>
      <w:r w:rsidR="00DD1DFA" w:rsidRPr="00DD1DFA">
        <w:rPr>
          <w:noProof/>
        </w:rPr>
        <w:t>pie</w:t>
      </w:r>
      <w:r w:rsidRPr="00DD1DFA">
        <w:rPr>
          <w:noProof/>
        </w:rPr>
        <w:t>rwszym akapicie, badania próbek,</w:t>
      </w:r>
      <w:r w:rsidR="00DD1DFA" w:rsidRPr="00DD1DFA">
        <w:rPr>
          <w:noProof/>
        </w:rPr>
        <w:t xml:space="preserve"> o</w:t>
      </w:r>
      <w:r w:rsidR="00DD1DFA">
        <w:rPr>
          <w:noProof/>
        </w:rPr>
        <w:t> </w:t>
      </w:r>
      <w:r w:rsidR="00DD1DFA" w:rsidRPr="00DD1DFA">
        <w:rPr>
          <w:noProof/>
        </w:rPr>
        <w:t>któ</w:t>
      </w:r>
      <w:r w:rsidRPr="00DD1DFA">
        <w:rPr>
          <w:noProof/>
        </w:rPr>
        <w:t>rych mowa</w:t>
      </w:r>
      <w:r w:rsidR="00DD1DFA" w:rsidRPr="00DD1DFA">
        <w:rPr>
          <w:noProof/>
        </w:rPr>
        <w:t xml:space="preserve"> w</w:t>
      </w:r>
      <w:r w:rsidR="00DD1DFA">
        <w:rPr>
          <w:noProof/>
        </w:rPr>
        <w:t> </w:t>
      </w:r>
      <w:r w:rsidR="00DD1DFA" w:rsidRPr="00DD1DFA">
        <w:rPr>
          <w:noProof/>
        </w:rPr>
        <w:t>dru</w:t>
      </w:r>
      <w:r w:rsidRPr="00DD1DFA">
        <w:rPr>
          <w:noProof/>
        </w:rPr>
        <w:t>gim akapicie, oraz zastosowanie odpowiedniego systemu określonego</w:t>
      </w:r>
      <w:r w:rsidR="00DD1DFA" w:rsidRPr="00DD1DFA">
        <w:rPr>
          <w:noProof/>
        </w:rPr>
        <w:t xml:space="preserve"> w</w:t>
      </w:r>
      <w:r w:rsidR="00DD1DFA">
        <w:rPr>
          <w:noProof/>
        </w:rPr>
        <w:t> </w:t>
      </w:r>
      <w:r w:rsidR="00DD1DFA" w:rsidRPr="00DD1DFA">
        <w:rPr>
          <w:noProof/>
        </w:rPr>
        <w:t>zał</w:t>
      </w:r>
      <w:r w:rsidRPr="00DD1DFA">
        <w:rPr>
          <w:noProof/>
        </w:rPr>
        <w:t>ączniku V.</w:t>
      </w:r>
    </w:p>
    <w:p w14:paraId="09115BCE" w14:textId="234CE008" w:rsidR="00AA4211" w:rsidRPr="00DD1DFA" w:rsidRDefault="005F7EFA" w:rsidP="005F7EFA">
      <w:pPr>
        <w:pStyle w:val="ManualNumPar1"/>
        <w:rPr>
          <w:rFonts w:eastAsia="Calibri"/>
          <w:noProof/>
          <w:color w:val="00000A"/>
        </w:rPr>
      </w:pPr>
      <w:r w:rsidRPr="005F7EFA">
        <w:t>5.</w:t>
      </w:r>
      <w:r w:rsidRPr="005F7EFA">
        <w:tab/>
      </w:r>
      <w:r w:rsidR="00AA4211" w:rsidRPr="00DD1DFA">
        <w:rPr>
          <w:noProof/>
          <w:szCs w:val="24"/>
        </w:rPr>
        <w:t>Producent</w:t>
      </w:r>
      <w:r w:rsidR="00AA4211" w:rsidRPr="00DD1DFA">
        <w:rPr>
          <w:noProof/>
        </w:rPr>
        <w:t xml:space="preserve"> zapewnia, aby jego wyrób był opatrzony właściwym dla tego producenta numerem typu, partii lub serii. Jeśli nie jest to możliwe, wymagane informacje należy umieścić na opakowaniu, na przymocowanej etykiecie lub,</w:t>
      </w:r>
      <w:r w:rsidR="00DD1DFA" w:rsidRPr="00DD1DFA">
        <w:rPr>
          <w:noProof/>
        </w:rPr>
        <w:t xml:space="preserve"> w</w:t>
      </w:r>
      <w:r w:rsidR="00DD1DFA">
        <w:rPr>
          <w:noProof/>
        </w:rPr>
        <w:t> </w:t>
      </w:r>
      <w:r w:rsidR="00DD1DFA" w:rsidRPr="00DD1DFA">
        <w:rPr>
          <w:noProof/>
        </w:rPr>
        <w:t>ost</w:t>
      </w:r>
      <w:r w:rsidR="00AA4211" w:rsidRPr="00DD1DFA">
        <w:rPr>
          <w:noProof/>
        </w:rPr>
        <w:t>ateczności,</w:t>
      </w:r>
      <w:r w:rsidR="00DD1DFA" w:rsidRPr="00DD1DFA">
        <w:rPr>
          <w:noProof/>
        </w:rPr>
        <w:t xml:space="preserve"> w</w:t>
      </w:r>
      <w:r w:rsidR="00DD1DFA">
        <w:rPr>
          <w:noProof/>
        </w:rPr>
        <w:t> </w:t>
      </w:r>
      <w:r w:rsidR="00DD1DFA" w:rsidRPr="00DD1DFA">
        <w:rPr>
          <w:noProof/>
        </w:rPr>
        <w:t>dok</w:t>
      </w:r>
      <w:r w:rsidR="00AA4211" w:rsidRPr="00DD1DFA">
        <w:rPr>
          <w:noProof/>
        </w:rPr>
        <w:t>umencie towarzyszącym wyrobowi.</w:t>
      </w:r>
    </w:p>
    <w:p w14:paraId="79FB952C" w14:textId="091794E7" w:rsidR="00AA4211" w:rsidRPr="00DD1DFA" w:rsidRDefault="00AA4211" w:rsidP="00AA4211">
      <w:pPr>
        <w:pStyle w:val="Text1"/>
        <w:rPr>
          <w:rFonts w:eastAsia="Calibri"/>
          <w:noProof/>
          <w:color w:val="00000A"/>
        </w:rPr>
      </w:pPr>
      <w:r w:rsidRPr="00DD1DFA">
        <w:rPr>
          <w:noProof/>
        </w:rPr>
        <w:t>Producent,</w:t>
      </w:r>
      <w:r w:rsidR="00DD1DFA" w:rsidRPr="00DD1DFA">
        <w:rPr>
          <w:noProof/>
        </w:rPr>
        <w:t xml:space="preserve"> w</w:t>
      </w:r>
      <w:r w:rsidR="00DD1DFA">
        <w:rPr>
          <w:noProof/>
        </w:rPr>
        <w:t> </w:t>
      </w:r>
      <w:r w:rsidR="00DD1DFA" w:rsidRPr="00DD1DFA">
        <w:rPr>
          <w:noProof/>
        </w:rPr>
        <w:t>spo</w:t>
      </w:r>
      <w:r w:rsidRPr="00DD1DFA">
        <w:rPr>
          <w:noProof/>
        </w:rPr>
        <w:t>sób określony</w:t>
      </w:r>
      <w:r w:rsidR="00DD1DFA" w:rsidRPr="00DD1DFA">
        <w:rPr>
          <w:noProof/>
        </w:rPr>
        <w:t xml:space="preserve"> w</w:t>
      </w:r>
      <w:r w:rsidR="00DD1DFA">
        <w:rPr>
          <w:noProof/>
        </w:rPr>
        <w:t> </w:t>
      </w:r>
      <w:r w:rsidR="00DD1DFA" w:rsidRPr="00DD1DFA">
        <w:rPr>
          <w:noProof/>
        </w:rPr>
        <w:t>pie</w:t>
      </w:r>
      <w:r w:rsidRPr="00DD1DFA">
        <w:rPr>
          <w:noProof/>
        </w:rPr>
        <w:t>rwszym akapicie, musi opatrzyć wyrób napisem „wyłącznie do użytku profesjonalnego”, jeżeli nie jest on przeznaczony dla konsumentów lub innych użytkowników nieprofesjonalnych. Wyroby nieopatrzone napisem „wyłącznie do użytku profesjonalnego” uznaje się za przeznaczone również dla użytkowników nieprofesjonalnych</w:t>
      </w:r>
      <w:r w:rsidR="00DD1DFA" w:rsidRPr="00DD1DFA">
        <w:rPr>
          <w:noProof/>
        </w:rPr>
        <w:t xml:space="preserve"> i</w:t>
      </w:r>
      <w:r w:rsidR="00DD1DFA">
        <w:rPr>
          <w:noProof/>
        </w:rPr>
        <w:t> </w:t>
      </w:r>
      <w:r w:rsidR="00DD1DFA" w:rsidRPr="00DD1DFA">
        <w:rPr>
          <w:noProof/>
        </w:rPr>
        <w:t>kon</w:t>
      </w:r>
      <w:r w:rsidRPr="00DD1DFA">
        <w:rPr>
          <w:noProof/>
        </w:rPr>
        <w:t>sumentów</w:t>
      </w:r>
      <w:r w:rsidR="00DD1DFA" w:rsidRPr="00DD1DFA">
        <w:rPr>
          <w:noProof/>
        </w:rPr>
        <w:t xml:space="preserve"> w</w:t>
      </w:r>
      <w:r w:rsidR="00DD1DFA">
        <w:rPr>
          <w:noProof/>
        </w:rPr>
        <w:t> </w:t>
      </w:r>
      <w:r w:rsidR="00DD1DFA" w:rsidRPr="00DD1DFA">
        <w:rPr>
          <w:noProof/>
        </w:rPr>
        <w:t>roz</w:t>
      </w:r>
      <w:r w:rsidRPr="00DD1DFA">
        <w:rPr>
          <w:noProof/>
        </w:rPr>
        <w:t>umieniu niniejszego rozporządzenia oraz rozporządzenia (UE) ... [rozporządzenie</w:t>
      </w:r>
      <w:r w:rsidR="00DD1DFA" w:rsidRPr="00DD1DFA">
        <w:rPr>
          <w:noProof/>
        </w:rPr>
        <w:t xml:space="preserve"> w</w:t>
      </w:r>
      <w:r w:rsidR="00DD1DFA">
        <w:rPr>
          <w:noProof/>
        </w:rPr>
        <w:t> </w:t>
      </w:r>
      <w:r w:rsidR="00DD1DFA" w:rsidRPr="00DD1DFA">
        <w:rPr>
          <w:noProof/>
        </w:rPr>
        <w:t>spr</w:t>
      </w:r>
      <w:r w:rsidRPr="00DD1DFA">
        <w:rPr>
          <w:noProof/>
        </w:rPr>
        <w:t>awie ogólnego bezpieczeństwa produktów].</w:t>
      </w:r>
    </w:p>
    <w:p w14:paraId="4396A0AF" w14:textId="2C92E026" w:rsidR="00AA4211" w:rsidRPr="00DD1DFA" w:rsidRDefault="00AA4211" w:rsidP="00AA4211">
      <w:pPr>
        <w:pStyle w:val="Text1"/>
        <w:rPr>
          <w:rFonts w:eastAsia="Calibri"/>
          <w:noProof/>
          <w:color w:val="00000A"/>
        </w:rPr>
      </w:pPr>
      <w:r w:rsidRPr="00DD1DFA">
        <w:rPr>
          <w:noProof/>
        </w:rPr>
        <w:t>Przed zawarciem umowy sprzedaży,</w:t>
      </w:r>
      <w:r w:rsidR="00DD1DFA" w:rsidRPr="00DD1DFA">
        <w:rPr>
          <w:noProof/>
        </w:rPr>
        <w:t xml:space="preserve"> w</w:t>
      </w:r>
      <w:r w:rsidR="00DD1DFA">
        <w:rPr>
          <w:noProof/>
        </w:rPr>
        <w:t> </w:t>
      </w:r>
      <w:r w:rsidR="00DD1DFA" w:rsidRPr="00DD1DFA">
        <w:rPr>
          <w:noProof/>
        </w:rPr>
        <w:t>tym w</w:t>
      </w:r>
      <w:r w:rsidR="00DD1DFA">
        <w:rPr>
          <w:noProof/>
        </w:rPr>
        <w:t> </w:t>
      </w:r>
      <w:r w:rsidR="00DD1DFA" w:rsidRPr="00DD1DFA">
        <w:rPr>
          <w:noProof/>
        </w:rPr>
        <w:t>prz</w:t>
      </w:r>
      <w:r w:rsidRPr="00DD1DFA">
        <w:rPr>
          <w:noProof/>
        </w:rPr>
        <w:t>ypadku sprzedaży na odległość, producent</w:t>
      </w:r>
      <w:r w:rsidR="00DD1DFA" w:rsidRPr="00DD1DFA">
        <w:rPr>
          <w:noProof/>
        </w:rPr>
        <w:t xml:space="preserve"> w</w:t>
      </w:r>
      <w:r w:rsidR="00DD1DFA">
        <w:rPr>
          <w:noProof/>
        </w:rPr>
        <w:t> </w:t>
      </w:r>
      <w:r w:rsidR="00DD1DFA" w:rsidRPr="00DD1DFA">
        <w:rPr>
          <w:noProof/>
        </w:rPr>
        <w:t>wid</w:t>
      </w:r>
      <w:r w:rsidRPr="00DD1DFA">
        <w:rPr>
          <w:noProof/>
        </w:rPr>
        <w:t>oczny sposób przedstawia klientom informacje, które umieszcza się na etykiecie zgodnie</w:t>
      </w:r>
      <w:r w:rsidR="00DD1DFA" w:rsidRPr="00DD1DFA">
        <w:rPr>
          <w:noProof/>
        </w:rPr>
        <w:t xml:space="preserve"> z</w:t>
      </w:r>
      <w:r w:rsidR="00DD1DFA">
        <w:rPr>
          <w:noProof/>
        </w:rPr>
        <w:t> </w:t>
      </w:r>
      <w:r w:rsidR="00DD1DFA" w:rsidRPr="00DD1DFA">
        <w:rPr>
          <w:noProof/>
        </w:rPr>
        <w:t>nin</w:t>
      </w:r>
      <w:r w:rsidRPr="00DD1DFA">
        <w:rPr>
          <w:noProof/>
        </w:rPr>
        <w:t xml:space="preserve">iejszym rozporządzeniem lub zharmonizowanymi specyfikacjami technicznymi. </w:t>
      </w:r>
    </w:p>
    <w:p w14:paraId="049F4267" w14:textId="548F94D0" w:rsidR="00AA4211" w:rsidRPr="00DD1DFA" w:rsidRDefault="005F7EFA" w:rsidP="005F7EFA">
      <w:pPr>
        <w:pStyle w:val="ManualNumPar1"/>
        <w:rPr>
          <w:rFonts w:eastAsia="Calibri"/>
          <w:noProof/>
          <w:color w:val="00000A"/>
        </w:rPr>
      </w:pPr>
      <w:r w:rsidRPr="005F7EFA">
        <w:t>6.</w:t>
      </w:r>
      <w:r w:rsidRPr="005F7EFA">
        <w:tab/>
      </w:r>
      <w:r w:rsidR="00AA4211" w:rsidRPr="00DD1DFA">
        <w:rPr>
          <w:noProof/>
        </w:rPr>
        <w:t>Udostępniając wyrób na rynku</w:t>
      </w:r>
      <w:r w:rsidR="00DD1DFA" w:rsidRPr="00DD1DFA">
        <w:rPr>
          <w:noProof/>
        </w:rPr>
        <w:t xml:space="preserve"> w</w:t>
      </w:r>
      <w:r w:rsidR="00DD1DFA">
        <w:rPr>
          <w:noProof/>
        </w:rPr>
        <w:t> </w:t>
      </w:r>
      <w:r w:rsidR="00DD1DFA" w:rsidRPr="00DD1DFA">
        <w:rPr>
          <w:noProof/>
        </w:rPr>
        <w:t>okr</w:t>
      </w:r>
      <w:r w:rsidR="00AA4211" w:rsidRPr="00DD1DFA">
        <w:rPr>
          <w:noProof/>
        </w:rPr>
        <w:t>eślonym państwie członkowskim, producent zapewnia, aby wyrobowi towarzyszyły informacje,</w:t>
      </w:r>
      <w:r w:rsidR="00DD1DFA" w:rsidRPr="00DD1DFA">
        <w:rPr>
          <w:noProof/>
        </w:rPr>
        <w:t xml:space="preserve"> o</w:t>
      </w:r>
      <w:r w:rsidR="00DD1DFA">
        <w:rPr>
          <w:noProof/>
        </w:rPr>
        <w:t> </w:t>
      </w:r>
      <w:r w:rsidR="00DD1DFA" w:rsidRPr="00DD1DFA">
        <w:rPr>
          <w:noProof/>
        </w:rPr>
        <w:t>któ</w:t>
      </w:r>
      <w:r w:rsidR="00AA4211" w:rsidRPr="00DD1DFA">
        <w:rPr>
          <w:noProof/>
        </w:rPr>
        <w:t>rych mowa</w:t>
      </w:r>
      <w:r w:rsidR="00DD1DFA" w:rsidRPr="00DD1DFA">
        <w:rPr>
          <w:noProof/>
        </w:rPr>
        <w:t xml:space="preserve"> w</w:t>
      </w:r>
      <w:r w:rsidR="00DD1DFA">
        <w:rPr>
          <w:noProof/>
        </w:rPr>
        <w:t> </w:t>
      </w:r>
      <w:r w:rsidR="00DD1DFA" w:rsidRPr="00DD1DFA">
        <w:rPr>
          <w:noProof/>
        </w:rPr>
        <w:t>zha</w:t>
      </w:r>
      <w:r w:rsidR="00AA4211" w:rsidRPr="00DD1DFA">
        <w:rPr>
          <w:noProof/>
        </w:rPr>
        <w:t>rmonizowanych specyfikacjach technicznych</w:t>
      </w:r>
      <w:r w:rsidR="00DD1DFA" w:rsidRPr="00DD1DFA">
        <w:rPr>
          <w:noProof/>
        </w:rPr>
        <w:t xml:space="preserve"> i</w:t>
      </w:r>
      <w:r w:rsidR="00DD1DFA">
        <w:rPr>
          <w:noProof/>
        </w:rPr>
        <w:t> </w:t>
      </w:r>
      <w:r w:rsidR="00DD1DFA" w:rsidRPr="00DD1DFA">
        <w:rPr>
          <w:noProof/>
        </w:rPr>
        <w:t>zał</w:t>
      </w:r>
      <w:r w:rsidR="00AA4211" w:rsidRPr="00DD1DFA">
        <w:rPr>
          <w:noProof/>
        </w:rPr>
        <w:t>ączniku I część D,</w:t>
      </w:r>
      <w:r w:rsidR="00DD1DFA" w:rsidRPr="00DD1DFA">
        <w:rPr>
          <w:noProof/>
        </w:rPr>
        <w:t xml:space="preserve"> w</w:t>
      </w:r>
      <w:r w:rsidR="00DD1DFA">
        <w:rPr>
          <w:noProof/>
        </w:rPr>
        <w:t> </w:t>
      </w:r>
      <w:r w:rsidR="00DD1DFA" w:rsidRPr="00DD1DFA">
        <w:rPr>
          <w:noProof/>
        </w:rPr>
        <w:t>jęz</w:t>
      </w:r>
      <w:r w:rsidR="00AA4211" w:rsidRPr="00DD1DFA">
        <w:rPr>
          <w:noProof/>
        </w:rPr>
        <w:t>yku określonym przez dane państwo członkowskie lub –</w:t>
      </w:r>
      <w:r w:rsidR="00DD1DFA" w:rsidRPr="00DD1DFA">
        <w:rPr>
          <w:noProof/>
        </w:rPr>
        <w:t xml:space="preserve"> w</w:t>
      </w:r>
      <w:r w:rsidR="00DD1DFA">
        <w:rPr>
          <w:noProof/>
        </w:rPr>
        <w:t> </w:t>
      </w:r>
      <w:r w:rsidR="00DD1DFA" w:rsidRPr="00DD1DFA">
        <w:rPr>
          <w:noProof/>
        </w:rPr>
        <w:t>prz</w:t>
      </w:r>
      <w:r w:rsidR="00AA4211" w:rsidRPr="00DD1DFA">
        <w:rPr>
          <w:noProof/>
        </w:rPr>
        <w:t>ypadku braku takich ustaleń –</w:t>
      </w:r>
      <w:r w:rsidR="00DD1DFA" w:rsidRPr="00DD1DFA">
        <w:rPr>
          <w:noProof/>
        </w:rPr>
        <w:t xml:space="preserve"> w</w:t>
      </w:r>
      <w:r w:rsidR="00DD1DFA">
        <w:rPr>
          <w:noProof/>
        </w:rPr>
        <w:t> </w:t>
      </w:r>
      <w:r w:rsidR="00DD1DFA" w:rsidRPr="00DD1DFA">
        <w:rPr>
          <w:noProof/>
        </w:rPr>
        <w:t>jęz</w:t>
      </w:r>
      <w:r w:rsidR="00AA4211" w:rsidRPr="00DD1DFA">
        <w:rPr>
          <w:noProof/>
        </w:rPr>
        <w:t>yku łatwo zrozumiałym dla użytkowników.</w:t>
      </w:r>
    </w:p>
    <w:p w14:paraId="6CC32150" w14:textId="7DFF0B48" w:rsidR="00AA4211" w:rsidRPr="00DD1DFA" w:rsidRDefault="00AA4211" w:rsidP="00AA4211">
      <w:pPr>
        <w:pStyle w:val="Text1"/>
        <w:rPr>
          <w:rFonts w:eastAsia="Calibri"/>
          <w:noProof/>
          <w:color w:val="00000A"/>
        </w:rPr>
      </w:pPr>
      <w:r w:rsidRPr="00DD1DFA">
        <w:rPr>
          <w:noProof/>
          <w:color w:val="000000"/>
        </w:rPr>
        <w:t>Komisja może</w:t>
      </w:r>
      <w:r w:rsidR="00DD1DFA" w:rsidRPr="00DD1DFA">
        <w:rPr>
          <w:noProof/>
          <w:color w:val="000000"/>
        </w:rPr>
        <w:t xml:space="preserve"> w</w:t>
      </w:r>
      <w:r w:rsidR="00DD1DFA">
        <w:rPr>
          <w:noProof/>
          <w:color w:val="000000"/>
        </w:rPr>
        <w:t> </w:t>
      </w:r>
      <w:r w:rsidR="00DD1DFA" w:rsidRPr="00DD1DFA">
        <w:rPr>
          <w:noProof/>
          <w:color w:val="000000"/>
        </w:rPr>
        <w:t>dro</w:t>
      </w:r>
      <w:r w:rsidRPr="00DD1DFA">
        <w:rPr>
          <w:noProof/>
          <w:color w:val="000000"/>
        </w:rPr>
        <w:t>dze aktów wykonawczych określić format</w:t>
      </w:r>
      <w:r w:rsidR="00DD1DFA" w:rsidRPr="00DD1DFA">
        <w:rPr>
          <w:noProof/>
          <w:color w:val="000000"/>
        </w:rPr>
        <w:t xml:space="preserve"> i</w:t>
      </w:r>
      <w:r w:rsidR="00DD1DFA">
        <w:rPr>
          <w:noProof/>
          <w:color w:val="000000"/>
        </w:rPr>
        <w:t> </w:t>
      </w:r>
      <w:r w:rsidR="00DD1DFA" w:rsidRPr="00DD1DFA">
        <w:rPr>
          <w:noProof/>
          <w:color w:val="000000"/>
        </w:rPr>
        <w:t>spo</w:t>
      </w:r>
      <w:r w:rsidRPr="00DD1DFA">
        <w:rPr>
          <w:noProof/>
          <w:color w:val="000000"/>
        </w:rPr>
        <w:t>sób przekazywania informacji, które ma dostarczać producent zgodnie</w:t>
      </w:r>
      <w:r w:rsidR="00DD1DFA" w:rsidRPr="00DD1DFA">
        <w:rPr>
          <w:noProof/>
          <w:color w:val="000000"/>
        </w:rPr>
        <w:t xml:space="preserve"> z</w:t>
      </w:r>
      <w:r w:rsidR="00DD1DFA">
        <w:rPr>
          <w:noProof/>
          <w:color w:val="000000"/>
        </w:rPr>
        <w:t> </w:t>
      </w:r>
      <w:r w:rsidR="00DD1DFA" w:rsidRPr="00DD1DFA">
        <w:rPr>
          <w:noProof/>
          <w:color w:val="000000"/>
        </w:rPr>
        <w:t>aka</w:t>
      </w:r>
      <w:r w:rsidRPr="00DD1DFA">
        <w:rPr>
          <w:noProof/>
          <w:color w:val="000000"/>
        </w:rPr>
        <w:t>pitem pierwszym.</w:t>
      </w:r>
    </w:p>
    <w:p w14:paraId="14E1E73C" w14:textId="70E05459" w:rsidR="00AA4211" w:rsidRPr="00DD1DFA" w:rsidRDefault="00AA4211" w:rsidP="00AA4211">
      <w:pPr>
        <w:pStyle w:val="Text1"/>
        <w:rPr>
          <w:noProof/>
          <w:color w:val="000000"/>
        </w:rPr>
      </w:pPr>
      <w:r w:rsidRPr="00DD1DFA">
        <w:rPr>
          <w:noProof/>
          <w:color w:val="000000"/>
        </w:rPr>
        <w:t>Te akty wykonawcze przyjmuje się zgodnie</w:t>
      </w:r>
      <w:r w:rsidR="00DD1DFA" w:rsidRPr="00DD1DFA">
        <w:rPr>
          <w:noProof/>
          <w:color w:val="000000"/>
        </w:rPr>
        <w:t xml:space="preserve"> z</w:t>
      </w:r>
      <w:r w:rsidR="00DD1DFA">
        <w:rPr>
          <w:noProof/>
          <w:color w:val="000000"/>
        </w:rPr>
        <w:t> </w:t>
      </w:r>
      <w:r w:rsidR="00DD1DFA" w:rsidRPr="00DD1DFA">
        <w:rPr>
          <w:noProof/>
          <w:color w:val="000000"/>
        </w:rPr>
        <w:t>pro</w:t>
      </w:r>
      <w:r w:rsidRPr="00DD1DFA">
        <w:rPr>
          <w:noProof/>
          <w:color w:val="000000"/>
        </w:rPr>
        <w:t>cedurą sprawdzającą,</w:t>
      </w:r>
      <w:r w:rsidR="00DD1DFA" w:rsidRPr="00DD1DFA">
        <w:rPr>
          <w:noProof/>
          <w:color w:val="000000"/>
        </w:rPr>
        <w:t xml:space="preserve"> o</w:t>
      </w:r>
      <w:r w:rsidR="00DD1DFA">
        <w:rPr>
          <w:noProof/>
          <w:color w:val="000000"/>
        </w:rPr>
        <w:t> </w:t>
      </w:r>
      <w:r w:rsidR="00DD1DFA" w:rsidRPr="00DD1DFA">
        <w:rPr>
          <w:noProof/>
          <w:color w:val="000000"/>
        </w:rPr>
        <w:t>któ</w:t>
      </w:r>
      <w:r w:rsidRPr="00DD1DFA">
        <w:rPr>
          <w:noProof/>
          <w:color w:val="000000"/>
        </w:rPr>
        <w:t>rej mowa</w:t>
      </w:r>
      <w:r w:rsidR="00DD1DFA" w:rsidRPr="00DD1DFA">
        <w:rPr>
          <w:noProof/>
          <w:color w:val="000000"/>
        </w:rPr>
        <w:t xml:space="preserve"> w</w:t>
      </w:r>
      <w:r w:rsidR="00DD1DFA">
        <w:rPr>
          <w:noProof/>
          <w:color w:val="000000"/>
        </w:rPr>
        <w:t> </w:t>
      </w:r>
      <w:r w:rsidR="00DD1DFA" w:rsidRPr="00DD1DFA">
        <w:rPr>
          <w:noProof/>
          <w:color w:val="000000"/>
        </w:rPr>
        <w:t>art</w:t>
      </w:r>
      <w:r w:rsidRPr="00DD1DFA">
        <w:rPr>
          <w:noProof/>
          <w:color w:val="000000"/>
        </w:rPr>
        <w:t>.</w:t>
      </w:r>
      <w:r w:rsidR="00DD1DFA" w:rsidRPr="00DD1DFA">
        <w:rPr>
          <w:noProof/>
          <w:color w:val="000000"/>
        </w:rPr>
        <w:t> </w:t>
      </w:r>
      <w:r w:rsidRPr="00DD1DFA">
        <w:rPr>
          <w:noProof/>
          <w:color w:val="000000"/>
        </w:rPr>
        <w:t>88 ust.</w:t>
      </w:r>
      <w:r w:rsidR="00DD1DFA" w:rsidRPr="00DD1DFA">
        <w:rPr>
          <w:noProof/>
          <w:color w:val="000000"/>
        </w:rPr>
        <w:t> </w:t>
      </w:r>
      <w:r w:rsidRPr="00DD1DFA">
        <w:rPr>
          <w:noProof/>
          <w:color w:val="000000"/>
        </w:rPr>
        <w:t>2.</w:t>
      </w:r>
    </w:p>
    <w:p w14:paraId="3970B54D" w14:textId="69B4B4F9" w:rsidR="00AA4211" w:rsidRPr="00DD1DFA" w:rsidRDefault="005F7EFA" w:rsidP="005F7EFA">
      <w:pPr>
        <w:pStyle w:val="ManualNumPar1"/>
        <w:rPr>
          <w:rFonts w:eastAsia="Calibri"/>
          <w:noProof/>
          <w:color w:val="00000A"/>
        </w:rPr>
      </w:pPr>
      <w:r w:rsidRPr="005F7EFA">
        <w:t>7.</w:t>
      </w:r>
      <w:r w:rsidRPr="005F7EFA">
        <w:tab/>
      </w:r>
      <w:r w:rsidR="00AA4211" w:rsidRPr="00DD1DFA">
        <w:rPr>
          <w:noProof/>
        </w:rPr>
        <w:t>Producent wprowadza dane zawarte</w:t>
      </w:r>
      <w:r w:rsidR="00DD1DFA" w:rsidRPr="00DD1DFA">
        <w:rPr>
          <w:noProof/>
        </w:rPr>
        <w:t xml:space="preserve"> w</w:t>
      </w:r>
      <w:r w:rsidR="00DD1DFA">
        <w:rPr>
          <w:noProof/>
        </w:rPr>
        <w:t> </w:t>
      </w:r>
      <w:r w:rsidR="00DD1DFA" w:rsidRPr="00DD1DFA">
        <w:rPr>
          <w:noProof/>
        </w:rPr>
        <w:t>dek</w:t>
      </w:r>
      <w:r w:rsidR="00AA4211" w:rsidRPr="00DD1DFA">
        <w:rPr>
          <w:noProof/>
        </w:rPr>
        <w:t>laracji właściwości użytkowych, deklaracji zgodności, informacje,</w:t>
      </w:r>
      <w:r w:rsidR="00DD1DFA" w:rsidRPr="00DD1DFA">
        <w:rPr>
          <w:noProof/>
        </w:rPr>
        <w:t xml:space="preserve"> o</w:t>
      </w:r>
      <w:r w:rsidR="00DD1DFA">
        <w:rPr>
          <w:noProof/>
        </w:rPr>
        <w:t> </w:t>
      </w:r>
      <w:r w:rsidR="00DD1DFA" w:rsidRPr="00DD1DFA">
        <w:rPr>
          <w:noProof/>
        </w:rPr>
        <w:t>któ</w:t>
      </w:r>
      <w:r w:rsidR="00AA4211" w:rsidRPr="00DD1DFA">
        <w:rPr>
          <w:noProof/>
        </w:rPr>
        <w:t>rych mowa</w:t>
      </w:r>
      <w:r w:rsidR="00DD1DFA" w:rsidRPr="00DD1DFA">
        <w:rPr>
          <w:noProof/>
        </w:rPr>
        <w:t xml:space="preserve"> w</w:t>
      </w:r>
      <w:r w:rsidR="00DD1DFA">
        <w:rPr>
          <w:noProof/>
        </w:rPr>
        <w:t> </w:t>
      </w:r>
      <w:r w:rsidR="00DD1DFA" w:rsidRPr="00DD1DFA">
        <w:rPr>
          <w:noProof/>
        </w:rPr>
        <w:t>ust</w:t>
      </w:r>
      <w:r w:rsidR="00AA4211" w:rsidRPr="00DD1DFA">
        <w:rPr>
          <w:noProof/>
        </w:rPr>
        <w:t>.</w:t>
      </w:r>
      <w:r w:rsidR="00DD1DFA" w:rsidRPr="00DD1DFA">
        <w:rPr>
          <w:noProof/>
        </w:rPr>
        <w:t> </w:t>
      </w:r>
      <w:r w:rsidR="00AA4211" w:rsidRPr="00DD1DFA">
        <w:rPr>
          <w:noProof/>
        </w:rPr>
        <w:t>6, oraz dokumentację techniczną do unijnej bazy danych</w:t>
      </w:r>
      <w:r w:rsidR="00DD1DFA" w:rsidRPr="00DD1DFA">
        <w:rPr>
          <w:noProof/>
        </w:rPr>
        <w:t xml:space="preserve"> o</w:t>
      </w:r>
      <w:r w:rsidR="00DD1DFA">
        <w:rPr>
          <w:noProof/>
        </w:rPr>
        <w:t> </w:t>
      </w:r>
      <w:r w:rsidR="00DD1DFA" w:rsidRPr="00DD1DFA">
        <w:rPr>
          <w:noProof/>
        </w:rPr>
        <w:t>wyr</w:t>
      </w:r>
      <w:r w:rsidR="00AA4211" w:rsidRPr="00DD1DFA">
        <w:rPr>
          <w:noProof/>
        </w:rPr>
        <w:t>obach lub systemu ustanowionego zgodnie</w:t>
      </w:r>
      <w:r w:rsidR="00DD1DFA" w:rsidRPr="00DD1DFA">
        <w:rPr>
          <w:noProof/>
        </w:rPr>
        <w:t xml:space="preserve"> z</w:t>
      </w:r>
      <w:r w:rsidR="00DD1DFA">
        <w:rPr>
          <w:noProof/>
        </w:rPr>
        <w:t> </w:t>
      </w:r>
      <w:r w:rsidR="00DD1DFA" w:rsidRPr="00DD1DFA">
        <w:rPr>
          <w:noProof/>
        </w:rPr>
        <w:t>art</w:t>
      </w:r>
      <w:r w:rsidR="00AA4211" w:rsidRPr="00DD1DFA">
        <w:rPr>
          <w:noProof/>
        </w:rPr>
        <w:t>.</w:t>
      </w:r>
      <w:r w:rsidR="00DD1DFA" w:rsidRPr="00DD1DFA">
        <w:rPr>
          <w:noProof/>
        </w:rPr>
        <w:t> </w:t>
      </w:r>
      <w:r w:rsidR="00AA4211" w:rsidRPr="00DD1DFA">
        <w:rPr>
          <w:noProof/>
        </w:rPr>
        <w:t>78.</w:t>
      </w:r>
    </w:p>
    <w:p w14:paraId="33E80FE8" w14:textId="39CF8882" w:rsidR="00AA4211" w:rsidRPr="00DD1DFA" w:rsidRDefault="005F7EFA" w:rsidP="005F7EFA">
      <w:pPr>
        <w:pStyle w:val="ManualNumPar1"/>
        <w:rPr>
          <w:noProof/>
        </w:rPr>
      </w:pPr>
      <w:r w:rsidRPr="005F7EFA">
        <w:t>8.</w:t>
      </w:r>
      <w:r w:rsidRPr="005F7EFA">
        <w:tab/>
      </w:r>
      <w:r w:rsidR="00AA4211" w:rsidRPr="00DD1DFA">
        <w:rPr>
          <w:noProof/>
        </w:rPr>
        <w:t>Producent, który ma powody, by uważać, że wprowadzony przez niego do obrotu wyrób nie jest zgodny</w:t>
      </w:r>
      <w:r w:rsidR="00DD1DFA" w:rsidRPr="00DD1DFA">
        <w:rPr>
          <w:noProof/>
        </w:rPr>
        <w:t xml:space="preserve"> z</w:t>
      </w:r>
      <w:r w:rsidR="00DD1DFA">
        <w:rPr>
          <w:noProof/>
        </w:rPr>
        <w:t> </w:t>
      </w:r>
      <w:r w:rsidR="00DD1DFA" w:rsidRPr="00DD1DFA">
        <w:rPr>
          <w:noProof/>
        </w:rPr>
        <w:t>wym</w:t>
      </w:r>
      <w:r w:rsidR="00AA4211" w:rsidRPr="00DD1DFA">
        <w:rPr>
          <w:noProof/>
        </w:rPr>
        <w:t>ogami niniejszego rozporządzenia lub wymogami przyjętymi na podstawie niniejszego rozporządzenia, niezwłocznie wdraża konieczne środki naprawcze</w:t>
      </w:r>
      <w:r w:rsidR="00DD1DFA" w:rsidRPr="00DD1DFA">
        <w:rPr>
          <w:noProof/>
        </w:rPr>
        <w:t xml:space="preserve"> w</w:t>
      </w:r>
      <w:r w:rsidR="00DD1DFA">
        <w:rPr>
          <w:noProof/>
        </w:rPr>
        <w:t> </w:t>
      </w:r>
      <w:r w:rsidR="00DD1DFA" w:rsidRPr="00DD1DFA">
        <w:rPr>
          <w:noProof/>
        </w:rPr>
        <w:t>cel</w:t>
      </w:r>
      <w:r w:rsidR="00AA4211" w:rsidRPr="00DD1DFA">
        <w:rPr>
          <w:noProof/>
        </w:rPr>
        <w:t>u zapewnienia zgodności wyrobu lub,</w:t>
      </w:r>
      <w:r w:rsidR="00DD1DFA" w:rsidRPr="00DD1DFA">
        <w:rPr>
          <w:noProof/>
        </w:rPr>
        <w:t xml:space="preserve"> w</w:t>
      </w:r>
      <w:r w:rsidR="00DD1DFA">
        <w:rPr>
          <w:noProof/>
        </w:rPr>
        <w:t> </w:t>
      </w:r>
      <w:r w:rsidR="00DD1DFA" w:rsidRPr="00DD1DFA">
        <w:rPr>
          <w:noProof/>
        </w:rPr>
        <w:t>sto</w:t>
      </w:r>
      <w:r w:rsidR="00AA4211" w:rsidRPr="00DD1DFA">
        <w:rPr>
          <w:noProof/>
        </w:rPr>
        <w:t>sownych przypadkach, jego wycofania</w:t>
      </w:r>
      <w:r w:rsidR="00DD1DFA" w:rsidRPr="00DD1DFA">
        <w:rPr>
          <w:noProof/>
        </w:rPr>
        <w:t xml:space="preserve"> z</w:t>
      </w:r>
      <w:r w:rsidR="00DD1DFA">
        <w:rPr>
          <w:noProof/>
        </w:rPr>
        <w:t> </w:t>
      </w:r>
      <w:r w:rsidR="00DD1DFA" w:rsidRPr="00DD1DFA">
        <w:rPr>
          <w:noProof/>
        </w:rPr>
        <w:t>obr</w:t>
      </w:r>
      <w:r w:rsidR="00AA4211" w:rsidRPr="00DD1DFA">
        <w:rPr>
          <w:noProof/>
        </w:rPr>
        <w:t>otu lub odzyskania go. Jeżeli problem jest związany</w:t>
      </w:r>
      <w:r w:rsidR="00DD1DFA" w:rsidRPr="00DD1DFA">
        <w:rPr>
          <w:noProof/>
        </w:rPr>
        <w:t xml:space="preserve"> z</w:t>
      </w:r>
      <w:r w:rsidR="00DD1DFA">
        <w:rPr>
          <w:noProof/>
        </w:rPr>
        <w:t> </w:t>
      </w:r>
      <w:r w:rsidR="00DD1DFA" w:rsidRPr="00DD1DFA">
        <w:rPr>
          <w:noProof/>
        </w:rPr>
        <w:t>dos</w:t>
      </w:r>
      <w:r w:rsidR="00AA4211" w:rsidRPr="00DD1DFA">
        <w:rPr>
          <w:noProof/>
        </w:rPr>
        <w:t>tarczoną częścią składową lub usługą świadczoną</w:t>
      </w:r>
      <w:r w:rsidR="00DD1DFA" w:rsidRPr="00DD1DFA">
        <w:rPr>
          <w:noProof/>
        </w:rPr>
        <w:t xml:space="preserve"> z</w:t>
      </w:r>
      <w:r w:rsidR="00DD1DFA">
        <w:rPr>
          <w:noProof/>
        </w:rPr>
        <w:t> </w:t>
      </w:r>
      <w:r w:rsidR="00DD1DFA" w:rsidRPr="00DD1DFA">
        <w:rPr>
          <w:noProof/>
        </w:rPr>
        <w:t>zew</w:t>
      </w:r>
      <w:r w:rsidR="00AA4211" w:rsidRPr="00DD1DFA">
        <w:rPr>
          <w:noProof/>
        </w:rPr>
        <w:t>nątrz, producent informuje</w:t>
      </w:r>
      <w:r w:rsidR="00DD1DFA" w:rsidRPr="00DD1DFA">
        <w:rPr>
          <w:noProof/>
        </w:rPr>
        <w:t xml:space="preserve"> o</w:t>
      </w:r>
      <w:r w:rsidR="00DD1DFA">
        <w:rPr>
          <w:noProof/>
        </w:rPr>
        <w:t> </w:t>
      </w:r>
      <w:r w:rsidR="00DD1DFA" w:rsidRPr="00DD1DFA">
        <w:rPr>
          <w:noProof/>
        </w:rPr>
        <w:t>tym</w:t>
      </w:r>
      <w:r w:rsidR="00AA4211" w:rsidRPr="00DD1DFA">
        <w:rPr>
          <w:noProof/>
        </w:rPr>
        <w:t xml:space="preserve"> dostawcę lub usługodawcę oraz właściwy organ krajowy producenta; ten ostatni przekazuje odpowiednie informacje właściwemu organowi krajowemu odpowiedzialnemu za dostawcę lub usługodawcę</w:t>
      </w:r>
      <w:r w:rsidR="00DD1DFA" w:rsidRPr="00DD1DFA">
        <w:rPr>
          <w:noProof/>
        </w:rPr>
        <w:t xml:space="preserve"> i</w:t>
      </w:r>
      <w:r w:rsidR="00DD1DFA">
        <w:rPr>
          <w:noProof/>
        </w:rPr>
        <w:t> </w:t>
      </w:r>
      <w:r w:rsidR="00DD1DFA" w:rsidRPr="00DD1DFA">
        <w:rPr>
          <w:noProof/>
        </w:rPr>
        <w:t>pro</w:t>
      </w:r>
      <w:r w:rsidR="00AA4211" w:rsidRPr="00DD1DFA">
        <w:rPr>
          <w:noProof/>
        </w:rPr>
        <w:t>ponuje odpowiednie środki.</w:t>
      </w:r>
    </w:p>
    <w:p w14:paraId="68B71550" w14:textId="7665C8A6" w:rsidR="00AA4211" w:rsidRPr="00DD1DFA" w:rsidRDefault="005F7EFA" w:rsidP="005F7EFA">
      <w:pPr>
        <w:pStyle w:val="ManualNumPar1"/>
        <w:rPr>
          <w:noProof/>
        </w:rPr>
      </w:pPr>
      <w:r w:rsidRPr="005F7EFA">
        <w:t>9.</w:t>
      </w:r>
      <w:r w:rsidRPr="005F7EFA">
        <w:tab/>
      </w:r>
      <w:r w:rsidR="00AA4211" w:rsidRPr="00DD1DFA">
        <w:rPr>
          <w:noProof/>
        </w:rPr>
        <w:t>Jeżeli wyrób stwarza zagrożenie lub może stwarzać zagrożenie, producent</w:t>
      </w:r>
      <w:r w:rsidR="00DD1DFA" w:rsidRPr="00DD1DFA">
        <w:rPr>
          <w:noProof/>
        </w:rPr>
        <w:t xml:space="preserve"> w</w:t>
      </w:r>
      <w:r w:rsidR="00DD1DFA">
        <w:rPr>
          <w:noProof/>
        </w:rPr>
        <w:t> </w:t>
      </w:r>
      <w:r w:rsidR="00DD1DFA" w:rsidRPr="00DD1DFA">
        <w:rPr>
          <w:noProof/>
        </w:rPr>
        <w:t>ter</w:t>
      </w:r>
      <w:r w:rsidR="00AA4211" w:rsidRPr="00DD1DFA">
        <w:rPr>
          <w:noProof/>
        </w:rPr>
        <w:t>minie dwóch dni roboczych informuje</w:t>
      </w:r>
      <w:r w:rsidR="00DD1DFA" w:rsidRPr="00DD1DFA">
        <w:rPr>
          <w:noProof/>
        </w:rPr>
        <w:t xml:space="preserve"> o</w:t>
      </w:r>
      <w:r w:rsidR="00DD1DFA">
        <w:rPr>
          <w:noProof/>
        </w:rPr>
        <w:t> </w:t>
      </w:r>
      <w:r w:rsidR="00DD1DFA" w:rsidRPr="00DD1DFA">
        <w:rPr>
          <w:noProof/>
        </w:rPr>
        <w:t>tym</w:t>
      </w:r>
      <w:r w:rsidR="00AA4211" w:rsidRPr="00DD1DFA">
        <w:rPr>
          <w:noProof/>
        </w:rPr>
        <w:t xml:space="preserve"> upoważnionego przedstawiciela, importerów, dystrybutorów, dostawców usług realizacji zamówień oraz internetowe platformy handlowe zaangażowane</w:t>
      </w:r>
      <w:r w:rsidR="00DD1DFA" w:rsidRPr="00DD1DFA">
        <w:rPr>
          <w:noProof/>
        </w:rPr>
        <w:t xml:space="preserve"> w</w:t>
      </w:r>
      <w:r w:rsidR="00DD1DFA">
        <w:rPr>
          <w:noProof/>
        </w:rPr>
        <w:t> </w:t>
      </w:r>
      <w:r w:rsidR="00DD1DFA" w:rsidRPr="00DD1DFA">
        <w:rPr>
          <w:noProof/>
        </w:rPr>
        <w:t>dys</w:t>
      </w:r>
      <w:r w:rsidR="00AA4211" w:rsidRPr="00DD1DFA">
        <w:rPr>
          <w:noProof/>
        </w:rPr>
        <w:t>trybucję,</w:t>
      </w:r>
      <w:r w:rsidR="00DD1DFA" w:rsidRPr="00DD1DFA">
        <w:rPr>
          <w:noProof/>
        </w:rPr>
        <w:t xml:space="preserve"> a</w:t>
      </w:r>
      <w:r w:rsidR="00DD1DFA">
        <w:rPr>
          <w:noProof/>
        </w:rPr>
        <w:t> </w:t>
      </w:r>
      <w:r w:rsidR="00DD1DFA" w:rsidRPr="00DD1DFA">
        <w:rPr>
          <w:noProof/>
        </w:rPr>
        <w:t>tak</w:t>
      </w:r>
      <w:r w:rsidR="00AA4211" w:rsidRPr="00DD1DFA">
        <w:rPr>
          <w:noProof/>
        </w:rPr>
        <w:t>że właściwe organy krajowe państw członkowskich,</w:t>
      </w:r>
      <w:r w:rsidR="00DD1DFA" w:rsidRPr="00DD1DFA">
        <w:rPr>
          <w:noProof/>
        </w:rPr>
        <w:t xml:space="preserve"> w</w:t>
      </w:r>
      <w:r w:rsidR="00DD1DFA">
        <w:rPr>
          <w:noProof/>
        </w:rPr>
        <w:t> </w:t>
      </w:r>
      <w:r w:rsidR="00DD1DFA" w:rsidRPr="00DD1DFA">
        <w:rPr>
          <w:noProof/>
        </w:rPr>
        <w:t>któ</w:t>
      </w:r>
      <w:r w:rsidR="00AA4211" w:rsidRPr="00DD1DFA">
        <w:rPr>
          <w:noProof/>
        </w:rPr>
        <w:t>rych producent lub inne podmioty gospodarcze – zgodnie</w:t>
      </w:r>
      <w:r w:rsidR="00DD1DFA" w:rsidRPr="00DD1DFA">
        <w:rPr>
          <w:noProof/>
        </w:rPr>
        <w:t xml:space="preserve"> z</w:t>
      </w:r>
      <w:r w:rsidR="00DD1DFA">
        <w:rPr>
          <w:noProof/>
        </w:rPr>
        <w:t> </w:t>
      </w:r>
      <w:r w:rsidR="00DD1DFA" w:rsidRPr="00DD1DFA">
        <w:rPr>
          <w:noProof/>
        </w:rPr>
        <w:t>jeg</w:t>
      </w:r>
      <w:r w:rsidR="00AA4211" w:rsidRPr="00DD1DFA">
        <w:rPr>
          <w:noProof/>
        </w:rPr>
        <w:t>o wiedzą – udostępniły wyrób</w:t>
      </w:r>
      <w:r w:rsidR="00DD1DFA" w:rsidRPr="00DD1DFA">
        <w:rPr>
          <w:noProof/>
        </w:rPr>
        <w:t>. W</w:t>
      </w:r>
      <w:r w:rsidR="00DD1DFA">
        <w:rPr>
          <w:noProof/>
        </w:rPr>
        <w:t> </w:t>
      </w:r>
      <w:r w:rsidR="00DD1DFA" w:rsidRPr="00DD1DFA">
        <w:rPr>
          <w:noProof/>
        </w:rPr>
        <w:t>tym</w:t>
      </w:r>
      <w:r w:rsidR="00AA4211" w:rsidRPr="00DD1DFA">
        <w:rPr>
          <w:noProof/>
        </w:rPr>
        <w:t xml:space="preserve"> celu producent musi dostarczyć wszelkie przydatne informacje,</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szc</w:t>
      </w:r>
      <w:r w:rsidR="00AA4211" w:rsidRPr="00DD1DFA">
        <w:rPr>
          <w:noProof/>
        </w:rPr>
        <w:t>zególności określić rodzaj niezgodności, częstotliwość występowania zdarzeń lub wypadków oraz wdrożone lub zalecane środki naprawcze</w:t>
      </w:r>
      <w:r w:rsidR="00DD1DFA" w:rsidRPr="00DD1DFA">
        <w:rPr>
          <w:noProof/>
        </w:rPr>
        <w:t>. W</w:t>
      </w:r>
      <w:r w:rsidR="00DD1DFA">
        <w:rPr>
          <w:noProof/>
        </w:rPr>
        <w:t> </w:t>
      </w:r>
      <w:r w:rsidR="00DD1DFA" w:rsidRPr="00DD1DFA">
        <w:rPr>
          <w:noProof/>
        </w:rPr>
        <w:t>prz</w:t>
      </w:r>
      <w:r w:rsidR="00AA4211" w:rsidRPr="00DD1DFA">
        <w:rPr>
          <w:noProof/>
        </w:rPr>
        <w:t>ypadku zagrożeń stwarzanych przez wyroby, które dotarły już do użytkownika ostatecznego lub konsumenta, producent powiadamia również media</w:t>
      </w:r>
      <w:r w:rsidR="00DD1DFA" w:rsidRPr="00DD1DFA">
        <w:rPr>
          <w:noProof/>
        </w:rPr>
        <w:t xml:space="preserve"> i</w:t>
      </w:r>
      <w:r w:rsidR="00DD1DFA">
        <w:rPr>
          <w:noProof/>
        </w:rPr>
        <w:t> </w:t>
      </w:r>
      <w:r w:rsidR="00DD1DFA" w:rsidRPr="00DD1DFA">
        <w:rPr>
          <w:noProof/>
        </w:rPr>
        <w:t>inf</w:t>
      </w:r>
      <w:r w:rsidR="00AA4211" w:rsidRPr="00DD1DFA">
        <w:rPr>
          <w:noProof/>
        </w:rPr>
        <w:t>ormuje je</w:t>
      </w:r>
      <w:r w:rsidR="00DD1DFA" w:rsidRPr="00DD1DFA">
        <w:rPr>
          <w:noProof/>
        </w:rPr>
        <w:t xml:space="preserve"> o</w:t>
      </w:r>
      <w:r w:rsidR="00DD1DFA">
        <w:rPr>
          <w:noProof/>
        </w:rPr>
        <w:t> </w:t>
      </w:r>
      <w:r w:rsidR="00DD1DFA" w:rsidRPr="00DD1DFA">
        <w:rPr>
          <w:noProof/>
        </w:rPr>
        <w:t>odp</w:t>
      </w:r>
      <w:r w:rsidR="00AA4211" w:rsidRPr="00DD1DFA">
        <w:rPr>
          <w:noProof/>
        </w:rPr>
        <w:t>owiednich środkach</w:t>
      </w:r>
      <w:r w:rsidR="00DD1DFA" w:rsidRPr="00DD1DFA">
        <w:rPr>
          <w:noProof/>
        </w:rPr>
        <w:t xml:space="preserve"> w</w:t>
      </w:r>
      <w:r w:rsidR="00DD1DFA">
        <w:rPr>
          <w:noProof/>
        </w:rPr>
        <w:t> </w:t>
      </w:r>
      <w:r w:rsidR="00DD1DFA" w:rsidRPr="00DD1DFA">
        <w:rPr>
          <w:noProof/>
        </w:rPr>
        <w:t>cel</w:t>
      </w:r>
      <w:r w:rsidR="00AA4211" w:rsidRPr="00DD1DFA">
        <w:rPr>
          <w:noProof/>
        </w:rPr>
        <w:t>u wyeliminowania lub – jeżeli nie jest to możliwe – ograniczenia zagrożeń</w:t>
      </w:r>
      <w:r w:rsidR="00DD1DFA" w:rsidRPr="00DD1DFA">
        <w:rPr>
          <w:noProof/>
        </w:rPr>
        <w:t>. W</w:t>
      </w:r>
      <w:r w:rsidR="00DD1DFA">
        <w:rPr>
          <w:noProof/>
        </w:rPr>
        <w:t> </w:t>
      </w:r>
      <w:r w:rsidR="00DD1DFA" w:rsidRPr="00DD1DFA">
        <w:rPr>
          <w:noProof/>
        </w:rPr>
        <w:t>prz</w:t>
      </w:r>
      <w:r w:rsidR="00AA4211" w:rsidRPr="00DD1DFA">
        <w:rPr>
          <w:noProof/>
        </w:rPr>
        <w:t>ypadku „poważnego zagrożenia”</w:t>
      </w:r>
      <w:r w:rsidR="00DD1DFA" w:rsidRPr="00DD1DFA">
        <w:rPr>
          <w:noProof/>
        </w:rPr>
        <w:t xml:space="preserve"> w</w:t>
      </w:r>
      <w:r w:rsidR="00DD1DFA">
        <w:rPr>
          <w:noProof/>
        </w:rPr>
        <w:t> </w:t>
      </w:r>
      <w:r w:rsidR="00DD1DFA" w:rsidRPr="00DD1DFA">
        <w:rPr>
          <w:noProof/>
        </w:rPr>
        <w:t>roz</w:t>
      </w:r>
      <w:r w:rsidR="00AA4211" w:rsidRPr="00DD1DFA">
        <w:rPr>
          <w:noProof/>
        </w:rPr>
        <w:t>umieniu art.</w:t>
      </w:r>
      <w:r w:rsidR="00DD1DFA" w:rsidRPr="00DD1DFA">
        <w:rPr>
          <w:noProof/>
        </w:rPr>
        <w:t> </w:t>
      </w:r>
      <w:r w:rsidR="00AA4211" w:rsidRPr="00DD1DFA">
        <w:rPr>
          <w:noProof/>
        </w:rPr>
        <w:t>3 pkt</w:t>
      </w:r>
      <w:r w:rsidR="00DD1DFA" w:rsidRPr="00DD1DFA">
        <w:rPr>
          <w:noProof/>
        </w:rPr>
        <w:t> </w:t>
      </w:r>
      <w:r w:rsidR="00AA4211" w:rsidRPr="00DD1DFA">
        <w:rPr>
          <w:noProof/>
        </w:rPr>
        <w:t>71 producent na własny koszt wycofuje wyrób</w:t>
      </w:r>
      <w:r w:rsidR="00DD1DFA" w:rsidRPr="00DD1DFA">
        <w:rPr>
          <w:noProof/>
        </w:rPr>
        <w:t xml:space="preserve"> z</w:t>
      </w:r>
      <w:r w:rsidR="00DD1DFA">
        <w:rPr>
          <w:noProof/>
        </w:rPr>
        <w:t> </w:t>
      </w:r>
      <w:r w:rsidR="00DD1DFA" w:rsidRPr="00DD1DFA">
        <w:rPr>
          <w:noProof/>
        </w:rPr>
        <w:t>obr</w:t>
      </w:r>
      <w:r w:rsidR="00AA4211" w:rsidRPr="00DD1DFA">
        <w:rPr>
          <w:noProof/>
        </w:rPr>
        <w:t>otu lub odzyskuje go.</w:t>
      </w:r>
    </w:p>
    <w:p w14:paraId="52B99CB1" w14:textId="7FF1B2D0" w:rsidR="00AA4211" w:rsidRPr="00DD1DFA" w:rsidRDefault="005F7EFA" w:rsidP="005F7EFA">
      <w:pPr>
        <w:pStyle w:val="ManualNumPar1"/>
        <w:rPr>
          <w:noProof/>
        </w:rPr>
      </w:pPr>
      <w:r w:rsidRPr="005F7EFA">
        <w:t>10.</w:t>
      </w:r>
      <w:r w:rsidRPr="005F7EFA">
        <w:tab/>
      </w:r>
      <w:r w:rsidR="00AA4211" w:rsidRPr="00DD1DFA">
        <w:rPr>
          <w:noProof/>
        </w:rPr>
        <w:t>Producent ponosi odpowiedzialność za naruszenie niniejszego artykułu</w:t>
      </w:r>
      <w:r w:rsidR="00DD1DFA" w:rsidRPr="00DD1DFA">
        <w:rPr>
          <w:noProof/>
        </w:rPr>
        <w:t xml:space="preserve"> i</w:t>
      </w:r>
      <w:r w:rsidR="00DD1DFA">
        <w:rPr>
          <w:noProof/>
        </w:rPr>
        <w:t> </w:t>
      </w:r>
      <w:r w:rsidR="00DD1DFA" w:rsidRPr="00DD1DFA">
        <w:rPr>
          <w:noProof/>
        </w:rPr>
        <w:t>art</w:t>
      </w:r>
      <w:r w:rsidR="00AA4211" w:rsidRPr="00DD1DFA">
        <w:rPr>
          <w:noProof/>
        </w:rPr>
        <w:t>.</w:t>
      </w:r>
      <w:r w:rsidR="00DD1DFA" w:rsidRPr="00DD1DFA">
        <w:rPr>
          <w:noProof/>
        </w:rPr>
        <w:t> </w:t>
      </w:r>
      <w:r w:rsidR="00AA4211" w:rsidRPr="00DD1DFA">
        <w:rPr>
          <w:noProof/>
        </w:rPr>
        <w:t>19 zgodnie</w:t>
      </w:r>
      <w:r w:rsidR="00DD1DFA" w:rsidRPr="00DD1DFA">
        <w:rPr>
          <w:noProof/>
        </w:rPr>
        <w:t xml:space="preserve"> z</w:t>
      </w:r>
      <w:r w:rsidR="00DD1DFA">
        <w:rPr>
          <w:noProof/>
        </w:rPr>
        <w:t> </w:t>
      </w:r>
      <w:r w:rsidR="00DD1DFA" w:rsidRPr="00DD1DFA">
        <w:rPr>
          <w:noProof/>
        </w:rPr>
        <w:t>kra</w:t>
      </w:r>
      <w:r w:rsidR="00AA4211" w:rsidRPr="00DD1DFA">
        <w:rPr>
          <w:noProof/>
        </w:rPr>
        <w:t>jowymi przepisami dotyczącymi odpowiedzialności umownej</w:t>
      </w:r>
      <w:r w:rsidR="00DD1DFA" w:rsidRPr="00DD1DFA">
        <w:rPr>
          <w:noProof/>
        </w:rPr>
        <w:t xml:space="preserve"> i</w:t>
      </w:r>
      <w:r w:rsidR="00DD1DFA">
        <w:rPr>
          <w:noProof/>
        </w:rPr>
        <w:t> </w:t>
      </w:r>
      <w:r w:rsidR="00DD1DFA" w:rsidRPr="00DD1DFA">
        <w:rPr>
          <w:noProof/>
        </w:rPr>
        <w:t>poz</w:t>
      </w:r>
      <w:r w:rsidR="00AA4211" w:rsidRPr="00DD1DFA">
        <w:rPr>
          <w:noProof/>
        </w:rPr>
        <w:t>aumownej.</w:t>
      </w:r>
    </w:p>
    <w:p w14:paraId="35BD0B17" w14:textId="77777777" w:rsidR="00041CF6" w:rsidRPr="00DD1DFA" w:rsidRDefault="005979EE" w:rsidP="00041CF6">
      <w:pPr>
        <w:pStyle w:val="Titrearticle"/>
        <w:rPr>
          <w:noProof/>
        </w:rPr>
      </w:pPr>
      <w:r w:rsidRPr="00DD1DFA">
        <w:rPr>
          <w:noProof/>
        </w:rPr>
        <w:t>Artykuł 22</w:t>
      </w:r>
    </w:p>
    <w:p w14:paraId="305F5490" w14:textId="4703197D" w:rsidR="00041CF6" w:rsidRPr="00DD1DFA" w:rsidRDefault="00CA5C81" w:rsidP="00041CF6">
      <w:pPr>
        <w:pStyle w:val="Titrearticle"/>
        <w:rPr>
          <w:b/>
          <w:bCs/>
          <w:noProof/>
        </w:rPr>
      </w:pPr>
      <w:r w:rsidRPr="00DD1DFA">
        <w:rPr>
          <w:b/>
          <w:bCs/>
          <w:noProof/>
        </w:rPr>
        <w:t>Dodatkowe obowiązki producentów</w:t>
      </w:r>
      <w:r w:rsidR="00DD1DFA" w:rsidRPr="00DD1DFA">
        <w:rPr>
          <w:b/>
          <w:bCs/>
          <w:noProof/>
        </w:rPr>
        <w:t xml:space="preserve"> w</w:t>
      </w:r>
      <w:r w:rsidR="00DD1DFA">
        <w:rPr>
          <w:b/>
          <w:bCs/>
          <w:noProof/>
        </w:rPr>
        <w:t> </w:t>
      </w:r>
      <w:r w:rsidR="00DD1DFA" w:rsidRPr="00DD1DFA">
        <w:rPr>
          <w:b/>
          <w:bCs/>
          <w:noProof/>
        </w:rPr>
        <w:t>zak</w:t>
      </w:r>
      <w:r w:rsidRPr="00DD1DFA">
        <w:rPr>
          <w:b/>
          <w:bCs/>
          <w:noProof/>
        </w:rPr>
        <w:t>resie ochrony środowiska naturalnego</w:t>
      </w:r>
    </w:p>
    <w:p w14:paraId="543BDEAB" w14:textId="4F3D5BA5" w:rsidR="00AA4211" w:rsidRPr="00DD1DFA" w:rsidRDefault="005F7EFA" w:rsidP="005F7EFA">
      <w:pPr>
        <w:pStyle w:val="ManualNumPar1"/>
        <w:rPr>
          <w:noProof/>
        </w:rPr>
      </w:pPr>
      <w:r w:rsidRPr="005F7EFA">
        <w:t>1.</w:t>
      </w:r>
      <w:r w:rsidRPr="005F7EFA">
        <w:tab/>
      </w:r>
      <w:r w:rsidR="00AA4211" w:rsidRPr="00DD1DFA">
        <w:rPr>
          <w:noProof/>
        </w:rPr>
        <w:t>W odniesieniu do właściwości produktu określonych</w:t>
      </w:r>
      <w:r w:rsidR="00DD1DFA" w:rsidRPr="00DD1DFA">
        <w:rPr>
          <w:noProof/>
        </w:rPr>
        <w:t xml:space="preserve"> w</w:t>
      </w:r>
      <w:r w:rsidR="00DD1DFA">
        <w:rPr>
          <w:noProof/>
        </w:rPr>
        <w:t> </w:t>
      </w:r>
      <w:r w:rsidR="00DD1DFA" w:rsidRPr="00DD1DFA">
        <w:rPr>
          <w:noProof/>
        </w:rPr>
        <w:t>zał</w:t>
      </w:r>
      <w:r w:rsidR="00AA4211" w:rsidRPr="00DD1DFA">
        <w:rPr>
          <w:noProof/>
        </w:rPr>
        <w:t>ączniku I część A pkt</w:t>
      </w:r>
      <w:r w:rsidR="00DD1DFA" w:rsidRPr="00DD1DFA">
        <w:rPr>
          <w:noProof/>
        </w:rPr>
        <w:t> </w:t>
      </w:r>
      <w:r w:rsidR="00AA4211" w:rsidRPr="00DD1DFA">
        <w:rPr>
          <w:noProof/>
        </w:rPr>
        <w:t xml:space="preserve">2 producent ocenia aspekty środowiskowe wyrobu zgodnie ze zharmonizowanymi specyfikacjami technicznymi lub aktami Komisji przyjętymi na podstawie niniejszego rozporządzenia oraz stosuje najnowszą wersję oprogramowania po jego bezpłatnym udostępnieniu na stronie internetowej Komisji Europejskiej. Nie ma to </w:t>
      </w:r>
      <w:r w:rsidR="00AA4211" w:rsidRPr="00DD1DFA">
        <w:rPr>
          <w:noProof/>
          <w:color w:val="00000A"/>
        </w:rPr>
        <w:t>jednak zastosowania</w:t>
      </w:r>
      <w:r w:rsidR="00DD1DFA" w:rsidRPr="00DD1DFA">
        <w:rPr>
          <w:noProof/>
          <w:color w:val="00000A"/>
        </w:rPr>
        <w:t xml:space="preserve"> w</w:t>
      </w:r>
      <w:r w:rsidR="00DD1DFA">
        <w:rPr>
          <w:noProof/>
          <w:color w:val="00000A"/>
        </w:rPr>
        <w:t> </w:t>
      </w:r>
      <w:r w:rsidR="00DD1DFA" w:rsidRPr="00DD1DFA">
        <w:rPr>
          <w:noProof/>
          <w:color w:val="00000A"/>
        </w:rPr>
        <w:t>odn</w:t>
      </w:r>
      <w:r w:rsidR="00AA4211" w:rsidRPr="00DD1DFA">
        <w:rPr>
          <w:noProof/>
          <w:color w:val="00000A"/>
        </w:rPr>
        <w:t>iesieniu do wyrobów używanych, poddanych regeneracji lub nadwyżek wyrobów, chyba że podmiot gospodarczy, podlegający obowiązkom wynikającym</w:t>
      </w:r>
      <w:r w:rsidR="00DD1DFA" w:rsidRPr="00DD1DFA">
        <w:rPr>
          <w:noProof/>
          <w:color w:val="00000A"/>
        </w:rPr>
        <w:t xml:space="preserve"> z</w:t>
      </w:r>
      <w:r w:rsidR="00DD1DFA">
        <w:rPr>
          <w:noProof/>
          <w:color w:val="00000A"/>
        </w:rPr>
        <w:t> </w:t>
      </w:r>
      <w:r w:rsidR="00DD1DFA" w:rsidRPr="00DD1DFA">
        <w:rPr>
          <w:noProof/>
          <w:color w:val="00000A"/>
        </w:rPr>
        <w:t>nin</w:t>
      </w:r>
      <w:r w:rsidR="00AA4211" w:rsidRPr="00DD1DFA">
        <w:rPr>
          <w:noProof/>
          <w:color w:val="00000A"/>
        </w:rPr>
        <w:t>iejszego artykułu na podstawie art.</w:t>
      </w:r>
      <w:r w:rsidR="00DD1DFA" w:rsidRPr="00DD1DFA">
        <w:rPr>
          <w:noProof/>
          <w:color w:val="00000A"/>
        </w:rPr>
        <w:t> </w:t>
      </w:r>
      <w:r w:rsidR="00AA4211" w:rsidRPr="00DD1DFA">
        <w:rPr>
          <w:noProof/>
          <w:color w:val="00000A"/>
        </w:rPr>
        <w:t>26, zdecyduje się na zastosowanie niniejszego rozporządzenia do nowych wyrobów.</w:t>
      </w:r>
    </w:p>
    <w:p w14:paraId="17DA3578" w14:textId="10740DAD" w:rsidR="00AA4211" w:rsidRPr="00DD1DFA" w:rsidRDefault="005F7EFA" w:rsidP="005F7EFA">
      <w:pPr>
        <w:pStyle w:val="ManualNumPar1"/>
        <w:rPr>
          <w:noProof/>
        </w:rPr>
      </w:pPr>
      <w:r w:rsidRPr="005F7EFA">
        <w:t>2.</w:t>
      </w:r>
      <w:r w:rsidRPr="005F7EFA">
        <w:tab/>
      </w:r>
      <w:r w:rsidR="00AA4211" w:rsidRPr="00DD1DFA">
        <w:rPr>
          <w:noProof/>
        </w:rPr>
        <w:t>O ile nie ma to negatywnego wpływu na bezpieczeństwo wyrobów lub obiektów budowlanych, na producencie spoczywają następujące obowiązki:</w:t>
      </w:r>
    </w:p>
    <w:p w14:paraId="2941ECED" w14:textId="36E8B42F" w:rsidR="00AA4211" w:rsidRPr="00DD1DFA" w:rsidRDefault="003C1B3E" w:rsidP="003C1B3E">
      <w:pPr>
        <w:pStyle w:val="Point1"/>
        <w:rPr>
          <w:noProof/>
          <w:szCs w:val="24"/>
        </w:rPr>
      </w:pPr>
      <w:r>
        <w:rPr>
          <w:noProof/>
        </w:rPr>
        <w:t>a)</w:t>
      </w:r>
      <w:r>
        <w:rPr>
          <w:noProof/>
        </w:rPr>
        <w:tab/>
      </w:r>
      <w:r w:rsidR="00AA4211" w:rsidRPr="00DD1DFA">
        <w:rPr>
          <w:noProof/>
        </w:rPr>
        <w:t>projektowanie oraz wytwarzanie wyrobów</w:t>
      </w:r>
      <w:r w:rsidR="00DD1DFA" w:rsidRPr="00DD1DFA">
        <w:rPr>
          <w:noProof/>
        </w:rPr>
        <w:t xml:space="preserve"> i</w:t>
      </w:r>
      <w:r w:rsidR="00DD1DFA">
        <w:rPr>
          <w:noProof/>
        </w:rPr>
        <w:t> </w:t>
      </w:r>
      <w:r w:rsidR="00DD1DFA" w:rsidRPr="00DD1DFA">
        <w:rPr>
          <w:noProof/>
        </w:rPr>
        <w:t>ich</w:t>
      </w:r>
      <w:r w:rsidR="00AA4211" w:rsidRPr="00DD1DFA">
        <w:rPr>
          <w:noProof/>
        </w:rPr>
        <w:t xml:space="preserve"> opakowań</w:t>
      </w:r>
      <w:r w:rsidR="00DD1DFA" w:rsidRPr="00DD1DFA">
        <w:rPr>
          <w:noProof/>
        </w:rPr>
        <w:t xml:space="preserve"> w</w:t>
      </w:r>
      <w:r w:rsidR="00DD1DFA">
        <w:rPr>
          <w:noProof/>
        </w:rPr>
        <w:t> </w:t>
      </w:r>
      <w:r w:rsidR="00DD1DFA" w:rsidRPr="00DD1DFA">
        <w:rPr>
          <w:noProof/>
        </w:rPr>
        <w:t>tak</w:t>
      </w:r>
      <w:r w:rsidR="00AA4211" w:rsidRPr="00DD1DFA">
        <w:rPr>
          <w:noProof/>
        </w:rPr>
        <w:t>i sposób, aby ich ogólna zrównoważoność środowiskowa,</w:t>
      </w:r>
      <w:r w:rsidR="00DD1DFA" w:rsidRPr="00DD1DFA">
        <w:rPr>
          <w:noProof/>
        </w:rPr>
        <w:t xml:space="preserve"> w</w:t>
      </w:r>
      <w:r w:rsidR="00DD1DFA">
        <w:rPr>
          <w:noProof/>
        </w:rPr>
        <w:t> </w:t>
      </w:r>
      <w:r w:rsidR="00DD1DFA" w:rsidRPr="00DD1DFA">
        <w:rPr>
          <w:noProof/>
        </w:rPr>
        <w:t>tym</w:t>
      </w:r>
      <w:r w:rsidR="00AA4211" w:rsidRPr="00DD1DFA">
        <w:rPr>
          <w:noProof/>
        </w:rPr>
        <w:t xml:space="preserve"> klimatyczna, osiągnęła poziom zgodny ze stanem wiedzy naukowej</w:t>
      </w:r>
      <w:r w:rsidR="00DD1DFA" w:rsidRPr="00DD1DFA">
        <w:rPr>
          <w:noProof/>
        </w:rPr>
        <w:t xml:space="preserve"> i</w:t>
      </w:r>
      <w:r w:rsidR="00DD1DFA">
        <w:rPr>
          <w:noProof/>
        </w:rPr>
        <w:t> </w:t>
      </w:r>
      <w:r w:rsidR="00DD1DFA" w:rsidRPr="00DD1DFA">
        <w:rPr>
          <w:noProof/>
        </w:rPr>
        <w:t>tec</w:t>
      </w:r>
      <w:r w:rsidR="00AA4211" w:rsidRPr="00DD1DFA">
        <w:rPr>
          <w:noProof/>
        </w:rPr>
        <w:t>hnicznej, chyba że niższy poziom:</w:t>
      </w:r>
    </w:p>
    <w:p w14:paraId="612AF9A4" w14:textId="4BA83E8A" w:rsidR="00AA4211" w:rsidRPr="00DD1DFA" w:rsidRDefault="005F7EFA" w:rsidP="005F7EFA">
      <w:pPr>
        <w:pStyle w:val="Point2"/>
        <w:rPr>
          <w:noProof/>
        </w:rPr>
      </w:pPr>
      <w:r w:rsidRPr="005F7EFA">
        <w:t>(i)</w:t>
      </w:r>
      <w:r w:rsidRPr="005F7EFA">
        <w:tab/>
      </w:r>
      <w:r w:rsidR="00AA4211" w:rsidRPr="00DD1DFA">
        <w:rPr>
          <w:noProof/>
        </w:rPr>
        <w:t>jest proporcjonalny</w:t>
      </w:r>
      <w:r w:rsidR="00DD1DFA" w:rsidRPr="00DD1DFA">
        <w:rPr>
          <w:noProof/>
        </w:rPr>
        <w:t xml:space="preserve"> w</w:t>
      </w:r>
      <w:r w:rsidR="00DD1DFA">
        <w:rPr>
          <w:noProof/>
        </w:rPr>
        <w:t> </w:t>
      </w:r>
      <w:r w:rsidR="00DD1DFA" w:rsidRPr="00DD1DFA">
        <w:rPr>
          <w:noProof/>
        </w:rPr>
        <w:t>por</w:t>
      </w:r>
      <w:r w:rsidR="00AA4211" w:rsidRPr="00DD1DFA">
        <w:rPr>
          <w:noProof/>
        </w:rPr>
        <w:t>ównaniu</w:t>
      </w:r>
      <w:r w:rsidR="00DD1DFA" w:rsidRPr="00DD1DFA">
        <w:rPr>
          <w:noProof/>
        </w:rPr>
        <w:t xml:space="preserve"> z</w:t>
      </w:r>
      <w:r w:rsidR="00DD1DFA">
        <w:rPr>
          <w:noProof/>
        </w:rPr>
        <w:t> </w:t>
      </w:r>
      <w:r w:rsidR="00DD1DFA" w:rsidRPr="00DD1DFA">
        <w:rPr>
          <w:noProof/>
        </w:rPr>
        <w:t>pop</w:t>
      </w:r>
      <w:r w:rsidR="00AA4211" w:rsidRPr="00DD1DFA">
        <w:rPr>
          <w:noProof/>
        </w:rPr>
        <w:t>rawą zrównoważenia środowiskowego uzyskaną dzięki nim na poziomie obiektów budowlanych; oraz</w:t>
      </w:r>
    </w:p>
    <w:p w14:paraId="48B7F599" w14:textId="7E02C764" w:rsidR="00AA4211" w:rsidRPr="00DD1DFA" w:rsidRDefault="005F7EFA" w:rsidP="005F7EFA">
      <w:pPr>
        <w:pStyle w:val="Point2"/>
        <w:rPr>
          <w:noProof/>
        </w:rPr>
      </w:pPr>
      <w:r w:rsidRPr="005F7EFA">
        <w:t>(ii)</w:t>
      </w:r>
      <w:r w:rsidRPr="005F7EFA">
        <w:tab/>
      </w:r>
      <w:r w:rsidR="00AA4211" w:rsidRPr="00DD1DFA">
        <w:rPr>
          <w:noProof/>
        </w:rPr>
        <w:t>jest konieczny, aby poprawić zrównoważenie środowiskowe na poziomie obiektów budowlanych</w:t>
      </w:r>
      <w:r w:rsidR="00074392" w:rsidRPr="00DD1DFA">
        <w:rPr>
          <w:noProof/>
        </w:rPr>
        <w:t>;</w:t>
      </w:r>
    </w:p>
    <w:p w14:paraId="5455D36F" w14:textId="58670B1C" w:rsidR="00AA4211" w:rsidRPr="00DD1DFA" w:rsidRDefault="003C1B3E" w:rsidP="003C1B3E">
      <w:pPr>
        <w:pStyle w:val="Point1"/>
        <w:rPr>
          <w:rFonts w:eastAsia="Calibri" w:cs="DejaVu Sans"/>
          <w:noProof/>
        </w:rPr>
      </w:pPr>
      <w:r>
        <w:rPr>
          <w:noProof/>
        </w:rPr>
        <w:t>b)</w:t>
      </w:r>
      <w:r>
        <w:rPr>
          <w:noProof/>
        </w:rPr>
        <w:tab/>
      </w:r>
      <w:r w:rsidR="00AA4211" w:rsidRPr="00DD1DFA">
        <w:rPr>
          <w:noProof/>
        </w:rPr>
        <w:t>preferowanie materiałów nadających się do recyklingu</w:t>
      </w:r>
      <w:r w:rsidR="00DD1DFA" w:rsidRPr="00DD1DFA">
        <w:rPr>
          <w:noProof/>
        </w:rPr>
        <w:t xml:space="preserve"> i</w:t>
      </w:r>
      <w:r w:rsidR="00DD1DFA">
        <w:rPr>
          <w:noProof/>
        </w:rPr>
        <w:t> </w:t>
      </w:r>
      <w:r w:rsidR="00DD1DFA" w:rsidRPr="00DD1DFA">
        <w:rPr>
          <w:noProof/>
        </w:rPr>
        <w:t>mat</w:t>
      </w:r>
      <w:r w:rsidR="00AA4211" w:rsidRPr="00DD1DFA">
        <w:rPr>
          <w:noProof/>
        </w:rPr>
        <w:t>eriałów uzyskanych</w:t>
      </w:r>
      <w:r w:rsidR="00DD1DFA" w:rsidRPr="00DD1DFA">
        <w:rPr>
          <w:noProof/>
        </w:rPr>
        <w:t xml:space="preserve"> w</w:t>
      </w:r>
      <w:r w:rsidR="00DD1DFA">
        <w:rPr>
          <w:noProof/>
        </w:rPr>
        <w:t> </w:t>
      </w:r>
      <w:r w:rsidR="00DD1DFA" w:rsidRPr="00DD1DFA">
        <w:rPr>
          <w:noProof/>
        </w:rPr>
        <w:t>wyn</w:t>
      </w:r>
      <w:r w:rsidR="00AA4211" w:rsidRPr="00DD1DFA">
        <w:rPr>
          <w:noProof/>
        </w:rPr>
        <w:t>iku recyklingu na warunkach określonych</w:t>
      </w:r>
      <w:r w:rsidR="00DD1DFA" w:rsidRPr="00DD1DFA">
        <w:rPr>
          <w:noProof/>
        </w:rPr>
        <w:t xml:space="preserve"> w</w:t>
      </w:r>
      <w:r w:rsidR="00DD1DFA">
        <w:rPr>
          <w:noProof/>
        </w:rPr>
        <w:t> </w:t>
      </w:r>
      <w:r w:rsidR="00DD1DFA" w:rsidRPr="00DD1DFA">
        <w:rPr>
          <w:noProof/>
        </w:rPr>
        <w:t>lit</w:t>
      </w:r>
      <w:r w:rsidR="00AA4211" w:rsidRPr="00DD1DFA">
        <w:rPr>
          <w:noProof/>
        </w:rPr>
        <w:t>.</w:t>
      </w:r>
      <w:r w:rsidR="00DD1DFA" w:rsidRPr="00DD1DFA">
        <w:rPr>
          <w:noProof/>
        </w:rPr>
        <w:t> </w:t>
      </w:r>
      <w:r w:rsidR="00AA4211" w:rsidRPr="00DD1DFA">
        <w:rPr>
          <w:noProof/>
        </w:rPr>
        <w:t>a) pkt (i) oraz (ii);</w:t>
      </w:r>
    </w:p>
    <w:p w14:paraId="7B9D35E4" w14:textId="4C59FE0C" w:rsidR="00AA4211" w:rsidRPr="00DD1DFA" w:rsidRDefault="003C1B3E" w:rsidP="003C1B3E">
      <w:pPr>
        <w:pStyle w:val="Point1"/>
        <w:rPr>
          <w:rFonts w:eastAsia="Calibri" w:cs="DejaVu Sans"/>
          <w:noProof/>
        </w:rPr>
      </w:pPr>
      <w:r>
        <w:rPr>
          <w:noProof/>
        </w:rPr>
        <w:t>c)</w:t>
      </w:r>
      <w:r>
        <w:rPr>
          <w:noProof/>
        </w:rPr>
        <w:tab/>
      </w:r>
      <w:r w:rsidR="00AA4211" w:rsidRPr="00DD1DFA">
        <w:rPr>
          <w:noProof/>
        </w:rPr>
        <w:t>przestrzeganie zobowiązań dotyczących minimalnej zawartości materiałów</w:t>
      </w:r>
      <w:r w:rsidR="00DD1DFA" w:rsidRPr="00DD1DFA">
        <w:rPr>
          <w:noProof/>
        </w:rPr>
        <w:t xml:space="preserve"> z</w:t>
      </w:r>
      <w:r w:rsidR="00DD1DFA">
        <w:rPr>
          <w:noProof/>
        </w:rPr>
        <w:t> </w:t>
      </w:r>
      <w:r w:rsidR="00DD1DFA" w:rsidRPr="00DD1DFA">
        <w:rPr>
          <w:noProof/>
        </w:rPr>
        <w:t>rec</w:t>
      </w:r>
      <w:r w:rsidR="00AA4211" w:rsidRPr="00DD1DFA">
        <w:rPr>
          <w:noProof/>
        </w:rPr>
        <w:t>yklingu oraz innych wartości granicznych dotyczących aspektów zrównoważenia środowiskowego,</w:t>
      </w:r>
      <w:r w:rsidR="00DD1DFA" w:rsidRPr="00DD1DFA">
        <w:rPr>
          <w:noProof/>
        </w:rPr>
        <w:t xml:space="preserve"> w</w:t>
      </w:r>
      <w:r w:rsidR="00DD1DFA">
        <w:rPr>
          <w:noProof/>
        </w:rPr>
        <w:t> </w:t>
      </w:r>
      <w:r w:rsidR="00DD1DFA" w:rsidRPr="00DD1DFA">
        <w:rPr>
          <w:noProof/>
        </w:rPr>
        <w:t>tym</w:t>
      </w:r>
      <w:r w:rsidR="00AA4211" w:rsidRPr="00DD1DFA">
        <w:rPr>
          <w:noProof/>
        </w:rPr>
        <w:t xml:space="preserve"> klimatycznego, zawartych</w:t>
      </w:r>
      <w:r w:rsidR="00DD1DFA" w:rsidRPr="00DD1DFA">
        <w:rPr>
          <w:noProof/>
        </w:rPr>
        <w:t xml:space="preserve"> w</w:t>
      </w:r>
      <w:r w:rsidR="00DD1DFA">
        <w:rPr>
          <w:noProof/>
        </w:rPr>
        <w:t> </w:t>
      </w:r>
      <w:r w:rsidR="00DD1DFA" w:rsidRPr="00DD1DFA">
        <w:rPr>
          <w:noProof/>
        </w:rPr>
        <w:t>zha</w:t>
      </w:r>
      <w:r w:rsidR="00AA4211" w:rsidRPr="00DD1DFA">
        <w:rPr>
          <w:noProof/>
        </w:rPr>
        <w:t>rmonizowanych specyfikacjach technicznych;</w:t>
      </w:r>
    </w:p>
    <w:p w14:paraId="59297399" w14:textId="342996AB" w:rsidR="00AA4211" w:rsidRPr="00DD1DFA" w:rsidRDefault="003C1B3E" w:rsidP="003C1B3E">
      <w:pPr>
        <w:pStyle w:val="Point1"/>
        <w:rPr>
          <w:rFonts w:eastAsia="Calibri" w:cs="DejaVu Sans"/>
          <w:noProof/>
        </w:rPr>
      </w:pPr>
      <w:r>
        <w:rPr>
          <w:noProof/>
        </w:rPr>
        <w:t>d)</w:t>
      </w:r>
      <w:r>
        <w:rPr>
          <w:noProof/>
        </w:rPr>
        <w:tab/>
      </w:r>
      <w:r w:rsidR="00AA4211" w:rsidRPr="00DD1DFA">
        <w:rPr>
          <w:noProof/>
        </w:rPr>
        <w:t>zapobieganie przedwczesnej utracie przydatności wyrobów, stosowanie niezawodnych części</w:t>
      </w:r>
      <w:r w:rsidR="00DD1DFA" w:rsidRPr="00DD1DFA">
        <w:rPr>
          <w:noProof/>
        </w:rPr>
        <w:t xml:space="preserve"> i</w:t>
      </w:r>
      <w:r w:rsidR="00DD1DFA">
        <w:rPr>
          <w:noProof/>
        </w:rPr>
        <w:t> </w:t>
      </w:r>
      <w:r w:rsidR="00DD1DFA" w:rsidRPr="00DD1DFA">
        <w:rPr>
          <w:noProof/>
        </w:rPr>
        <w:t>pro</w:t>
      </w:r>
      <w:r w:rsidR="00AA4211" w:rsidRPr="00DD1DFA">
        <w:rPr>
          <w:noProof/>
        </w:rPr>
        <w:t>jektowanie wyrobów</w:t>
      </w:r>
      <w:r w:rsidR="00DD1DFA" w:rsidRPr="00DD1DFA">
        <w:rPr>
          <w:noProof/>
        </w:rPr>
        <w:t xml:space="preserve"> w</w:t>
      </w:r>
      <w:r w:rsidR="00DD1DFA">
        <w:rPr>
          <w:noProof/>
        </w:rPr>
        <w:t> </w:t>
      </w:r>
      <w:r w:rsidR="00DD1DFA" w:rsidRPr="00DD1DFA">
        <w:rPr>
          <w:noProof/>
        </w:rPr>
        <w:t>tak</w:t>
      </w:r>
      <w:r w:rsidR="00AA4211" w:rsidRPr="00DD1DFA">
        <w:rPr>
          <w:noProof/>
        </w:rPr>
        <w:t>i sposób, aby ich trwałość nie spadała poniżej średniej trwałości wyrobów</w:t>
      </w:r>
      <w:r w:rsidR="00DD1DFA" w:rsidRPr="00DD1DFA">
        <w:rPr>
          <w:noProof/>
        </w:rPr>
        <w:t xml:space="preserve"> w</w:t>
      </w:r>
      <w:r w:rsidR="00DD1DFA">
        <w:rPr>
          <w:noProof/>
        </w:rPr>
        <w:t> </w:t>
      </w:r>
      <w:r w:rsidR="00DD1DFA" w:rsidRPr="00DD1DFA">
        <w:rPr>
          <w:noProof/>
        </w:rPr>
        <w:t>dan</w:t>
      </w:r>
      <w:r w:rsidR="00AA4211" w:rsidRPr="00DD1DFA">
        <w:rPr>
          <w:noProof/>
        </w:rPr>
        <w:t>ej kategorii;</w:t>
      </w:r>
    </w:p>
    <w:p w14:paraId="26449385" w14:textId="42E421CB" w:rsidR="00AA4211" w:rsidRPr="00DD1DFA" w:rsidRDefault="003C1B3E" w:rsidP="003C1B3E">
      <w:pPr>
        <w:pStyle w:val="Point1"/>
        <w:rPr>
          <w:rFonts w:eastAsia="Calibri" w:cs="DejaVu Sans"/>
          <w:noProof/>
        </w:rPr>
      </w:pPr>
      <w:r>
        <w:rPr>
          <w:noProof/>
        </w:rPr>
        <w:t>e)</w:t>
      </w:r>
      <w:r>
        <w:rPr>
          <w:noProof/>
        </w:rPr>
        <w:tab/>
      </w:r>
      <w:r w:rsidR="00AA4211" w:rsidRPr="00DD1DFA">
        <w:rPr>
          <w:noProof/>
        </w:rPr>
        <w:t>projektowanie wyrobów</w:t>
      </w:r>
      <w:r w:rsidR="00DD1DFA" w:rsidRPr="00DD1DFA">
        <w:rPr>
          <w:noProof/>
        </w:rPr>
        <w:t xml:space="preserve"> w</w:t>
      </w:r>
      <w:r w:rsidR="00DD1DFA">
        <w:rPr>
          <w:noProof/>
        </w:rPr>
        <w:t> </w:t>
      </w:r>
      <w:r w:rsidR="00DD1DFA" w:rsidRPr="00DD1DFA">
        <w:rPr>
          <w:noProof/>
        </w:rPr>
        <w:t>tak</w:t>
      </w:r>
      <w:r w:rsidR="00AA4211" w:rsidRPr="00DD1DFA">
        <w:rPr>
          <w:noProof/>
        </w:rPr>
        <w:t>i sposób, aby można je było łatwo naprawiać, odnawiać</w:t>
      </w:r>
      <w:r w:rsidR="00DD1DFA" w:rsidRPr="00DD1DFA">
        <w:rPr>
          <w:noProof/>
        </w:rPr>
        <w:t xml:space="preserve"> i</w:t>
      </w:r>
      <w:r w:rsidR="00DD1DFA">
        <w:rPr>
          <w:noProof/>
        </w:rPr>
        <w:t> </w:t>
      </w:r>
      <w:r w:rsidR="00DD1DFA" w:rsidRPr="00DD1DFA">
        <w:rPr>
          <w:noProof/>
        </w:rPr>
        <w:t>mod</w:t>
      </w:r>
      <w:r w:rsidR="00AA4211" w:rsidRPr="00DD1DFA">
        <w:rPr>
          <w:noProof/>
        </w:rPr>
        <w:t>ernizować, chyba że taki projekt prowadzi do niezgodności</w:t>
      </w:r>
      <w:r w:rsidR="00DD1DFA" w:rsidRPr="00DD1DFA">
        <w:rPr>
          <w:noProof/>
        </w:rPr>
        <w:t xml:space="preserve"> z</w:t>
      </w:r>
      <w:r w:rsidR="00DD1DFA">
        <w:rPr>
          <w:noProof/>
        </w:rPr>
        <w:t> </w:t>
      </w:r>
      <w:r w:rsidR="00DD1DFA" w:rsidRPr="00DD1DFA">
        <w:rPr>
          <w:noProof/>
        </w:rPr>
        <w:t>inn</w:t>
      </w:r>
      <w:r w:rsidR="00AA4211" w:rsidRPr="00DD1DFA">
        <w:rPr>
          <w:noProof/>
        </w:rPr>
        <w:t>ymi wymogami niniejszego rozporządzenia lub innymi przepisami prawa Unii, lub naprawa, odnowa lub modernizacja są zagrażają bezpieczeństwu ludzi lub środowisku,</w:t>
      </w:r>
      <w:r w:rsidR="00DD1DFA" w:rsidRPr="00DD1DFA">
        <w:rPr>
          <w:noProof/>
        </w:rPr>
        <w:t xml:space="preserve"> w</w:t>
      </w:r>
      <w:r w:rsidR="00DD1DFA">
        <w:rPr>
          <w:noProof/>
        </w:rPr>
        <w:t> </w:t>
      </w:r>
      <w:r w:rsidR="00DD1DFA" w:rsidRPr="00DD1DFA">
        <w:rPr>
          <w:noProof/>
        </w:rPr>
        <w:t>któ</w:t>
      </w:r>
      <w:r w:rsidR="00AA4211" w:rsidRPr="00DD1DFA">
        <w:rPr>
          <w:noProof/>
        </w:rPr>
        <w:t>rym to przypadku producent musi zrezygnować</w:t>
      </w:r>
      <w:r w:rsidR="00DD1DFA" w:rsidRPr="00DD1DFA">
        <w:rPr>
          <w:noProof/>
        </w:rPr>
        <w:t xml:space="preserve"> z</w:t>
      </w:r>
      <w:r w:rsidR="00DD1DFA">
        <w:rPr>
          <w:noProof/>
        </w:rPr>
        <w:t> </w:t>
      </w:r>
      <w:r w:rsidR="00DD1DFA" w:rsidRPr="00DD1DFA">
        <w:rPr>
          <w:noProof/>
        </w:rPr>
        <w:t>pro</w:t>
      </w:r>
      <w:r w:rsidR="00AA4211" w:rsidRPr="00DD1DFA">
        <w:rPr>
          <w:noProof/>
        </w:rPr>
        <w:t>jektu umożliwiającego naprawę, odnowę lub modernizację</w:t>
      </w:r>
      <w:r w:rsidR="00DD1DFA" w:rsidRPr="00DD1DFA">
        <w:rPr>
          <w:noProof/>
        </w:rPr>
        <w:t xml:space="preserve"> i</w:t>
      </w:r>
      <w:r w:rsidR="00DD1DFA">
        <w:rPr>
          <w:noProof/>
        </w:rPr>
        <w:t> </w:t>
      </w:r>
      <w:r w:rsidR="00DD1DFA" w:rsidRPr="00DD1DFA">
        <w:rPr>
          <w:noProof/>
        </w:rPr>
        <w:t>ost</w:t>
      </w:r>
      <w:r w:rsidR="00AA4211" w:rsidRPr="00DD1DFA">
        <w:rPr>
          <w:noProof/>
        </w:rPr>
        <w:t>rzec przed naprawą zgodnie</w:t>
      </w:r>
      <w:r w:rsidR="00DD1DFA" w:rsidRPr="00DD1DFA">
        <w:rPr>
          <w:noProof/>
        </w:rPr>
        <w:t xml:space="preserve"> z</w:t>
      </w:r>
      <w:r w:rsidR="00DD1DFA">
        <w:rPr>
          <w:noProof/>
        </w:rPr>
        <w:t> </w:t>
      </w:r>
      <w:r w:rsidR="00DD1DFA" w:rsidRPr="00DD1DFA">
        <w:rPr>
          <w:noProof/>
        </w:rPr>
        <w:t>lit</w:t>
      </w:r>
      <w:r w:rsidR="00AA4211" w:rsidRPr="00DD1DFA">
        <w:rPr>
          <w:noProof/>
        </w:rPr>
        <w:t>.</w:t>
      </w:r>
      <w:r w:rsidR="00DD1DFA" w:rsidRPr="00DD1DFA">
        <w:rPr>
          <w:noProof/>
        </w:rPr>
        <w:t> </w:t>
      </w:r>
      <w:r w:rsidR="00AA4211" w:rsidRPr="00DD1DFA">
        <w:rPr>
          <w:noProof/>
        </w:rPr>
        <w:t>f);</w:t>
      </w:r>
    </w:p>
    <w:p w14:paraId="2FDC0E1D" w14:textId="65E8860D" w:rsidR="00AA4211" w:rsidRPr="00DD1DFA" w:rsidRDefault="003C1B3E" w:rsidP="003C1B3E">
      <w:pPr>
        <w:pStyle w:val="Point1"/>
        <w:rPr>
          <w:rFonts w:eastAsia="Calibri" w:cs="DejaVu Sans"/>
          <w:noProof/>
        </w:rPr>
      </w:pPr>
      <w:r>
        <w:rPr>
          <w:noProof/>
        </w:rPr>
        <w:t>f)</w:t>
      </w:r>
      <w:r>
        <w:rPr>
          <w:noProof/>
        </w:rPr>
        <w:tab/>
      </w:r>
      <w:r w:rsidR="00AA4211" w:rsidRPr="00DD1DFA">
        <w:rPr>
          <w:noProof/>
        </w:rPr>
        <w:t>udostępnianie</w:t>
      </w:r>
      <w:r w:rsidR="00DD1DFA" w:rsidRPr="00DD1DFA">
        <w:rPr>
          <w:noProof/>
        </w:rPr>
        <w:t xml:space="preserve"> w</w:t>
      </w:r>
      <w:r w:rsidR="00DD1DFA">
        <w:rPr>
          <w:noProof/>
        </w:rPr>
        <w:t> </w:t>
      </w:r>
      <w:r w:rsidR="00DD1DFA" w:rsidRPr="00DD1DFA">
        <w:rPr>
          <w:noProof/>
        </w:rPr>
        <w:t>baz</w:t>
      </w:r>
      <w:r w:rsidR="00AA4211" w:rsidRPr="00DD1DFA">
        <w:rPr>
          <w:noProof/>
        </w:rPr>
        <w:t>ach danych</w:t>
      </w:r>
      <w:r w:rsidR="00DD1DFA" w:rsidRPr="00DD1DFA">
        <w:rPr>
          <w:noProof/>
        </w:rPr>
        <w:t xml:space="preserve"> o</w:t>
      </w:r>
      <w:r w:rsidR="00DD1DFA">
        <w:rPr>
          <w:noProof/>
        </w:rPr>
        <w:t> </w:t>
      </w:r>
      <w:r w:rsidR="00DD1DFA" w:rsidRPr="00DD1DFA">
        <w:rPr>
          <w:noProof/>
        </w:rPr>
        <w:t>wyr</w:t>
      </w:r>
      <w:r w:rsidR="00AA4211" w:rsidRPr="00DD1DFA">
        <w:rPr>
          <w:noProof/>
        </w:rPr>
        <w:t>obach, instrukcjach obsługi oraz dotyczących odnośników bezpośrednich do własnych stron internetowych informacji na temat sposobu naprawy wyrobów oraz wszelkich dodatkowych informacji niezbędnych do naprawy,</w:t>
      </w:r>
      <w:r w:rsidR="00DD1DFA" w:rsidRPr="00DD1DFA">
        <w:rPr>
          <w:noProof/>
        </w:rPr>
        <w:t xml:space="preserve"> w</w:t>
      </w:r>
      <w:r w:rsidR="00DD1DFA">
        <w:rPr>
          <w:noProof/>
        </w:rPr>
        <w:t> </w:t>
      </w:r>
      <w:r w:rsidR="00DD1DFA" w:rsidRPr="00DD1DFA">
        <w:rPr>
          <w:noProof/>
        </w:rPr>
        <w:t>tym</w:t>
      </w:r>
      <w:r w:rsidR="00AA4211" w:rsidRPr="00DD1DFA">
        <w:rPr>
          <w:noProof/>
        </w:rPr>
        <w:t xml:space="preserve"> odpowiednich ostrzeżeń;</w:t>
      </w:r>
    </w:p>
    <w:p w14:paraId="28163C3D" w14:textId="01D25CBD" w:rsidR="00AA4211" w:rsidRPr="00DD1DFA" w:rsidRDefault="003C1B3E" w:rsidP="003C1B3E">
      <w:pPr>
        <w:pStyle w:val="Point1"/>
        <w:rPr>
          <w:rFonts w:eastAsia="Calibri" w:cs="DejaVu Sans"/>
          <w:noProof/>
        </w:rPr>
      </w:pPr>
      <w:r>
        <w:rPr>
          <w:noProof/>
        </w:rPr>
        <w:t>g)</w:t>
      </w:r>
      <w:r>
        <w:rPr>
          <w:noProof/>
        </w:rPr>
        <w:tab/>
      </w:r>
      <w:r w:rsidR="009C6250" w:rsidRPr="00DD1DFA">
        <w:rPr>
          <w:noProof/>
        </w:rPr>
        <w:t>udostępnianie na rynku samodzielnie lub przy pomocy specjalnie wyznaczonych dystrybutorów lub producentów części zamiennych –</w:t>
      </w:r>
      <w:r w:rsidR="00DD1DFA" w:rsidRPr="00DD1DFA">
        <w:rPr>
          <w:noProof/>
        </w:rPr>
        <w:t xml:space="preserve"> z</w:t>
      </w:r>
      <w:r w:rsidR="00DD1DFA">
        <w:rPr>
          <w:noProof/>
        </w:rPr>
        <w:t> </w:t>
      </w:r>
      <w:r w:rsidR="00DD1DFA" w:rsidRPr="00DD1DFA">
        <w:rPr>
          <w:noProof/>
        </w:rPr>
        <w:t>roz</w:t>
      </w:r>
      <w:r w:rsidR="009C6250" w:rsidRPr="00DD1DFA">
        <w:rPr>
          <w:noProof/>
        </w:rPr>
        <w:t>sądnie krótkim czasem dostawy – części zamienne do swoich wyrobów przez okres 10 lat po tym, jak ostatni wyrób danego typu został wprowadzony do obrotu lub bezpośrednio wbudowany, oraz czynne informowanie</w:t>
      </w:r>
      <w:r w:rsidR="00DD1DFA" w:rsidRPr="00DD1DFA">
        <w:rPr>
          <w:noProof/>
        </w:rPr>
        <w:t xml:space="preserve"> o</w:t>
      </w:r>
      <w:r w:rsidR="00DD1DFA">
        <w:rPr>
          <w:noProof/>
        </w:rPr>
        <w:t> </w:t>
      </w:r>
      <w:r w:rsidR="00DD1DFA" w:rsidRPr="00DD1DFA">
        <w:rPr>
          <w:noProof/>
        </w:rPr>
        <w:t>tej</w:t>
      </w:r>
      <w:r w:rsidR="009C6250" w:rsidRPr="00DD1DFA">
        <w:rPr>
          <w:noProof/>
        </w:rPr>
        <w:t xml:space="preserve"> dostępności;</w:t>
      </w:r>
    </w:p>
    <w:p w14:paraId="7811B17F" w14:textId="6F408B9D" w:rsidR="00AA4211" w:rsidRPr="00DD1DFA" w:rsidRDefault="003C1B3E" w:rsidP="003C1B3E">
      <w:pPr>
        <w:pStyle w:val="Point1"/>
        <w:rPr>
          <w:rFonts w:eastAsia="Calibri" w:cs="DejaVu Sans"/>
          <w:noProof/>
        </w:rPr>
      </w:pPr>
      <w:r>
        <w:rPr>
          <w:noProof/>
        </w:rPr>
        <w:t>h)</w:t>
      </w:r>
      <w:r>
        <w:rPr>
          <w:noProof/>
        </w:rPr>
        <w:tab/>
      </w:r>
      <w:r w:rsidR="00AA4211" w:rsidRPr="00DD1DFA">
        <w:rPr>
          <w:noProof/>
        </w:rPr>
        <w:t>projektowanie wyrobów</w:t>
      </w:r>
      <w:r w:rsidR="00DD1DFA" w:rsidRPr="00DD1DFA">
        <w:rPr>
          <w:noProof/>
        </w:rPr>
        <w:t xml:space="preserve"> w</w:t>
      </w:r>
      <w:r w:rsidR="00DD1DFA">
        <w:rPr>
          <w:noProof/>
        </w:rPr>
        <w:t> </w:t>
      </w:r>
      <w:r w:rsidR="00DD1DFA" w:rsidRPr="00DD1DFA">
        <w:rPr>
          <w:noProof/>
        </w:rPr>
        <w:t>tak</w:t>
      </w:r>
      <w:r w:rsidR="00AA4211" w:rsidRPr="00DD1DFA">
        <w:rPr>
          <w:noProof/>
        </w:rPr>
        <w:t>i sposób, aby ułatwić ich ponowne użycie, regenerację</w:t>
      </w:r>
      <w:r w:rsidR="00DD1DFA" w:rsidRPr="00DD1DFA">
        <w:rPr>
          <w:noProof/>
        </w:rPr>
        <w:t xml:space="preserve"> i</w:t>
      </w:r>
      <w:r w:rsidR="00DD1DFA">
        <w:rPr>
          <w:noProof/>
        </w:rPr>
        <w:t> </w:t>
      </w:r>
      <w:r w:rsidR="00DD1DFA" w:rsidRPr="00DD1DFA">
        <w:rPr>
          <w:noProof/>
        </w:rPr>
        <w:t>rec</w:t>
      </w:r>
      <w:r w:rsidR="00AA4211" w:rsidRPr="00DD1DFA">
        <w:rPr>
          <w:noProof/>
        </w:rPr>
        <w:t>ykling,</w:t>
      </w:r>
      <w:r w:rsidR="00DD1DFA" w:rsidRPr="00DD1DFA">
        <w:rPr>
          <w:noProof/>
        </w:rPr>
        <w:t xml:space="preserve"> a</w:t>
      </w:r>
      <w:r w:rsidR="00DD1DFA">
        <w:rPr>
          <w:noProof/>
        </w:rPr>
        <w:t> </w:t>
      </w:r>
      <w:r w:rsidR="00DD1DFA" w:rsidRPr="00DD1DFA">
        <w:rPr>
          <w:noProof/>
        </w:rPr>
        <w:t>mia</w:t>
      </w:r>
      <w:r w:rsidR="00AA4211" w:rsidRPr="00DD1DFA">
        <w:rPr>
          <w:noProof/>
        </w:rPr>
        <w:t>nowicie poprzez ułatwienie oddzielania części składowych</w:t>
      </w:r>
      <w:r w:rsidR="00DD1DFA" w:rsidRPr="00DD1DFA">
        <w:rPr>
          <w:noProof/>
        </w:rPr>
        <w:t xml:space="preserve"> i</w:t>
      </w:r>
      <w:r w:rsidR="00DD1DFA">
        <w:rPr>
          <w:noProof/>
        </w:rPr>
        <w:t> </w:t>
      </w:r>
      <w:r w:rsidR="00DD1DFA" w:rsidRPr="00DD1DFA">
        <w:rPr>
          <w:noProof/>
        </w:rPr>
        <w:t>mat</w:t>
      </w:r>
      <w:r w:rsidR="00AA4211" w:rsidRPr="00DD1DFA">
        <w:rPr>
          <w:noProof/>
        </w:rPr>
        <w:t>eriałów na późniejszym etapie recyklingu oraz unikanie materiałów mieszanych, łączonych lub złożonych, chyba że regeneracja</w:t>
      </w:r>
      <w:r w:rsidR="00DD1DFA" w:rsidRPr="00DD1DFA">
        <w:rPr>
          <w:noProof/>
        </w:rPr>
        <w:t xml:space="preserve"> i</w:t>
      </w:r>
      <w:r w:rsidR="00DD1DFA">
        <w:rPr>
          <w:noProof/>
        </w:rPr>
        <w:t> </w:t>
      </w:r>
      <w:r w:rsidR="00DD1DFA" w:rsidRPr="00DD1DFA">
        <w:rPr>
          <w:noProof/>
        </w:rPr>
        <w:t>rec</w:t>
      </w:r>
      <w:r w:rsidR="00AA4211" w:rsidRPr="00DD1DFA">
        <w:rPr>
          <w:noProof/>
        </w:rPr>
        <w:t>ykling zagrażają bezpieczeństwu ludzi lub środowisku</w:t>
      </w:r>
      <w:r w:rsidR="00DD1DFA" w:rsidRPr="00DD1DFA">
        <w:rPr>
          <w:noProof/>
        </w:rPr>
        <w:t>. W</w:t>
      </w:r>
      <w:r w:rsidR="00DD1DFA">
        <w:rPr>
          <w:noProof/>
        </w:rPr>
        <w:t> </w:t>
      </w:r>
      <w:r w:rsidR="00DD1DFA" w:rsidRPr="00DD1DFA">
        <w:rPr>
          <w:noProof/>
        </w:rPr>
        <w:t>tak</w:t>
      </w:r>
      <w:r w:rsidR="00AA4211" w:rsidRPr="00DD1DFA">
        <w:rPr>
          <w:noProof/>
        </w:rPr>
        <w:t>im przypadku producent rezygnuje</w:t>
      </w:r>
      <w:r w:rsidR="00DD1DFA" w:rsidRPr="00DD1DFA">
        <w:rPr>
          <w:noProof/>
        </w:rPr>
        <w:t xml:space="preserve"> z</w:t>
      </w:r>
      <w:r w:rsidR="00DD1DFA">
        <w:rPr>
          <w:noProof/>
        </w:rPr>
        <w:t> </w:t>
      </w:r>
      <w:r w:rsidR="00DD1DFA" w:rsidRPr="00DD1DFA">
        <w:rPr>
          <w:noProof/>
        </w:rPr>
        <w:t>tak</w:t>
      </w:r>
      <w:r w:rsidR="00AA4211" w:rsidRPr="00DD1DFA">
        <w:rPr>
          <w:noProof/>
        </w:rPr>
        <w:t>iego projektu</w:t>
      </w:r>
      <w:r w:rsidR="00DD1DFA" w:rsidRPr="00DD1DFA">
        <w:rPr>
          <w:noProof/>
        </w:rPr>
        <w:t xml:space="preserve"> i</w:t>
      </w:r>
      <w:r w:rsidR="00DD1DFA">
        <w:rPr>
          <w:noProof/>
        </w:rPr>
        <w:t> </w:t>
      </w:r>
      <w:r w:rsidR="00DD1DFA" w:rsidRPr="00DD1DFA">
        <w:rPr>
          <w:noProof/>
        </w:rPr>
        <w:t>ost</w:t>
      </w:r>
      <w:r w:rsidR="00AA4211" w:rsidRPr="00DD1DFA">
        <w:rPr>
          <w:noProof/>
        </w:rPr>
        <w:t>rzega przed regeneracją</w:t>
      </w:r>
      <w:r w:rsidR="00DD1DFA" w:rsidRPr="00DD1DFA">
        <w:rPr>
          <w:noProof/>
        </w:rPr>
        <w:t xml:space="preserve"> i</w:t>
      </w:r>
      <w:r w:rsidR="00DD1DFA">
        <w:rPr>
          <w:noProof/>
        </w:rPr>
        <w:t> </w:t>
      </w:r>
      <w:r w:rsidR="00DD1DFA" w:rsidRPr="00DD1DFA">
        <w:rPr>
          <w:noProof/>
        </w:rPr>
        <w:t>rec</w:t>
      </w:r>
      <w:r w:rsidR="00AA4211" w:rsidRPr="00DD1DFA">
        <w:rPr>
          <w:noProof/>
        </w:rPr>
        <w:t>yklingiem wyrobów zgodnie</w:t>
      </w:r>
      <w:r w:rsidR="00DD1DFA" w:rsidRPr="00DD1DFA">
        <w:rPr>
          <w:noProof/>
        </w:rPr>
        <w:t xml:space="preserve"> z</w:t>
      </w:r>
      <w:r w:rsidR="00DD1DFA">
        <w:rPr>
          <w:noProof/>
        </w:rPr>
        <w:t> </w:t>
      </w:r>
      <w:r w:rsidR="00DD1DFA" w:rsidRPr="00DD1DFA">
        <w:rPr>
          <w:noProof/>
        </w:rPr>
        <w:t>nas</w:t>
      </w:r>
      <w:r w:rsidR="00AA4211" w:rsidRPr="00DD1DFA">
        <w:rPr>
          <w:noProof/>
        </w:rPr>
        <w:t>tępującą literą;</w:t>
      </w:r>
    </w:p>
    <w:p w14:paraId="59D33DF6" w14:textId="3301512A" w:rsidR="00AA4211" w:rsidRPr="00DD1DFA" w:rsidRDefault="003C1B3E" w:rsidP="003C1B3E">
      <w:pPr>
        <w:pStyle w:val="Point1"/>
        <w:rPr>
          <w:rFonts w:eastAsia="Calibri" w:cs="DejaVu Sans"/>
          <w:noProof/>
        </w:rPr>
      </w:pPr>
      <w:r>
        <w:rPr>
          <w:noProof/>
        </w:rPr>
        <w:t>i)</w:t>
      </w:r>
      <w:r>
        <w:rPr>
          <w:noProof/>
        </w:rPr>
        <w:tab/>
      </w:r>
      <w:r w:rsidR="00AA4211" w:rsidRPr="00DD1DFA">
        <w:rPr>
          <w:noProof/>
        </w:rPr>
        <w:t>udostępnia</w:t>
      </w:r>
      <w:r w:rsidR="00DD1DFA" w:rsidRPr="00DD1DFA">
        <w:rPr>
          <w:noProof/>
        </w:rPr>
        <w:t xml:space="preserve"> w</w:t>
      </w:r>
      <w:r w:rsidR="00DD1DFA">
        <w:rPr>
          <w:noProof/>
        </w:rPr>
        <w:t> </w:t>
      </w:r>
      <w:r w:rsidR="00DD1DFA" w:rsidRPr="00DD1DFA">
        <w:rPr>
          <w:noProof/>
        </w:rPr>
        <w:t>baz</w:t>
      </w:r>
      <w:r w:rsidR="00AA4211" w:rsidRPr="00DD1DFA">
        <w:rPr>
          <w:noProof/>
        </w:rPr>
        <w:t>ach danych</w:t>
      </w:r>
      <w:r w:rsidR="00DD1DFA" w:rsidRPr="00DD1DFA">
        <w:rPr>
          <w:noProof/>
        </w:rPr>
        <w:t xml:space="preserve"> o</w:t>
      </w:r>
      <w:r w:rsidR="00DD1DFA">
        <w:rPr>
          <w:noProof/>
        </w:rPr>
        <w:t> </w:t>
      </w:r>
      <w:r w:rsidR="00DD1DFA" w:rsidRPr="00DD1DFA">
        <w:rPr>
          <w:noProof/>
        </w:rPr>
        <w:t>wyr</w:t>
      </w:r>
      <w:r w:rsidR="00AA4211" w:rsidRPr="00DD1DFA">
        <w:rPr>
          <w:noProof/>
        </w:rPr>
        <w:t>obach, instrukcjach obsługi i na własnych stronach internetowych informacje</w:t>
      </w:r>
      <w:r w:rsidR="00DD1DFA" w:rsidRPr="00DD1DFA">
        <w:rPr>
          <w:noProof/>
        </w:rPr>
        <w:t xml:space="preserve"> o</w:t>
      </w:r>
      <w:r w:rsidR="00DD1DFA">
        <w:rPr>
          <w:noProof/>
        </w:rPr>
        <w:t> </w:t>
      </w:r>
      <w:r w:rsidR="00DD1DFA" w:rsidRPr="00DD1DFA">
        <w:rPr>
          <w:noProof/>
        </w:rPr>
        <w:t>spo</w:t>
      </w:r>
      <w:r w:rsidR="00AA4211" w:rsidRPr="00DD1DFA">
        <w:rPr>
          <w:noProof/>
        </w:rPr>
        <w:t>sobie regeneracji lub recyklingu wyrobów oraz wszelkie dodatkowe informacje niezbędne do ponownego użycia, regeneracji lub recyklingu,</w:t>
      </w:r>
      <w:r w:rsidR="00DD1DFA" w:rsidRPr="00DD1DFA">
        <w:rPr>
          <w:noProof/>
        </w:rPr>
        <w:t xml:space="preserve"> w</w:t>
      </w:r>
      <w:r w:rsidR="00DD1DFA">
        <w:rPr>
          <w:noProof/>
        </w:rPr>
        <w:t> </w:t>
      </w:r>
      <w:r w:rsidR="00DD1DFA" w:rsidRPr="00DD1DFA">
        <w:rPr>
          <w:noProof/>
        </w:rPr>
        <w:t>tym</w:t>
      </w:r>
      <w:r w:rsidR="00AA4211" w:rsidRPr="00DD1DFA">
        <w:rPr>
          <w:noProof/>
        </w:rPr>
        <w:t xml:space="preserve"> odpowiednie ostrzeżenia;</w:t>
      </w:r>
    </w:p>
    <w:p w14:paraId="17FCE4B4" w14:textId="2376FB95" w:rsidR="00AA4211" w:rsidRPr="00DD1DFA" w:rsidRDefault="003C1B3E" w:rsidP="003C1B3E">
      <w:pPr>
        <w:pStyle w:val="Point1"/>
        <w:rPr>
          <w:rFonts w:eastAsia="Calibri" w:cs="DejaVu Sans"/>
          <w:noProof/>
        </w:rPr>
      </w:pPr>
      <w:r>
        <w:rPr>
          <w:noProof/>
        </w:rPr>
        <w:t>j)</w:t>
      </w:r>
      <w:r>
        <w:rPr>
          <w:noProof/>
        </w:rPr>
        <w:tab/>
      </w:r>
      <w:r w:rsidR="00AA4211" w:rsidRPr="00DD1DFA">
        <w:rPr>
          <w:noProof/>
        </w:rPr>
        <w:t>zgadza się na odzyskanie, bezpośrednio lub za pośrednictwem swoich importerów</w:t>
      </w:r>
      <w:r w:rsidR="00DD1DFA" w:rsidRPr="00DD1DFA">
        <w:rPr>
          <w:noProof/>
        </w:rPr>
        <w:t xml:space="preserve"> i</w:t>
      </w:r>
      <w:r w:rsidR="00DD1DFA">
        <w:rPr>
          <w:noProof/>
        </w:rPr>
        <w:t> </w:t>
      </w:r>
      <w:r w:rsidR="00DD1DFA" w:rsidRPr="00DD1DFA">
        <w:rPr>
          <w:noProof/>
        </w:rPr>
        <w:t>dys</w:t>
      </w:r>
      <w:r w:rsidR="00AA4211" w:rsidRPr="00DD1DFA">
        <w:rPr>
          <w:noProof/>
        </w:rPr>
        <w:t>trybutorów, praw własności do nadwyżek</w:t>
      </w:r>
      <w:r w:rsidR="00DD1DFA" w:rsidRPr="00DD1DFA">
        <w:rPr>
          <w:noProof/>
        </w:rPr>
        <w:t xml:space="preserve"> i</w:t>
      </w:r>
      <w:r w:rsidR="00DD1DFA">
        <w:rPr>
          <w:noProof/>
        </w:rPr>
        <w:t> </w:t>
      </w:r>
      <w:r w:rsidR="00DD1DFA" w:rsidRPr="00DD1DFA">
        <w:rPr>
          <w:noProof/>
        </w:rPr>
        <w:t>nie</w:t>
      </w:r>
      <w:r w:rsidR="00AA4211" w:rsidRPr="00DD1DFA">
        <w:rPr>
          <w:noProof/>
        </w:rPr>
        <w:t>sprzedanych wyrobów, które znajdują się</w:t>
      </w:r>
      <w:r w:rsidR="00DD1DFA" w:rsidRPr="00DD1DFA">
        <w:rPr>
          <w:noProof/>
        </w:rPr>
        <w:t xml:space="preserve"> w</w:t>
      </w:r>
      <w:r w:rsidR="00DD1DFA">
        <w:rPr>
          <w:noProof/>
        </w:rPr>
        <w:t> </w:t>
      </w:r>
      <w:r w:rsidR="00DD1DFA" w:rsidRPr="00DD1DFA">
        <w:rPr>
          <w:noProof/>
        </w:rPr>
        <w:t>sta</w:t>
      </w:r>
      <w:r w:rsidR="00AA4211" w:rsidRPr="00DD1DFA">
        <w:rPr>
          <w:noProof/>
        </w:rPr>
        <w:t>nie odpowiadającym stanowi,</w:t>
      </w:r>
      <w:r w:rsidR="00DD1DFA" w:rsidRPr="00DD1DFA">
        <w:rPr>
          <w:noProof/>
        </w:rPr>
        <w:t xml:space="preserve"> w</w:t>
      </w:r>
      <w:r w:rsidR="00DD1DFA">
        <w:rPr>
          <w:noProof/>
        </w:rPr>
        <w:t> </w:t>
      </w:r>
      <w:r w:rsidR="00DD1DFA" w:rsidRPr="00DD1DFA">
        <w:rPr>
          <w:noProof/>
        </w:rPr>
        <w:t>jak</w:t>
      </w:r>
      <w:r w:rsidR="00AA4211" w:rsidRPr="00DD1DFA">
        <w:rPr>
          <w:noProof/>
        </w:rPr>
        <w:t xml:space="preserve">im zostały wprowadzone do obrotu. </w:t>
      </w:r>
    </w:p>
    <w:p w14:paraId="5BDE9B2A" w14:textId="053F2A5C" w:rsidR="00AA4211" w:rsidRPr="00DD1DFA" w:rsidRDefault="00AA4211" w:rsidP="00300D3C">
      <w:pPr>
        <w:pStyle w:val="Text1"/>
        <w:rPr>
          <w:rFonts w:ascii="Calibri" w:hAnsi="Calibri"/>
          <w:noProof/>
          <w:sz w:val="22"/>
        </w:rPr>
      </w:pPr>
      <w:r w:rsidRPr="00DD1DFA">
        <w:rPr>
          <w:noProof/>
        </w:rPr>
        <w:t>Jeżeli obowiązków wynikających</w:t>
      </w:r>
      <w:r w:rsidR="00DD1DFA" w:rsidRPr="00DD1DFA">
        <w:rPr>
          <w:noProof/>
        </w:rPr>
        <w:t xml:space="preserve"> z</w:t>
      </w:r>
      <w:r w:rsidR="00DD1DFA">
        <w:rPr>
          <w:noProof/>
        </w:rPr>
        <w:t> </w:t>
      </w:r>
      <w:r w:rsidR="00DD1DFA" w:rsidRPr="00DD1DFA">
        <w:rPr>
          <w:noProof/>
        </w:rPr>
        <w:t>nin</w:t>
      </w:r>
      <w:r w:rsidRPr="00DD1DFA">
        <w:rPr>
          <w:noProof/>
        </w:rPr>
        <w:t>iejszego ustępu nie można spełnić jednocześnie</w:t>
      </w:r>
      <w:r w:rsidR="00DD1DFA" w:rsidRPr="00DD1DFA">
        <w:rPr>
          <w:noProof/>
        </w:rPr>
        <w:t xml:space="preserve"> z</w:t>
      </w:r>
      <w:r w:rsidR="00DD1DFA">
        <w:rPr>
          <w:noProof/>
        </w:rPr>
        <w:t> </w:t>
      </w:r>
      <w:r w:rsidR="00DD1DFA" w:rsidRPr="00DD1DFA">
        <w:rPr>
          <w:noProof/>
        </w:rPr>
        <w:t>pow</w:t>
      </w:r>
      <w:r w:rsidRPr="00DD1DFA">
        <w:rPr>
          <w:noProof/>
        </w:rPr>
        <w:t>odu konfliktu między różnymi obowiązkami, producent wybiera rozwiązanie kompromisowe, które przynosi największe</w:t>
      </w:r>
      <w:r w:rsidR="00DD1DFA" w:rsidRPr="00DD1DFA">
        <w:rPr>
          <w:noProof/>
        </w:rPr>
        <w:t xml:space="preserve"> i</w:t>
      </w:r>
      <w:r w:rsidR="00DD1DFA">
        <w:rPr>
          <w:noProof/>
        </w:rPr>
        <w:t> </w:t>
      </w:r>
      <w:r w:rsidR="00DD1DFA" w:rsidRPr="00DD1DFA">
        <w:rPr>
          <w:noProof/>
        </w:rPr>
        <w:t>naj</w:t>
      </w:r>
      <w:r w:rsidRPr="00DD1DFA">
        <w:rPr>
          <w:noProof/>
        </w:rPr>
        <w:t>bardziej opłacalne korzyści pod względem zrównoważenia środowiskowego wyrobów</w:t>
      </w:r>
      <w:r w:rsidR="00DD1DFA" w:rsidRPr="00DD1DFA">
        <w:rPr>
          <w:noProof/>
        </w:rPr>
        <w:t xml:space="preserve"> i</w:t>
      </w:r>
      <w:r w:rsidR="00DD1DFA">
        <w:rPr>
          <w:noProof/>
        </w:rPr>
        <w:t> </w:t>
      </w:r>
      <w:r w:rsidR="00DD1DFA" w:rsidRPr="00DD1DFA">
        <w:rPr>
          <w:noProof/>
        </w:rPr>
        <w:t>obi</w:t>
      </w:r>
      <w:r w:rsidRPr="00DD1DFA">
        <w:rPr>
          <w:noProof/>
        </w:rPr>
        <w:t>ektów budowlanych</w:t>
      </w:r>
      <w:r w:rsidR="00DD1DFA" w:rsidRPr="00DD1DFA">
        <w:rPr>
          <w:noProof/>
        </w:rPr>
        <w:t>. W</w:t>
      </w:r>
      <w:r w:rsidR="00DD1DFA">
        <w:rPr>
          <w:noProof/>
        </w:rPr>
        <w:t> </w:t>
      </w:r>
      <w:r w:rsidR="00DD1DFA" w:rsidRPr="00DD1DFA">
        <w:rPr>
          <w:noProof/>
        </w:rPr>
        <w:t>każ</w:t>
      </w:r>
      <w:r w:rsidRPr="00DD1DFA">
        <w:rPr>
          <w:noProof/>
        </w:rPr>
        <w:t>dym przypadku należy jednak przestrzegać zasady „bezpieczeństwo przede wszystkim”, mającej zastosowanie zarówno do wyrobu budowlanego, jak i do obiektów budowlanych,</w:t>
      </w:r>
      <w:r w:rsidR="00DD1DFA" w:rsidRPr="00DD1DFA">
        <w:rPr>
          <w:noProof/>
        </w:rPr>
        <w:t xml:space="preserve"> a</w:t>
      </w:r>
      <w:r w:rsidR="00DD1DFA">
        <w:rPr>
          <w:noProof/>
        </w:rPr>
        <w:t> </w:t>
      </w:r>
      <w:r w:rsidR="00DD1DFA" w:rsidRPr="00DD1DFA">
        <w:rPr>
          <w:noProof/>
        </w:rPr>
        <w:t>tak</w:t>
      </w:r>
      <w:r w:rsidRPr="00DD1DFA">
        <w:rPr>
          <w:noProof/>
        </w:rPr>
        <w:t>że obejmującej ochronę zdrowia.</w:t>
      </w:r>
    </w:p>
    <w:p w14:paraId="05F388EE" w14:textId="547094A1" w:rsidR="00AA4211" w:rsidRPr="00DD1DFA" w:rsidRDefault="005F7EFA" w:rsidP="005F7EFA">
      <w:pPr>
        <w:pStyle w:val="ManualNumPar1"/>
        <w:rPr>
          <w:noProof/>
          <w:color w:val="000000"/>
        </w:rPr>
      </w:pPr>
      <w:bookmarkStart w:id="1" w:name="__DdeLink__5560_45575094"/>
      <w:r w:rsidRPr="005F7EFA">
        <w:t>3.</w:t>
      </w:r>
      <w:r w:rsidRPr="005F7EFA">
        <w:tab/>
      </w:r>
      <w:r w:rsidR="00AA4211" w:rsidRPr="00DD1DFA">
        <w:rPr>
          <w:noProof/>
        </w:rPr>
        <w:t>Ust. 2 lit.</w:t>
      </w:r>
      <w:r w:rsidR="00DD1DFA" w:rsidRPr="00DD1DFA">
        <w:rPr>
          <w:noProof/>
        </w:rPr>
        <w:t> </w:t>
      </w:r>
      <w:r w:rsidR="00AA4211" w:rsidRPr="00DD1DFA">
        <w:rPr>
          <w:noProof/>
        </w:rPr>
        <w:t>a)–c) oraz ust.</w:t>
      </w:r>
      <w:r w:rsidR="00DD1DFA" w:rsidRPr="00DD1DFA">
        <w:rPr>
          <w:noProof/>
        </w:rPr>
        <w:t> </w:t>
      </w:r>
      <w:r w:rsidR="00AA4211" w:rsidRPr="00DD1DFA">
        <w:rPr>
          <w:noProof/>
        </w:rPr>
        <w:t>2 lit.</w:t>
      </w:r>
      <w:r w:rsidR="00DD1DFA" w:rsidRPr="00DD1DFA">
        <w:rPr>
          <w:noProof/>
        </w:rPr>
        <w:t> </w:t>
      </w:r>
      <w:r w:rsidR="00AA4211" w:rsidRPr="00DD1DFA">
        <w:rPr>
          <w:noProof/>
        </w:rPr>
        <w:t>j) nie mają zastosowania do wyrobów używanych, poddanych regeneracji lub nadwyżek wyrobów, chyba że podmiot gospodarczy, podlegający obowiązkom wynikającym</w:t>
      </w:r>
      <w:r w:rsidR="00DD1DFA" w:rsidRPr="00DD1DFA">
        <w:rPr>
          <w:noProof/>
        </w:rPr>
        <w:t xml:space="preserve"> z</w:t>
      </w:r>
      <w:r w:rsidR="00DD1DFA">
        <w:rPr>
          <w:noProof/>
        </w:rPr>
        <w:t> </w:t>
      </w:r>
      <w:r w:rsidR="00DD1DFA" w:rsidRPr="00DD1DFA">
        <w:rPr>
          <w:noProof/>
        </w:rPr>
        <w:t>nin</w:t>
      </w:r>
      <w:r w:rsidR="00AA4211" w:rsidRPr="00DD1DFA">
        <w:rPr>
          <w:noProof/>
        </w:rPr>
        <w:t>iejszego artykułu na podstawie art.</w:t>
      </w:r>
      <w:r w:rsidR="00DD1DFA" w:rsidRPr="00DD1DFA">
        <w:rPr>
          <w:noProof/>
        </w:rPr>
        <w:t> </w:t>
      </w:r>
      <w:r w:rsidR="00AA4211" w:rsidRPr="00DD1DFA">
        <w:rPr>
          <w:noProof/>
        </w:rPr>
        <w:t>26, zdecyduje się na zastosowanie niniejszego rozporządzenia do nowych wyrobów.</w:t>
      </w:r>
    </w:p>
    <w:p w14:paraId="6AD8D0CD" w14:textId="6675E8CB" w:rsidR="00AA4211" w:rsidRPr="00DD1DFA" w:rsidRDefault="005F7EFA" w:rsidP="005F7EFA">
      <w:pPr>
        <w:pStyle w:val="ManualNumPar1"/>
        <w:rPr>
          <w:noProof/>
        </w:rPr>
      </w:pPr>
      <w:r w:rsidRPr="005F7EFA">
        <w:t>4.</w:t>
      </w:r>
      <w:r w:rsidRPr="005F7EFA">
        <w:tab/>
      </w:r>
      <w:r w:rsidR="00AA4211" w:rsidRPr="00DD1DFA">
        <w:rPr>
          <w:noProof/>
        </w:rPr>
        <w:t>W celu sprecyzowania obowiązków określonych</w:t>
      </w:r>
      <w:r w:rsidR="00DD1DFA" w:rsidRPr="00DD1DFA">
        <w:rPr>
          <w:noProof/>
        </w:rPr>
        <w:t xml:space="preserve"> w</w:t>
      </w:r>
      <w:r w:rsidR="00DD1DFA">
        <w:rPr>
          <w:noProof/>
        </w:rPr>
        <w:t> </w:t>
      </w:r>
      <w:r w:rsidR="00DD1DFA" w:rsidRPr="00DD1DFA">
        <w:rPr>
          <w:noProof/>
        </w:rPr>
        <w:t>ust</w:t>
      </w:r>
      <w:r w:rsidR="00AA4211" w:rsidRPr="00DD1DFA">
        <w:rPr>
          <w:noProof/>
        </w:rPr>
        <w:t>.</w:t>
      </w:r>
      <w:r w:rsidR="00DD1DFA" w:rsidRPr="00DD1DFA">
        <w:rPr>
          <w:noProof/>
        </w:rPr>
        <w:t> </w:t>
      </w:r>
      <w:r w:rsidR="00AA4211" w:rsidRPr="00DD1DFA">
        <w:rPr>
          <w:noProof/>
        </w:rPr>
        <w:t>2 Komisja jest uprawniona do uzupełnienia niniejszego rozporządzenia</w:t>
      </w:r>
      <w:r w:rsidR="00DD1DFA" w:rsidRPr="00DD1DFA">
        <w:rPr>
          <w:noProof/>
        </w:rPr>
        <w:t xml:space="preserve"> w</w:t>
      </w:r>
      <w:r w:rsidR="00DD1DFA">
        <w:rPr>
          <w:noProof/>
        </w:rPr>
        <w:t> </w:t>
      </w:r>
      <w:r w:rsidR="00DD1DFA" w:rsidRPr="00DD1DFA">
        <w:rPr>
          <w:noProof/>
        </w:rPr>
        <w:t>dro</w:t>
      </w:r>
      <w:r w:rsidR="00AA4211" w:rsidRPr="00DD1DFA">
        <w:rPr>
          <w:noProof/>
        </w:rPr>
        <w:t>dze aktów delegowanych zgodnie</w:t>
      </w:r>
      <w:r w:rsidR="00DD1DFA" w:rsidRPr="00DD1DFA">
        <w:rPr>
          <w:noProof/>
        </w:rPr>
        <w:t xml:space="preserve"> z</w:t>
      </w:r>
      <w:r w:rsidR="00DD1DFA">
        <w:rPr>
          <w:noProof/>
        </w:rPr>
        <w:t> </w:t>
      </w:r>
      <w:r w:rsidR="00DD1DFA" w:rsidRPr="00DD1DFA">
        <w:rPr>
          <w:noProof/>
        </w:rPr>
        <w:t>art</w:t>
      </w:r>
      <w:r w:rsidR="00AA4211" w:rsidRPr="00DD1DFA">
        <w:rPr>
          <w:noProof/>
        </w:rPr>
        <w:t>.</w:t>
      </w:r>
      <w:r w:rsidR="00DD1DFA" w:rsidRPr="00DD1DFA">
        <w:rPr>
          <w:noProof/>
        </w:rPr>
        <w:t> </w:t>
      </w:r>
      <w:r w:rsidR="00AA4211" w:rsidRPr="00DD1DFA">
        <w:rPr>
          <w:noProof/>
        </w:rPr>
        <w:t>87 poprzez określenie wspomnianych obowiązków</w:t>
      </w:r>
      <w:r w:rsidR="00DD1DFA" w:rsidRPr="00DD1DFA">
        <w:rPr>
          <w:noProof/>
        </w:rPr>
        <w:t xml:space="preserve"> w</w:t>
      </w:r>
      <w:r w:rsidR="00DD1DFA">
        <w:rPr>
          <w:noProof/>
        </w:rPr>
        <w:t> </w:t>
      </w:r>
      <w:r w:rsidR="00DD1DFA" w:rsidRPr="00DD1DFA">
        <w:rPr>
          <w:noProof/>
        </w:rPr>
        <w:t>odn</w:t>
      </w:r>
      <w:r w:rsidR="00AA4211" w:rsidRPr="00DD1DFA">
        <w:rPr>
          <w:noProof/>
        </w:rPr>
        <w:t>iesieniu do poszczególnych rodzin</w:t>
      </w:r>
      <w:r w:rsidR="00DD1DFA" w:rsidRPr="00DD1DFA">
        <w:rPr>
          <w:noProof/>
        </w:rPr>
        <w:t xml:space="preserve"> i</w:t>
      </w:r>
      <w:r w:rsidR="00DD1DFA">
        <w:rPr>
          <w:noProof/>
        </w:rPr>
        <w:t> </w:t>
      </w:r>
      <w:r w:rsidR="00DD1DFA" w:rsidRPr="00DD1DFA">
        <w:rPr>
          <w:noProof/>
        </w:rPr>
        <w:t>kat</w:t>
      </w:r>
      <w:r w:rsidR="00AA4211" w:rsidRPr="00DD1DFA">
        <w:rPr>
          <w:noProof/>
        </w:rPr>
        <w:t xml:space="preserve">egorii wyrobów. </w:t>
      </w:r>
      <w:bookmarkEnd w:id="1"/>
      <w:r w:rsidR="00AA4211" w:rsidRPr="00DD1DFA">
        <w:rPr>
          <w:noProof/>
        </w:rPr>
        <w:t>Komisja może ewentualnie wystawiać zlecenia normalizacji, których celem jest opracowanie norm zharmonizowanych zapewniających domniemanie zgodności ze zobowiązaniami wynikającymi</w:t>
      </w:r>
      <w:r w:rsidR="00DD1DFA" w:rsidRPr="00DD1DFA">
        <w:rPr>
          <w:noProof/>
        </w:rPr>
        <w:t xml:space="preserve"> z</w:t>
      </w:r>
      <w:r w:rsidR="00DD1DFA">
        <w:rPr>
          <w:noProof/>
        </w:rPr>
        <w:t> </w:t>
      </w:r>
      <w:r w:rsidR="00DD1DFA" w:rsidRPr="00DD1DFA">
        <w:rPr>
          <w:noProof/>
        </w:rPr>
        <w:t>ust</w:t>
      </w:r>
      <w:r w:rsidR="00AA4211" w:rsidRPr="00DD1DFA">
        <w:rPr>
          <w:noProof/>
        </w:rPr>
        <w:t>.</w:t>
      </w:r>
      <w:r w:rsidR="00DD1DFA" w:rsidRPr="00DD1DFA">
        <w:rPr>
          <w:noProof/>
        </w:rPr>
        <w:t> </w:t>
      </w:r>
      <w:r w:rsidR="00AA4211" w:rsidRPr="00DD1DFA">
        <w:rPr>
          <w:noProof/>
        </w:rPr>
        <w:t>2 dla określonej rodziny lub kategorii wyrobów. Obowiązki zawarte</w:t>
      </w:r>
      <w:r w:rsidR="00DD1DFA" w:rsidRPr="00DD1DFA">
        <w:rPr>
          <w:noProof/>
        </w:rPr>
        <w:t xml:space="preserve"> w</w:t>
      </w:r>
      <w:r w:rsidR="00DD1DFA">
        <w:rPr>
          <w:noProof/>
        </w:rPr>
        <w:t> </w:t>
      </w:r>
      <w:r w:rsidR="00DD1DFA" w:rsidRPr="00DD1DFA">
        <w:rPr>
          <w:noProof/>
        </w:rPr>
        <w:t>ust</w:t>
      </w:r>
      <w:r w:rsidR="00AA4211" w:rsidRPr="00DD1DFA">
        <w:rPr>
          <w:noProof/>
        </w:rPr>
        <w:t>.</w:t>
      </w:r>
      <w:r w:rsidR="00DD1DFA" w:rsidRPr="00DD1DFA">
        <w:rPr>
          <w:noProof/>
        </w:rPr>
        <w:t> </w:t>
      </w:r>
      <w:r w:rsidR="00AA4211" w:rsidRPr="00DD1DFA">
        <w:rPr>
          <w:noProof/>
        </w:rPr>
        <w:t>2 nie mają zastosowania przed rozpoczęciem stosowania takiego aktu delegowanego lub normy zharmonizowanej.</w:t>
      </w:r>
    </w:p>
    <w:p w14:paraId="1ACF271C" w14:textId="002A0106" w:rsidR="00AA4211" w:rsidRPr="00DD1DFA" w:rsidRDefault="005F7EFA" w:rsidP="005F7EFA">
      <w:pPr>
        <w:pStyle w:val="ManualNumPar1"/>
        <w:rPr>
          <w:noProof/>
          <w:color w:val="000000"/>
        </w:rPr>
      </w:pPr>
      <w:r w:rsidRPr="005F7EFA">
        <w:t>5.</w:t>
      </w:r>
      <w:r w:rsidRPr="005F7EFA">
        <w:tab/>
      </w:r>
      <w:r w:rsidR="00AA4211" w:rsidRPr="00DD1DFA">
        <w:rPr>
          <w:noProof/>
        </w:rPr>
        <w:t>Aby zapewnić użytkownikom przejrzystość</w:t>
      </w:r>
      <w:r w:rsidR="00DD1DFA" w:rsidRPr="00DD1DFA">
        <w:rPr>
          <w:noProof/>
        </w:rPr>
        <w:t xml:space="preserve"> i</w:t>
      </w:r>
      <w:r w:rsidR="00DD1DFA">
        <w:rPr>
          <w:noProof/>
        </w:rPr>
        <w:t> </w:t>
      </w:r>
      <w:r w:rsidR="00DD1DFA" w:rsidRPr="00DD1DFA">
        <w:rPr>
          <w:noProof/>
        </w:rPr>
        <w:t>pro</w:t>
      </w:r>
      <w:r w:rsidR="00AA4211" w:rsidRPr="00DD1DFA">
        <w:rPr>
          <w:noProof/>
        </w:rPr>
        <w:t>mować zrównoważone produkty, Komisja jest uprawniona do uzupełnienia niniejszego rozporządzenia</w:t>
      </w:r>
      <w:r w:rsidR="00DD1DFA" w:rsidRPr="00DD1DFA">
        <w:rPr>
          <w:noProof/>
        </w:rPr>
        <w:t xml:space="preserve"> w</w:t>
      </w:r>
      <w:r w:rsidR="00DD1DFA">
        <w:rPr>
          <w:noProof/>
        </w:rPr>
        <w:t> </w:t>
      </w:r>
      <w:r w:rsidR="00DD1DFA" w:rsidRPr="00DD1DFA">
        <w:rPr>
          <w:noProof/>
        </w:rPr>
        <w:t>dro</w:t>
      </w:r>
      <w:r w:rsidR="00AA4211" w:rsidRPr="00DD1DFA">
        <w:rPr>
          <w:noProof/>
        </w:rPr>
        <w:t>dze aktów delegowanych przyjętych na podstawie art.</w:t>
      </w:r>
      <w:r w:rsidR="00DD1DFA" w:rsidRPr="00DD1DFA">
        <w:rPr>
          <w:noProof/>
        </w:rPr>
        <w:t> </w:t>
      </w:r>
      <w:r w:rsidR="00AA4211" w:rsidRPr="00DD1DFA">
        <w:rPr>
          <w:noProof/>
        </w:rPr>
        <w:t>87</w:t>
      </w:r>
      <w:r w:rsidR="00DD1DFA" w:rsidRPr="00DD1DFA">
        <w:rPr>
          <w:noProof/>
        </w:rPr>
        <w:t xml:space="preserve"> w</w:t>
      </w:r>
      <w:r w:rsidR="00DD1DFA">
        <w:rPr>
          <w:noProof/>
        </w:rPr>
        <w:t> </w:t>
      </w:r>
      <w:r w:rsidR="00DD1DFA" w:rsidRPr="00DD1DFA">
        <w:rPr>
          <w:noProof/>
        </w:rPr>
        <w:t>cel</w:t>
      </w:r>
      <w:r w:rsidR="00AA4211" w:rsidRPr="00DD1DFA">
        <w:rPr>
          <w:noProof/>
        </w:rPr>
        <w:t>u ustanowienia szczegółowych wymogów dotyczących etykietowania</w:t>
      </w:r>
      <w:r w:rsidR="00DD1DFA" w:rsidRPr="00DD1DFA">
        <w:rPr>
          <w:noProof/>
        </w:rPr>
        <w:t xml:space="preserve"> w</w:t>
      </w:r>
      <w:r w:rsidR="00DD1DFA">
        <w:rPr>
          <w:noProof/>
        </w:rPr>
        <w:t> </w:t>
      </w:r>
      <w:r w:rsidR="00DD1DFA" w:rsidRPr="00DD1DFA">
        <w:rPr>
          <w:noProof/>
        </w:rPr>
        <w:t>zak</w:t>
      </w:r>
      <w:r w:rsidR="00AA4211" w:rsidRPr="00DD1DFA">
        <w:rPr>
          <w:noProof/>
        </w:rPr>
        <w:t>resie zrównoważenia środowiskowego,</w:t>
      </w:r>
      <w:r w:rsidR="00DD1DFA" w:rsidRPr="00DD1DFA">
        <w:rPr>
          <w:noProof/>
        </w:rPr>
        <w:t xml:space="preserve"> w</w:t>
      </w:r>
      <w:r w:rsidR="00DD1DFA">
        <w:rPr>
          <w:noProof/>
        </w:rPr>
        <w:t> </w:t>
      </w:r>
      <w:r w:rsidR="00DD1DFA" w:rsidRPr="00DD1DFA">
        <w:rPr>
          <w:noProof/>
        </w:rPr>
        <w:t>tym</w:t>
      </w:r>
      <w:r w:rsidR="00AA4211" w:rsidRPr="00DD1DFA">
        <w:rPr>
          <w:noProof/>
        </w:rPr>
        <w:t xml:space="preserve"> etykietowania</w:t>
      </w:r>
      <w:r w:rsidR="00DD1DFA" w:rsidRPr="00DD1DFA">
        <w:rPr>
          <w:noProof/>
        </w:rPr>
        <w:t xml:space="preserve"> w</w:t>
      </w:r>
      <w:r w:rsidR="00DD1DFA">
        <w:rPr>
          <w:noProof/>
        </w:rPr>
        <w:t> </w:t>
      </w:r>
      <w:r w:rsidR="00DD1DFA" w:rsidRPr="00DD1DFA">
        <w:rPr>
          <w:noProof/>
        </w:rPr>
        <w:t>for</w:t>
      </w:r>
      <w:r w:rsidR="00AA4211" w:rsidRPr="00DD1DFA">
        <w:rPr>
          <w:noProof/>
        </w:rPr>
        <w:t>mie „sygnalizacji świetlnej”</w:t>
      </w:r>
      <w:r w:rsidR="00DD1DFA" w:rsidRPr="00DD1DFA">
        <w:rPr>
          <w:noProof/>
        </w:rPr>
        <w:t xml:space="preserve"> w</w:t>
      </w:r>
      <w:r w:rsidR="00DD1DFA">
        <w:rPr>
          <w:noProof/>
        </w:rPr>
        <w:t> </w:t>
      </w:r>
      <w:r w:rsidR="00DD1DFA" w:rsidRPr="00DD1DFA">
        <w:rPr>
          <w:noProof/>
        </w:rPr>
        <w:t>odn</w:t>
      </w:r>
      <w:r w:rsidR="00AA4211" w:rsidRPr="00DD1DFA">
        <w:rPr>
          <w:noProof/>
        </w:rPr>
        <w:t xml:space="preserve">iesieniu do </w:t>
      </w:r>
      <w:r w:rsidR="00AA4211" w:rsidRPr="00DD1DFA">
        <w:rPr>
          <w:noProof/>
          <w:color w:val="000000"/>
        </w:rPr>
        <w:t>obowiązków</w:t>
      </w:r>
      <w:r w:rsidR="00DD1DFA" w:rsidRPr="00DD1DFA">
        <w:rPr>
          <w:noProof/>
          <w:color w:val="000000"/>
        </w:rPr>
        <w:t xml:space="preserve"> w</w:t>
      </w:r>
      <w:r w:rsidR="00DD1DFA">
        <w:rPr>
          <w:noProof/>
          <w:color w:val="000000"/>
        </w:rPr>
        <w:t> </w:t>
      </w:r>
      <w:r w:rsidR="00DD1DFA" w:rsidRPr="00DD1DFA">
        <w:rPr>
          <w:noProof/>
          <w:color w:val="000000"/>
        </w:rPr>
        <w:t>zak</w:t>
      </w:r>
      <w:r w:rsidR="00AA4211" w:rsidRPr="00DD1DFA">
        <w:rPr>
          <w:noProof/>
          <w:color w:val="000000"/>
        </w:rPr>
        <w:t xml:space="preserve">resie ochrony środowiska naturalnego </w:t>
      </w:r>
      <w:r w:rsidR="00AA4211" w:rsidRPr="00DD1DFA">
        <w:rPr>
          <w:noProof/>
        </w:rPr>
        <w:t>określonych</w:t>
      </w:r>
      <w:r w:rsidR="00DD1DFA" w:rsidRPr="00DD1DFA">
        <w:rPr>
          <w:noProof/>
        </w:rPr>
        <w:t xml:space="preserve"> w</w:t>
      </w:r>
      <w:r w:rsidR="00DD1DFA">
        <w:rPr>
          <w:noProof/>
        </w:rPr>
        <w:t> </w:t>
      </w:r>
      <w:r w:rsidR="00DD1DFA" w:rsidRPr="00DD1DFA">
        <w:rPr>
          <w:noProof/>
        </w:rPr>
        <w:t>ust</w:t>
      </w:r>
      <w:r w:rsidR="00AA4211" w:rsidRPr="00DD1DFA">
        <w:rPr>
          <w:noProof/>
        </w:rPr>
        <w:t>.</w:t>
      </w:r>
      <w:r w:rsidR="00DD1DFA" w:rsidRPr="00DD1DFA">
        <w:rPr>
          <w:noProof/>
        </w:rPr>
        <w:t> </w:t>
      </w:r>
      <w:r w:rsidR="00AA4211" w:rsidRPr="00DD1DFA">
        <w:rPr>
          <w:noProof/>
        </w:rPr>
        <w:t>1, wymogów środowiskowych nieodłącznie związanych</w:t>
      </w:r>
      <w:r w:rsidR="00DD1DFA" w:rsidRPr="00DD1DFA">
        <w:rPr>
          <w:noProof/>
        </w:rPr>
        <w:t xml:space="preserve"> z</w:t>
      </w:r>
      <w:r w:rsidR="00DD1DFA">
        <w:rPr>
          <w:noProof/>
        </w:rPr>
        <w:t> </w:t>
      </w:r>
      <w:r w:rsidR="00DD1DFA" w:rsidRPr="00DD1DFA">
        <w:rPr>
          <w:noProof/>
        </w:rPr>
        <w:t>wyr</w:t>
      </w:r>
      <w:r w:rsidR="00AA4211" w:rsidRPr="00DD1DFA">
        <w:rPr>
          <w:noProof/>
        </w:rPr>
        <w:t>obem, które określono</w:t>
      </w:r>
      <w:r w:rsidR="00DD1DFA" w:rsidRPr="00DD1DFA">
        <w:rPr>
          <w:noProof/>
        </w:rPr>
        <w:t xml:space="preserve"> w</w:t>
      </w:r>
      <w:r w:rsidR="00DD1DFA">
        <w:rPr>
          <w:noProof/>
        </w:rPr>
        <w:t> </w:t>
      </w:r>
      <w:r w:rsidR="00DD1DFA" w:rsidRPr="00DD1DFA">
        <w:rPr>
          <w:noProof/>
        </w:rPr>
        <w:t>zał</w:t>
      </w:r>
      <w:r w:rsidR="00AA4211" w:rsidRPr="00DD1DFA">
        <w:rPr>
          <w:noProof/>
        </w:rPr>
        <w:t>ączniku I część C pkt</w:t>
      </w:r>
      <w:r w:rsidR="00DD1DFA" w:rsidRPr="00DD1DFA">
        <w:rPr>
          <w:noProof/>
        </w:rPr>
        <w:t> </w:t>
      </w:r>
      <w:r w:rsidR="00AA4211" w:rsidRPr="00DD1DFA">
        <w:rPr>
          <w:noProof/>
        </w:rPr>
        <w:t>2, oraz klas efektywności środowiskowej ustanowionych zgodnie</w:t>
      </w:r>
      <w:r w:rsidR="00DD1DFA" w:rsidRPr="00DD1DFA">
        <w:rPr>
          <w:noProof/>
        </w:rPr>
        <w:t xml:space="preserve"> z</w:t>
      </w:r>
      <w:r w:rsidR="00DD1DFA">
        <w:rPr>
          <w:noProof/>
        </w:rPr>
        <w:t> </w:t>
      </w:r>
      <w:r w:rsidR="00DD1DFA" w:rsidRPr="00DD1DFA">
        <w:rPr>
          <w:noProof/>
        </w:rPr>
        <w:t>art</w:t>
      </w:r>
      <w:r w:rsidR="00AA4211" w:rsidRPr="00DD1DFA">
        <w:rPr>
          <w:noProof/>
        </w:rPr>
        <w:t>.</w:t>
      </w:r>
      <w:r w:rsidR="00DD1DFA" w:rsidRPr="00DD1DFA">
        <w:rPr>
          <w:noProof/>
        </w:rPr>
        <w:t> </w:t>
      </w:r>
      <w:r w:rsidR="00AA4211" w:rsidRPr="00DD1DFA">
        <w:rPr>
          <w:noProof/>
        </w:rPr>
        <w:t>4 ust.</w:t>
      </w:r>
      <w:r w:rsidR="00DD1DFA" w:rsidRPr="00DD1DFA">
        <w:rPr>
          <w:noProof/>
        </w:rPr>
        <w:t> </w:t>
      </w:r>
      <w:r w:rsidR="00AA4211" w:rsidRPr="00DD1DFA">
        <w:rPr>
          <w:noProof/>
        </w:rPr>
        <w:t>4 lit.</w:t>
      </w:r>
      <w:r w:rsidR="00DD1DFA" w:rsidRPr="00DD1DFA">
        <w:rPr>
          <w:noProof/>
        </w:rPr>
        <w:t> </w:t>
      </w:r>
      <w:r w:rsidR="00AA4211" w:rsidRPr="00DD1DFA">
        <w:rPr>
          <w:noProof/>
        </w:rPr>
        <w:t>a).</w:t>
      </w:r>
    </w:p>
    <w:p w14:paraId="181C2089" w14:textId="58B3AE13" w:rsidR="00BC1E12" w:rsidRPr="00DD1DFA" w:rsidRDefault="005F7EFA" w:rsidP="005F7EFA">
      <w:pPr>
        <w:pStyle w:val="ManualNumPar1"/>
        <w:rPr>
          <w:noProof/>
          <w:szCs w:val="24"/>
        </w:rPr>
      </w:pPr>
      <w:r w:rsidRPr="005F7EFA">
        <w:t>6.</w:t>
      </w:r>
      <w:r w:rsidRPr="005F7EFA">
        <w:tab/>
      </w:r>
      <w:r w:rsidR="00AA4211" w:rsidRPr="00DD1DFA">
        <w:rPr>
          <w:noProof/>
        </w:rPr>
        <w:t>Producent umieszcza etykietę</w:t>
      </w:r>
      <w:r w:rsidR="00DD1DFA" w:rsidRPr="00DD1DFA">
        <w:rPr>
          <w:noProof/>
        </w:rPr>
        <w:t xml:space="preserve"> w</w:t>
      </w:r>
      <w:r w:rsidR="00DD1DFA">
        <w:rPr>
          <w:noProof/>
        </w:rPr>
        <w:t> </w:t>
      </w:r>
      <w:r w:rsidR="00DD1DFA" w:rsidRPr="00DD1DFA">
        <w:rPr>
          <w:noProof/>
        </w:rPr>
        <w:t>for</w:t>
      </w:r>
      <w:r w:rsidR="00AA4211" w:rsidRPr="00DD1DFA">
        <w:rPr>
          <w:noProof/>
        </w:rPr>
        <w:t>mie sygnalizacji świetlnej zgodnie ze sposobem określonym</w:t>
      </w:r>
      <w:r w:rsidR="00DD1DFA" w:rsidRPr="00DD1DFA">
        <w:rPr>
          <w:noProof/>
        </w:rPr>
        <w:t xml:space="preserve"> w</w:t>
      </w:r>
      <w:r w:rsidR="00DD1DFA">
        <w:rPr>
          <w:noProof/>
        </w:rPr>
        <w:t> </w:t>
      </w:r>
      <w:r w:rsidR="00DD1DFA" w:rsidRPr="00DD1DFA">
        <w:rPr>
          <w:noProof/>
        </w:rPr>
        <w:t>akt</w:t>
      </w:r>
      <w:r w:rsidR="00AA4211" w:rsidRPr="00DD1DFA">
        <w:rPr>
          <w:noProof/>
        </w:rPr>
        <w:t>ach delegowanych przyjętych na podstawie ust.</w:t>
      </w:r>
      <w:r w:rsidR="00DD1DFA" w:rsidRPr="00DD1DFA">
        <w:rPr>
          <w:noProof/>
        </w:rPr>
        <w:t> </w:t>
      </w:r>
      <w:r w:rsidR="00AA4211" w:rsidRPr="00DD1DFA">
        <w:rPr>
          <w:noProof/>
        </w:rPr>
        <w:t>5.</w:t>
      </w:r>
    </w:p>
    <w:p w14:paraId="0A18E690" w14:textId="77777777" w:rsidR="00BC1E12" w:rsidRPr="00DD1DFA" w:rsidRDefault="005979EE" w:rsidP="003C5EAF">
      <w:pPr>
        <w:pStyle w:val="Titrearticle"/>
        <w:rPr>
          <w:noProof/>
        </w:rPr>
      </w:pPr>
      <w:r w:rsidRPr="00DD1DFA">
        <w:rPr>
          <w:noProof/>
        </w:rPr>
        <w:t>Artykuł 23</w:t>
      </w:r>
    </w:p>
    <w:p w14:paraId="7851DE07" w14:textId="77777777" w:rsidR="00BC1E12" w:rsidRPr="00DD1DFA" w:rsidRDefault="00522CC6" w:rsidP="003C5EAF">
      <w:pPr>
        <w:pStyle w:val="Titrearticle"/>
        <w:rPr>
          <w:b/>
          <w:bCs/>
          <w:noProof/>
        </w:rPr>
      </w:pPr>
      <w:r w:rsidRPr="00DD1DFA">
        <w:rPr>
          <w:b/>
          <w:bCs/>
          <w:noProof/>
        </w:rPr>
        <w:t>Obowiązki upoważnionych przedstawicieli</w:t>
      </w:r>
    </w:p>
    <w:p w14:paraId="77BFA9D3" w14:textId="7C8D6DA1" w:rsidR="00BC1E12" w:rsidRPr="00DD1DFA" w:rsidRDefault="005F7EFA" w:rsidP="005F7EFA">
      <w:pPr>
        <w:pStyle w:val="ManualNumPar1"/>
        <w:rPr>
          <w:noProof/>
        </w:rPr>
      </w:pPr>
      <w:r w:rsidRPr="005F7EFA">
        <w:t>1.</w:t>
      </w:r>
      <w:r w:rsidRPr="005F7EFA">
        <w:tab/>
      </w:r>
      <w:r w:rsidR="00816544" w:rsidRPr="00DD1DFA">
        <w:rPr>
          <w:noProof/>
        </w:rPr>
        <w:t>Na podstawie pisemnego pełnomocnictwa producent może wyznaczyć dowolną osobę fizyczną lub prawną mającą siedzibę</w:t>
      </w:r>
      <w:r w:rsidR="00DD1DFA" w:rsidRPr="00DD1DFA">
        <w:rPr>
          <w:noProof/>
        </w:rPr>
        <w:t xml:space="preserve"> w</w:t>
      </w:r>
      <w:r w:rsidR="00DD1DFA">
        <w:rPr>
          <w:noProof/>
        </w:rPr>
        <w:t> </w:t>
      </w:r>
      <w:r w:rsidR="00DD1DFA" w:rsidRPr="00DD1DFA">
        <w:rPr>
          <w:noProof/>
        </w:rPr>
        <w:t>Uni</w:t>
      </w:r>
      <w:r w:rsidR="00816544" w:rsidRPr="00DD1DFA">
        <w:rPr>
          <w:noProof/>
        </w:rPr>
        <w:t>i jako jednego upoważnionego przedstawiciela. Producent niemający siedziby</w:t>
      </w:r>
      <w:r w:rsidR="00DD1DFA" w:rsidRPr="00DD1DFA">
        <w:rPr>
          <w:noProof/>
        </w:rPr>
        <w:t xml:space="preserve"> w</w:t>
      </w:r>
      <w:r w:rsidR="00DD1DFA">
        <w:rPr>
          <w:noProof/>
        </w:rPr>
        <w:t> </w:t>
      </w:r>
      <w:r w:rsidR="00DD1DFA" w:rsidRPr="00DD1DFA">
        <w:rPr>
          <w:noProof/>
        </w:rPr>
        <w:t>Uni</w:t>
      </w:r>
      <w:r w:rsidR="00816544" w:rsidRPr="00DD1DFA">
        <w:rPr>
          <w:noProof/>
        </w:rPr>
        <w:t>i wyznacza jednego upoważnionego przedstawiciela.</w:t>
      </w:r>
    </w:p>
    <w:p w14:paraId="0EE30A74" w14:textId="34856556" w:rsidR="00BC1E12" w:rsidRPr="00DD1DFA" w:rsidRDefault="005F7EFA" w:rsidP="005F7EFA">
      <w:pPr>
        <w:pStyle w:val="ManualNumPar1"/>
        <w:rPr>
          <w:noProof/>
        </w:rPr>
      </w:pPr>
      <w:r w:rsidRPr="005F7EFA">
        <w:t>2.</w:t>
      </w:r>
      <w:r w:rsidRPr="005F7EFA">
        <w:tab/>
      </w:r>
      <w:r w:rsidR="00816544" w:rsidRPr="00DD1DFA">
        <w:rPr>
          <w:iCs/>
          <w:noProof/>
        </w:rPr>
        <w:t xml:space="preserve">Upoważnieni przedstawiciele </w:t>
      </w:r>
      <w:r w:rsidR="00816544" w:rsidRPr="00DD1DFA">
        <w:rPr>
          <w:noProof/>
        </w:rPr>
        <w:t>działają</w:t>
      </w:r>
      <w:r w:rsidR="00DD1DFA" w:rsidRPr="00DD1DFA">
        <w:rPr>
          <w:noProof/>
        </w:rPr>
        <w:t xml:space="preserve"> z</w:t>
      </w:r>
      <w:r w:rsidR="00DD1DFA">
        <w:rPr>
          <w:noProof/>
        </w:rPr>
        <w:t> </w:t>
      </w:r>
      <w:r w:rsidR="00DD1DFA" w:rsidRPr="00DD1DFA">
        <w:rPr>
          <w:noProof/>
        </w:rPr>
        <w:t>nal</w:t>
      </w:r>
      <w:r w:rsidR="00816544" w:rsidRPr="00DD1DFA">
        <w:rPr>
          <w:noProof/>
        </w:rPr>
        <w:t>eżytą starannością</w:t>
      </w:r>
      <w:r w:rsidR="00DD1DFA" w:rsidRPr="00DD1DFA">
        <w:rPr>
          <w:noProof/>
        </w:rPr>
        <w:t xml:space="preserve"> w</w:t>
      </w:r>
      <w:r w:rsidR="00DD1DFA">
        <w:rPr>
          <w:noProof/>
        </w:rPr>
        <w:t> </w:t>
      </w:r>
      <w:r w:rsidR="00DD1DFA" w:rsidRPr="00DD1DFA">
        <w:rPr>
          <w:noProof/>
        </w:rPr>
        <w:t>odn</w:t>
      </w:r>
      <w:r w:rsidR="00816544" w:rsidRPr="00DD1DFA">
        <w:rPr>
          <w:noProof/>
        </w:rPr>
        <w:t>iesieniu do wymagań niniejszego rozporządzenia. Ponoszą oni odpowiedzialność za rażące niedbalstwo lub świadome naruszenie niniejszego artykułu</w:t>
      </w:r>
      <w:r w:rsidR="00DD1DFA" w:rsidRPr="00DD1DFA">
        <w:rPr>
          <w:noProof/>
        </w:rPr>
        <w:t xml:space="preserve"> i</w:t>
      </w:r>
      <w:r w:rsidR="00DD1DFA">
        <w:rPr>
          <w:noProof/>
        </w:rPr>
        <w:t> </w:t>
      </w:r>
      <w:r w:rsidR="00DD1DFA" w:rsidRPr="00DD1DFA">
        <w:rPr>
          <w:noProof/>
        </w:rPr>
        <w:t>art</w:t>
      </w:r>
      <w:r w:rsidR="00816544" w:rsidRPr="00DD1DFA">
        <w:rPr>
          <w:noProof/>
        </w:rPr>
        <w:t>.</w:t>
      </w:r>
      <w:r w:rsidR="00DD1DFA" w:rsidRPr="00DD1DFA">
        <w:rPr>
          <w:noProof/>
        </w:rPr>
        <w:t> </w:t>
      </w:r>
      <w:r w:rsidR="00816544" w:rsidRPr="00DD1DFA">
        <w:rPr>
          <w:noProof/>
        </w:rPr>
        <w:t>19 zgodnie</w:t>
      </w:r>
      <w:r w:rsidR="00DD1DFA" w:rsidRPr="00DD1DFA">
        <w:rPr>
          <w:noProof/>
        </w:rPr>
        <w:t xml:space="preserve"> z</w:t>
      </w:r>
      <w:r w:rsidR="00DD1DFA">
        <w:rPr>
          <w:noProof/>
        </w:rPr>
        <w:t> </w:t>
      </w:r>
      <w:r w:rsidR="00DD1DFA" w:rsidRPr="00DD1DFA">
        <w:rPr>
          <w:noProof/>
        </w:rPr>
        <w:t>kra</w:t>
      </w:r>
      <w:r w:rsidR="00816544" w:rsidRPr="00DD1DFA">
        <w:rPr>
          <w:noProof/>
        </w:rPr>
        <w:t>jowymi przepisami dotyczącymi odpowiedzialności umownej</w:t>
      </w:r>
      <w:r w:rsidR="00DD1DFA" w:rsidRPr="00DD1DFA">
        <w:rPr>
          <w:noProof/>
        </w:rPr>
        <w:t xml:space="preserve"> i</w:t>
      </w:r>
      <w:r w:rsidR="00DD1DFA">
        <w:rPr>
          <w:noProof/>
        </w:rPr>
        <w:t> </w:t>
      </w:r>
      <w:r w:rsidR="00DD1DFA" w:rsidRPr="00DD1DFA">
        <w:rPr>
          <w:noProof/>
        </w:rPr>
        <w:t>poz</w:t>
      </w:r>
      <w:r w:rsidR="00816544" w:rsidRPr="00DD1DFA">
        <w:rPr>
          <w:noProof/>
        </w:rPr>
        <w:t>aumownej</w:t>
      </w:r>
      <w:r w:rsidR="00816544" w:rsidRPr="00DD1DFA">
        <w:rPr>
          <w:iCs/>
          <w:noProof/>
        </w:rPr>
        <w:t>.</w:t>
      </w:r>
    </w:p>
    <w:p w14:paraId="3714AEED" w14:textId="5E4913B1" w:rsidR="00BC1E12" w:rsidRPr="00DD1DFA" w:rsidRDefault="005F7EFA" w:rsidP="005F7EFA">
      <w:pPr>
        <w:pStyle w:val="ManualNumPar1"/>
        <w:rPr>
          <w:noProof/>
        </w:rPr>
      </w:pPr>
      <w:r w:rsidRPr="005F7EFA">
        <w:t>3.</w:t>
      </w:r>
      <w:r w:rsidRPr="005F7EFA">
        <w:tab/>
      </w:r>
      <w:r w:rsidR="00816544" w:rsidRPr="00DD1DFA">
        <w:rPr>
          <w:noProof/>
        </w:rPr>
        <w:t>Upoważniony przedstawiciel wykonuje zadania określone</w:t>
      </w:r>
      <w:r w:rsidR="00DD1DFA" w:rsidRPr="00DD1DFA">
        <w:rPr>
          <w:noProof/>
        </w:rPr>
        <w:t xml:space="preserve"> w</w:t>
      </w:r>
      <w:r w:rsidR="00DD1DFA">
        <w:rPr>
          <w:noProof/>
        </w:rPr>
        <w:t> </w:t>
      </w:r>
      <w:r w:rsidR="00DD1DFA" w:rsidRPr="00DD1DFA">
        <w:rPr>
          <w:noProof/>
        </w:rPr>
        <w:t>upo</w:t>
      </w:r>
      <w:r w:rsidR="00816544" w:rsidRPr="00DD1DFA">
        <w:rPr>
          <w:noProof/>
        </w:rPr>
        <w:t>ważnieniu. Pełnomocnictwo umożliwia upoważnionemu przedstawicielowi wykonywanie co najmniej następujących zadań</w:t>
      </w:r>
      <w:r w:rsidR="00DD1DFA" w:rsidRPr="00DD1DFA">
        <w:rPr>
          <w:noProof/>
        </w:rPr>
        <w:t xml:space="preserve"> i</w:t>
      </w:r>
      <w:r w:rsidR="00DD1DFA">
        <w:rPr>
          <w:noProof/>
        </w:rPr>
        <w:t> </w:t>
      </w:r>
      <w:r w:rsidR="00DD1DFA" w:rsidRPr="00DD1DFA">
        <w:rPr>
          <w:noProof/>
        </w:rPr>
        <w:t>nad</w:t>
      </w:r>
      <w:r w:rsidR="00816544" w:rsidRPr="00DD1DFA">
        <w:rPr>
          <w:noProof/>
        </w:rPr>
        <w:t>aje mu następujące prawa:</w:t>
      </w:r>
    </w:p>
    <w:p w14:paraId="2F878913" w14:textId="588DA86E" w:rsidR="003C5EAF" w:rsidRPr="00DD1DFA" w:rsidRDefault="005A4BBC" w:rsidP="005A4BBC">
      <w:pPr>
        <w:pStyle w:val="Point1"/>
        <w:rPr>
          <w:noProof/>
        </w:rPr>
      </w:pPr>
      <w:r w:rsidRPr="005A4BBC">
        <w:rPr>
          <w:noProof/>
        </w:rPr>
        <w:t>a)</w:t>
      </w:r>
      <w:r w:rsidRPr="005A4BBC">
        <w:rPr>
          <w:noProof/>
        </w:rPr>
        <w:tab/>
      </w:r>
      <w:r w:rsidR="00816544" w:rsidRPr="00DD1DFA">
        <w:rPr>
          <w:noProof/>
        </w:rPr>
        <w:t>przechowywanie deklaracji właściwości użytkowych</w:t>
      </w:r>
      <w:r w:rsidR="00DD1DFA" w:rsidRPr="00DD1DFA">
        <w:rPr>
          <w:noProof/>
        </w:rPr>
        <w:t xml:space="preserve"> i</w:t>
      </w:r>
      <w:r w:rsidR="00DD1DFA">
        <w:rPr>
          <w:noProof/>
        </w:rPr>
        <w:t> </w:t>
      </w:r>
      <w:r w:rsidR="00DD1DFA" w:rsidRPr="00DD1DFA">
        <w:rPr>
          <w:noProof/>
        </w:rPr>
        <w:t>dok</w:t>
      </w:r>
      <w:r w:rsidR="00816544" w:rsidRPr="00DD1DFA">
        <w:rPr>
          <w:noProof/>
        </w:rPr>
        <w:t>umentacji technicznej do dyspozycji krajowych organów nadzoru rynku;</w:t>
      </w:r>
    </w:p>
    <w:p w14:paraId="7DA2629C" w14:textId="3238355C" w:rsidR="003C5EAF" w:rsidRPr="00DD1DFA" w:rsidRDefault="005A4BBC" w:rsidP="005A4BBC">
      <w:pPr>
        <w:pStyle w:val="Point1"/>
        <w:rPr>
          <w:rFonts w:eastAsia="Times New Roman"/>
          <w:noProof/>
        </w:rPr>
      </w:pPr>
      <w:r w:rsidRPr="005A4BBC">
        <w:rPr>
          <w:noProof/>
        </w:rPr>
        <w:t>b)</w:t>
      </w:r>
      <w:r w:rsidRPr="005A4BBC">
        <w:rPr>
          <w:noProof/>
        </w:rPr>
        <w:tab/>
      </w:r>
      <w:r w:rsidR="00816544" w:rsidRPr="00DD1DFA">
        <w:rPr>
          <w:noProof/>
        </w:rPr>
        <w:t>na uzasadniony wniosek organów nadzoru rynku dostarczanie tym organom wszelkich informacji</w:t>
      </w:r>
      <w:r w:rsidR="00DD1DFA" w:rsidRPr="00DD1DFA">
        <w:rPr>
          <w:noProof/>
        </w:rPr>
        <w:t xml:space="preserve"> i</w:t>
      </w:r>
      <w:r w:rsidR="00DD1DFA">
        <w:rPr>
          <w:noProof/>
        </w:rPr>
        <w:t> </w:t>
      </w:r>
      <w:r w:rsidR="00DD1DFA" w:rsidRPr="00DD1DFA">
        <w:rPr>
          <w:noProof/>
        </w:rPr>
        <w:t>dok</w:t>
      </w:r>
      <w:r w:rsidR="00816544" w:rsidRPr="00DD1DFA">
        <w:rPr>
          <w:noProof/>
        </w:rPr>
        <w:t>umentacji, niezbędnych do wykazania zgodności danego wyrobu</w:t>
      </w:r>
      <w:r w:rsidR="00DD1DFA" w:rsidRPr="00DD1DFA">
        <w:rPr>
          <w:noProof/>
        </w:rPr>
        <w:t xml:space="preserve"> z</w:t>
      </w:r>
      <w:r w:rsidR="00DD1DFA">
        <w:rPr>
          <w:noProof/>
        </w:rPr>
        <w:t> </w:t>
      </w:r>
      <w:r w:rsidR="00DD1DFA" w:rsidRPr="00DD1DFA">
        <w:rPr>
          <w:noProof/>
        </w:rPr>
        <w:t>dek</w:t>
      </w:r>
      <w:r w:rsidR="00816544" w:rsidRPr="00DD1DFA">
        <w:rPr>
          <w:noProof/>
        </w:rPr>
        <w:t>laracją właściwości użytkowych</w:t>
      </w:r>
      <w:r w:rsidR="00DD1DFA" w:rsidRPr="00DD1DFA">
        <w:rPr>
          <w:noProof/>
        </w:rPr>
        <w:t xml:space="preserve"> i</w:t>
      </w:r>
      <w:r w:rsidR="00DD1DFA">
        <w:rPr>
          <w:noProof/>
        </w:rPr>
        <w:t> </w:t>
      </w:r>
      <w:r w:rsidR="00DD1DFA" w:rsidRPr="00DD1DFA">
        <w:rPr>
          <w:noProof/>
        </w:rPr>
        <w:t>z</w:t>
      </w:r>
      <w:r w:rsidR="00DD1DFA">
        <w:rPr>
          <w:noProof/>
        </w:rPr>
        <w:t> </w:t>
      </w:r>
      <w:r w:rsidR="00DD1DFA" w:rsidRPr="00DD1DFA">
        <w:rPr>
          <w:noProof/>
        </w:rPr>
        <w:t>inn</w:t>
      </w:r>
      <w:r w:rsidR="00816544" w:rsidRPr="00DD1DFA">
        <w:rPr>
          <w:noProof/>
        </w:rPr>
        <w:t>ymi mającymi zastosowanie wymaganiami określonymi</w:t>
      </w:r>
      <w:r w:rsidR="00DD1DFA" w:rsidRPr="00DD1DFA">
        <w:rPr>
          <w:noProof/>
        </w:rPr>
        <w:t xml:space="preserve"> w</w:t>
      </w:r>
      <w:r w:rsidR="00DD1DFA">
        <w:rPr>
          <w:noProof/>
        </w:rPr>
        <w:t> </w:t>
      </w:r>
      <w:r w:rsidR="00DD1DFA" w:rsidRPr="00DD1DFA">
        <w:rPr>
          <w:noProof/>
        </w:rPr>
        <w:t>nin</w:t>
      </w:r>
      <w:r w:rsidR="00816544" w:rsidRPr="00DD1DFA">
        <w:rPr>
          <w:noProof/>
        </w:rPr>
        <w:t>iejszym rozporządzeniu;</w:t>
      </w:r>
    </w:p>
    <w:p w14:paraId="59ADEA2A" w14:textId="4A2E5374" w:rsidR="003C5EAF" w:rsidRPr="00DD1DFA" w:rsidRDefault="005A4BBC" w:rsidP="005A4BBC">
      <w:pPr>
        <w:pStyle w:val="Point1"/>
        <w:rPr>
          <w:rFonts w:eastAsia="Times New Roman"/>
          <w:noProof/>
        </w:rPr>
      </w:pPr>
      <w:r w:rsidRPr="005A4BBC">
        <w:rPr>
          <w:noProof/>
        </w:rPr>
        <w:t>c)</w:t>
      </w:r>
      <w:r w:rsidRPr="005A4BBC">
        <w:rPr>
          <w:noProof/>
        </w:rPr>
        <w:tab/>
      </w:r>
      <w:r w:rsidR="00816544" w:rsidRPr="00DD1DFA">
        <w:rPr>
          <w:noProof/>
        </w:rPr>
        <w:t>rozwiązanie umowy</w:t>
      </w:r>
      <w:r w:rsidR="00DD1DFA" w:rsidRPr="00DD1DFA">
        <w:rPr>
          <w:noProof/>
        </w:rPr>
        <w:t xml:space="preserve"> w</w:t>
      </w:r>
      <w:r w:rsidR="00DD1DFA">
        <w:rPr>
          <w:noProof/>
        </w:rPr>
        <w:t> </w:t>
      </w:r>
      <w:r w:rsidR="00DD1DFA" w:rsidRPr="00DD1DFA">
        <w:rPr>
          <w:noProof/>
        </w:rPr>
        <w:t>prz</w:t>
      </w:r>
      <w:r w:rsidR="00816544" w:rsidRPr="00DD1DFA">
        <w:rPr>
          <w:noProof/>
        </w:rPr>
        <w:t>ypadku naruszenia przez producenta przepisów niniejszego rozporządzenia oraz poinformowanie</w:t>
      </w:r>
      <w:r w:rsidR="00DD1DFA" w:rsidRPr="00DD1DFA">
        <w:rPr>
          <w:noProof/>
        </w:rPr>
        <w:t xml:space="preserve"> o</w:t>
      </w:r>
      <w:r w:rsidR="00DD1DFA">
        <w:rPr>
          <w:noProof/>
        </w:rPr>
        <w:t> </w:t>
      </w:r>
      <w:r w:rsidR="00DD1DFA" w:rsidRPr="00DD1DFA">
        <w:rPr>
          <w:noProof/>
        </w:rPr>
        <w:t>tym</w:t>
      </w:r>
      <w:r w:rsidR="00816544" w:rsidRPr="00DD1DFA">
        <w:rPr>
          <w:noProof/>
        </w:rPr>
        <w:t xml:space="preserve"> fakcie właściwych organów krajowych państw członkowskich,</w:t>
      </w:r>
      <w:r w:rsidR="00DD1DFA" w:rsidRPr="00DD1DFA">
        <w:rPr>
          <w:noProof/>
        </w:rPr>
        <w:t xml:space="preserve"> w</w:t>
      </w:r>
      <w:r w:rsidR="00DD1DFA">
        <w:rPr>
          <w:noProof/>
        </w:rPr>
        <w:t> </w:t>
      </w:r>
      <w:r w:rsidR="00DD1DFA" w:rsidRPr="00DD1DFA">
        <w:rPr>
          <w:noProof/>
        </w:rPr>
        <w:t>któ</w:t>
      </w:r>
      <w:r w:rsidR="00816544" w:rsidRPr="00DD1DFA">
        <w:rPr>
          <w:noProof/>
        </w:rPr>
        <w:t>rych wyrób jest wprowadzony do obrotu, oraz właściwego organu krajowego miejsca prowadzenia działalności przedstawiciela;</w:t>
      </w:r>
    </w:p>
    <w:p w14:paraId="7FFD31E2" w14:textId="564773A5" w:rsidR="003C5EAF" w:rsidRPr="00DD1DFA" w:rsidRDefault="005A4BBC" w:rsidP="005A4BBC">
      <w:pPr>
        <w:pStyle w:val="Point1"/>
        <w:rPr>
          <w:rFonts w:eastAsia="Times New Roman"/>
          <w:noProof/>
        </w:rPr>
      </w:pPr>
      <w:r w:rsidRPr="005A4BBC">
        <w:rPr>
          <w:noProof/>
        </w:rPr>
        <w:t>d)</w:t>
      </w:r>
      <w:r w:rsidRPr="005A4BBC">
        <w:rPr>
          <w:noProof/>
        </w:rPr>
        <w:tab/>
      </w:r>
      <w:r w:rsidR="00816544" w:rsidRPr="00DD1DFA">
        <w:rPr>
          <w:noProof/>
        </w:rPr>
        <w:t>jeżeli ma powody, by przypuszczać, że dany wyrób jest niezgodny</w:t>
      </w:r>
      <w:r w:rsidR="00DD1DFA" w:rsidRPr="00DD1DFA">
        <w:rPr>
          <w:noProof/>
        </w:rPr>
        <w:t xml:space="preserve"> z</w:t>
      </w:r>
      <w:r w:rsidR="00DD1DFA">
        <w:rPr>
          <w:noProof/>
        </w:rPr>
        <w:t> </w:t>
      </w:r>
      <w:r w:rsidR="00DD1DFA" w:rsidRPr="00DD1DFA">
        <w:rPr>
          <w:noProof/>
        </w:rPr>
        <w:t>wym</w:t>
      </w:r>
      <w:r w:rsidR="00816544" w:rsidRPr="00DD1DFA">
        <w:rPr>
          <w:noProof/>
        </w:rPr>
        <w:t>ogami lub stwarza ryzyko, informuje</w:t>
      </w:r>
      <w:r w:rsidR="00DD1DFA" w:rsidRPr="00DD1DFA">
        <w:rPr>
          <w:noProof/>
        </w:rPr>
        <w:t xml:space="preserve"> o</w:t>
      </w:r>
      <w:r w:rsidR="00DD1DFA">
        <w:rPr>
          <w:noProof/>
        </w:rPr>
        <w:t> </w:t>
      </w:r>
      <w:r w:rsidR="00DD1DFA" w:rsidRPr="00DD1DFA">
        <w:rPr>
          <w:noProof/>
        </w:rPr>
        <w:t>tym</w:t>
      </w:r>
      <w:r w:rsidR="00816544" w:rsidRPr="00DD1DFA">
        <w:rPr>
          <w:noProof/>
        </w:rPr>
        <w:t xml:space="preserve"> właściwe organy krajowe państw członkowskich,</w:t>
      </w:r>
      <w:r w:rsidR="00DD1DFA" w:rsidRPr="00DD1DFA">
        <w:rPr>
          <w:noProof/>
        </w:rPr>
        <w:t xml:space="preserve"> w</w:t>
      </w:r>
      <w:r w:rsidR="00DD1DFA">
        <w:rPr>
          <w:noProof/>
        </w:rPr>
        <w:t> </w:t>
      </w:r>
      <w:r w:rsidR="00DD1DFA" w:rsidRPr="00DD1DFA">
        <w:rPr>
          <w:noProof/>
        </w:rPr>
        <w:t>któ</w:t>
      </w:r>
      <w:r w:rsidR="00816544" w:rsidRPr="00DD1DFA">
        <w:rPr>
          <w:noProof/>
        </w:rPr>
        <w:t>rych wyrób jest wprowadzany do obrotu, oraz właściwy organ krajowy miejsca prowadzenia działalności przedstawiciela; oraz</w:t>
      </w:r>
    </w:p>
    <w:p w14:paraId="2F6FA922" w14:textId="24FBA459" w:rsidR="003C5EAF" w:rsidRPr="00DD1DFA" w:rsidRDefault="005A4BBC" w:rsidP="005A4BBC">
      <w:pPr>
        <w:pStyle w:val="Point1"/>
        <w:rPr>
          <w:rFonts w:eastAsia="Times New Roman"/>
          <w:noProof/>
        </w:rPr>
      </w:pPr>
      <w:r w:rsidRPr="005A4BBC">
        <w:rPr>
          <w:noProof/>
        </w:rPr>
        <w:t>e)</w:t>
      </w:r>
      <w:r w:rsidRPr="005A4BBC">
        <w:rPr>
          <w:noProof/>
        </w:rPr>
        <w:tab/>
      </w:r>
      <w:r w:rsidR="00816544" w:rsidRPr="00DD1DFA">
        <w:rPr>
          <w:noProof/>
        </w:rPr>
        <w:t>na żądanie organów nadzoru rynku podejmowanie</w:t>
      </w:r>
      <w:r w:rsidR="00DD1DFA" w:rsidRPr="00DD1DFA">
        <w:rPr>
          <w:noProof/>
        </w:rPr>
        <w:t xml:space="preserve"> z</w:t>
      </w:r>
      <w:r w:rsidR="00DD1DFA">
        <w:rPr>
          <w:noProof/>
        </w:rPr>
        <w:t> </w:t>
      </w:r>
      <w:r w:rsidR="00DD1DFA" w:rsidRPr="00DD1DFA">
        <w:rPr>
          <w:noProof/>
        </w:rPr>
        <w:t>nim</w:t>
      </w:r>
      <w:r w:rsidR="00816544" w:rsidRPr="00DD1DFA">
        <w:rPr>
          <w:noProof/>
        </w:rPr>
        <w:t>i współpracy we wszelkich działaniach mających na celu:</w:t>
      </w:r>
    </w:p>
    <w:p w14:paraId="69B844E8" w14:textId="77777777" w:rsidR="003C5EAF" w:rsidRPr="00DD1DFA" w:rsidRDefault="003C5EAF" w:rsidP="00D810F6">
      <w:pPr>
        <w:pStyle w:val="Tiret1"/>
        <w:numPr>
          <w:ilvl w:val="0"/>
          <w:numId w:val="27"/>
        </w:numPr>
        <w:rPr>
          <w:noProof/>
        </w:rPr>
      </w:pPr>
      <w:r w:rsidRPr="00DD1DFA">
        <w:rPr>
          <w:noProof/>
        </w:rPr>
        <w:t>wyeliminowanie zagrożeń, jakie stwarzają wyroby objęte pełnomocnictwem udzielonym upoważnionemu przedstawicielowi; lub</w:t>
      </w:r>
    </w:p>
    <w:p w14:paraId="5D386407" w14:textId="77777777" w:rsidR="003C5EAF" w:rsidRPr="00DD1DFA" w:rsidRDefault="003C5EAF" w:rsidP="00D268FF">
      <w:pPr>
        <w:pStyle w:val="Tiret1"/>
        <w:rPr>
          <w:noProof/>
        </w:rPr>
      </w:pPr>
      <w:r w:rsidRPr="00DD1DFA">
        <w:rPr>
          <w:noProof/>
        </w:rPr>
        <w:t>wyeliminowanie niezgodności.</w:t>
      </w:r>
    </w:p>
    <w:p w14:paraId="57624206" w14:textId="6586BBE1" w:rsidR="003C5EAF" w:rsidRPr="00DD1DFA" w:rsidRDefault="00816544" w:rsidP="003C5EAF">
      <w:pPr>
        <w:pStyle w:val="Text1"/>
        <w:rPr>
          <w:noProof/>
        </w:rPr>
      </w:pPr>
      <w:r w:rsidRPr="00DD1DFA">
        <w:rPr>
          <w:noProof/>
          <w:color w:val="000000"/>
          <w:szCs w:val="24"/>
        </w:rPr>
        <w:t>Sporządzanie dokumentacji technicznej nie wchodzi</w:t>
      </w:r>
      <w:r w:rsidR="00DD1DFA" w:rsidRPr="00DD1DFA">
        <w:rPr>
          <w:noProof/>
          <w:color w:val="000000"/>
          <w:szCs w:val="24"/>
        </w:rPr>
        <w:t xml:space="preserve"> w</w:t>
      </w:r>
      <w:r w:rsidR="00DD1DFA">
        <w:rPr>
          <w:noProof/>
          <w:color w:val="000000"/>
          <w:szCs w:val="24"/>
        </w:rPr>
        <w:t> </w:t>
      </w:r>
      <w:r w:rsidR="00DD1DFA" w:rsidRPr="00DD1DFA">
        <w:rPr>
          <w:noProof/>
          <w:color w:val="000000"/>
          <w:szCs w:val="24"/>
        </w:rPr>
        <w:t>zak</w:t>
      </w:r>
      <w:r w:rsidRPr="00DD1DFA">
        <w:rPr>
          <w:noProof/>
          <w:color w:val="000000"/>
          <w:szCs w:val="24"/>
        </w:rPr>
        <w:t>res pełnomocnictwa udzielonego upoważnionemu przedstawicielowi, ale może stać przedmiotem odrębnej umowy między producentem</w:t>
      </w:r>
      <w:r w:rsidR="00DD1DFA" w:rsidRPr="00DD1DFA">
        <w:rPr>
          <w:noProof/>
          <w:color w:val="000000"/>
          <w:szCs w:val="24"/>
        </w:rPr>
        <w:t xml:space="preserve"> a</w:t>
      </w:r>
      <w:r w:rsidR="00DD1DFA">
        <w:rPr>
          <w:noProof/>
          <w:color w:val="000000"/>
          <w:szCs w:val="24"/>
        </w:rPr>
        <w:t> </w:t>
      </w:r>
      <w:r w:rsidR="00DD1DFA" w:rsidRPr="00DD1DFA">
        <w:rPr>
          <w:noProof/>
          <w:color w:val="000000"/>
          <w:szCs w:val="24"/>
        </w:rPr>
        <w:t>upo</w:t>
      </w:r>
      <w:r w:rsidRPr="00DD1DFA">
        <w:rPr>
          <w:noProof/>
          <w:color w:val="000000"/>
          <w:szCs w:val="24"/>
        </w:rPr>
        <w:t>ważnionym przedstawicielem.</w:t>
      </w:r>
    </w:p>
    <w:p w14:paraId="6F8BC614" w14:textId="31106D97" w:rsidR="00BC1E12" w:rsidRPr="00DD1DFA" w:rsidRDefault="005F7EFA" w:rsidP="005F7EFA">
      <w:pPr>
        <w:pStyle w:val="ManualNumPar1"/>
        <w:rPr>
          <w:noProof/>
        </w:rPr>
      </w:pPr>
      <w:r w:rsidRPr="005F7EFA">
        <w:t>4.</w:t>
      </w:r>
      <w:r w:rsidRPr="005F7EFA">
        <w:tab/>
      </w:r>
      <w:r w:rsidR="00816544" w:rsidRPr="00DD1DFA">
        <w:rPr>
          <w:noProof/>
        </w:rPr>
        <w:t>Upoważniony przedstawiciel sprawdza zgodność wyrobu</w:t>
      </w:r>
      <w:r w:rsidR="00DD1DFA" w:rsidRPr="00DD1DFA">
        <w:rPr>
          <w:noProof/>
        </w:rPr>
        <w:t xml:space="preserve"> z</w:t>
      </w:r>
      <w:r w:rsidR="00DD1DFA">
        <w:rPr>
          <w:noProof/>
        </w:rPr>
        <w:t> </w:t>
      </w:r>
      <w:r w:rsidR="00DD1DFA" w:rsidRPr="00DD1DFA">
        <w:rPr>
          <w:noProof/>
        </w:rPr>
        <w:t>wym</w:t>
      </w:r>
      <w:r w:rsidR="00816544" w:rsidRPr="00DD1DFA">
        <w:rPr>
          <w:noProof/>
        </w:rPr>
        <w:t>ogami dotyczącymi oznakowania, etykietowania, instrukcji obsługi, deklaracji właściwości użytkowych</w:t>
      </w:r>
      <w:r w:rsidR="00DD1DFA" w:rsidRPr="00DD1DFA">
        <w:rPr>
          <w:noProof/>
        </w:rPr>
        <w:t xml:space="preserve"> i</w:t>
      </w:r>
      <w:r w:rsidR="00DD1DFA">
        <w:rPr>
          <w:noProof/>
        </w:rPr>
        <w:t> </w:t>
      </w:r>
      <w:r w:rsidR="00DD1DFA" w:rsidRPr="00DD1DFA">
        <w:rPr>
          <w:noProof/>
        </w:rPr>
        <w:t>zgo</w:t>
      </w:r>
      <w:r w:rsidR="00816544" w:rsidRPr="00DD1DFA">
        <w:rPr>
          <w:noProof/>
        </w:rPr>
        <w:t>dności. Ponadto upoważniony przedstawiciel sprawdza na podstawie dokumentacji, czy producent wywiązuje się ze swoich obowiązków określonych</w:t>
      </w:r>
      <w:r w:rsidR="00DD1DFA" w:rsidRPr="00DD1DFA">
        <w:rPr>
          <w:noProof/>
        </w:rPr>
        <w:t xml:space="preserve"> w</w:t>
      </w:r>
      <w:r w:rsidR="00DD1DFA">
        <w:rPr>
          <w:noProof/>
        </w:rPr>
        <w:t> </w:t>
      </w:r>
      <w:r w:rsidR="00DD1DFA" w:rsidRPr="00DD1DFA">
        <w:rPr>
          <w:noProof/>
        </w:rPr>
        <w:t>art</w:t>
      </w:r>
      <w:r w:rsidR="00816544" w:rsidRPr="00DD1DFA">
        <w:rPr>
          <w:noProof/>
        </w:rPr>
        <w:t>.</w:t>
      </w:r>
      <w:r w:rsidR="00DD1DFA" w:rsidRPr="00DD1DFA">
        <w:rPr>
          <w:noProof/>
        </w:rPr>
        <w:t> </w:t>
      </w:r>
      <w:r w:rsidR="00816544" w:rsidRPr="00DD1DFA">
        <w:rPr>
          <w:noProof/>
        </w:rPr>
        <w:t>19 ust.</w:t>
      </w:r>
      <w:r w:rsidR="00DD1DFA" w:rsidRPr="00DD1DFA">
        <w:rPr>
          <w:noProof/>
        </w:rPr>
        <w:t> </w:t>
      </w:r>
      <w:r w:rsidR="00816544" w:rsidRPr="00DD1DFA">
        <w:rPr>
          <w:noProof/>
        </w:rPr>
        <w:t>4–6, art.</w:t>
      </w:r>
      <w:r w:rsidR="00DD1DFA" w:rsidRPr="00DD1DFA">
        <w:rPr>
          <w:noProof/>
        </w:rPr>
        <w:t> </w:t>
      </w:r>
      <w:r w:rsidR="00816544" w:rsidRPr="00DD1DFA">
        <w:rPr>
          <w:noProof/>
        </w:rPr>
        <w:t>21 ust.</w:t>
      </w:r>
      <w:r w:rsidR="00DD1DFA" w:rsidRPr="00DD1DFA">
        <w:rPr>
          <w:noProof/>
        </w:rPr>
        <w:t> </w:t>
      </w:r>
      <w:r w:rsidR="00816544" w:rsidRPr="00DD1DFA">
        <w:rPr>
          <w:noProof/>
        </w:rPr>
        <w:t>1–3</w:t>
      </w:r>
      <w:r w:rsidR="00DD1DFA" w:rsidRPr="00DD1DFA">
        <w:rPr>
          <w:noProof/>
        </w:rPr>
        <w:t xml:space="preserve"> i</w:t>
      </w:r>
      <w:r w:rsidR="00DD1DFA">
        <w:rPr>
          <w:noProof/>
        </w:rPr>
        <w:t> </w:t>
      </w:r>
      <w:r w:rsidR="00DD1DFA" w:rsidRPr="00DD1DFA">
        <w:rPr>
          <w:noProof/>
        </w:rPr>
        <w:t>5</w:t>
      </w:r>
      <w:r w:rsidR="00816544" w:rsidRPr="00DD1DFA">
        <w:rPr>
          <w:noProof/>
        </w:rPr>
        <w:t>–7, art.</w:t>
      </w:r>
      <w:r w:rsidR="00DD1DFA" w:rsidRPr="00DD1DFA">
        <w:rPr>
          <w:noProof/>
        </w:rPr>
        <w:t> </w:t>
      </w:r>
      <w:r w:rsidR="00816544" w:rsidRPr="00DD1DFA">
        <w:rPr>
          <w:noProof/>
        </w:rPr>
        <w:t>22 ust.</w:t>
      </w:r>
      <w:r w:rsidR="00DD1DFA" w:rsidRPr="00DD1DFA">
        <w:rPr>
          <w:noProof/>
        </w:rPr>
        <w:t> </w:t>
      </w:r>
      <w:r w:rsidR="00816544" w:rsidRPr="00DD1DFA">
        <w:rPr>
          <w:noProof/>
        </w:rPr>
        <w:t>1</w:t>
      </w:r>
      <w:r w:rsidR="00DD1DFA" w:rsidRPr="00DD1DFA">
        <w:rPr>
          <w:noProof/>
        </w:rPr>
        <w:t xml:space="preserve"> i</w:t>
      </w:r>
      <w:r w:rsidR="00DD1DFA">
        <w:rPr>
          <w:noProof/>
        </w:rPr>
        <w:t> </w:t>
      </w:r>
      <w:r w:rsidR="00DD1DFA" w:rsidRPr="00DD1DFA">
        <w:rPr>
          <w:noProof/>
        </w:rPr>
        <w:t>art</w:t>
      </w:r>
      <w:r w:rsidR="00816544" w:rsidRPr="00DD1DFA">
        <w:rPr>
          <w:noProof/>
        </w:rPr>
        <w:t>.</w:t>
      </w:r>
      <w:r w:rsidR="00DD1DFA" w:rsidRPr="00DD1DFA">
        <w:rPr>
          <w:noProof/>
        </w:rPr>
        <w:t> </w:t>
      </w:r>
      <w:r w:rsidR="00816544" w:rsidRPr="00DD1DFA">
        <w:rPr>
          <w:noProof/>
        </w:rPr>
        <w:t>22 ust.</w:t>
      </w:r>
      <w:r w:rsidR="00DD1DFA" w:rsidRPr="00DD1DFA">
        <w:rPr>
          <w:noProof/>
        </w:rPr>
        <w:t> </w:t>
      </w:r>
      <w:r w:rsidR="00816544" w:rsidRPr="00DD1DFA">
        <w:rPr>
          <w:noProof/>
        </w:rPr>
        <w:t>2 lit.</w:t>
      </w:r>
      <w:r w:rsidR="00DD1DFA" w:rsidRPr="00DD1DFA">
        <w:rPr>
          <w:noProof/>
        </w:rPr>
        <w:t> </w:t>
      </w:r>
      <w:r w:rsidR="00816544" w:rsidRPr="00DD1DFA">
        <w:rPr>
          <w:noProof/>
        </w:rPr>
        <w:t>f) i i) oraz art.</w:t>
      </w:r>
      <w:r w:rsidR="00DD1DFA" w:rsidRPr="00DD1DFA">
        <w:rPr>
          <w:noProof/>
        </w:rPr>
        <w:t> </w:t>
      </w:r>
      <w:r w:rsidR="00816544" w:rsidRPr="00DD1DFA">
        <w:rPr>
          <w:noProof/>
        </w:rPr>
        <w:t>27 ust.</w:t>
      </w:r>
      <w:r w:rsidR="00DD1DFA" w:rsidRPr="00DD1DFA">
        <w:rPr>
          <w:noProof/>
        </w:rPr>
        <w:t> </w:t>
      </w:r>
      <w:r w:rsidR="00816544" w:rsidRPr="00DD1DFA">
        <w:rPr>
          <w:noProof/>
        </w:rPr>
        <w:t>6.</w:t>
      </w:r>
    </w:p>
    <w:p w14:paraId="603AEEAA" w14:textId="3C94BC81" w:rsidR="00D639C1" w:rsidRPr="00DD1DFA" w:rsidRDefault="005F7EFA" w:rsidP="005F7EFA">
      <w:pPr>
        <w:pStyle w:val="ManualNumPar1"/>
        <w:rPr>
          <w:noProof/>
        </w:rPr>
      </w:pPr>
      <w:r w:rsidRPr="005F7EFA">
        <w:t>5.</w:t>
      </w:r>
      <w:r w:rsidRPr="005F7EFA">
        <w:tab/>
      </w:r>
      <w:r w:rsidR="00D639C1" w:rsidRPr="00DD1DFA">
        <w:rPr>
          <w:noProof/>
        </w:rPr>
        <w:t>W przypadku gdy upoważniony przedstawiciel stwierdzi niezgodność,</w:t>
      </w:r>
      <w:r w:rsidR="00DD1DFA" w:rsidRPr="00DD1DFA">
        <w:rPr>
          <w:noProof/>
        </w:rPr>
        <w:t xml:space="preserve"> o</w:t>
      </w:r>
      <w:r w:rsidR="00DD1DFA">
        <w:rPr>
          <w:noProof/>
        </w:rPr>
        <w:t> </w:t>
      </w:r>
      <w:r w:rsidR="00DD1DFA" w:rsidRPr="00DD1DFA">
        <w:rPr>
          <w:noProof/>
        </w:rPr>
        <w:t>któ</w:t>
      </w:r>
      <w:r w:rsidR="00D639C1" w:rsidRPr="00DD1DFA">
        <w:rPr>
          <w:noProof/>
        </w:rPr>
        <w:t>rej mowa</w:t>
      </w:r>
      <w:r w:rsidR="00DD1DFA" w:rsidRPr="00DD1DFA">
        <w:rPr>
          <w:noProof/>
        </w:rPr>
        <w:t xml:space="preserve"> w</w:t>
      </w:r>
      <w:r w:rsidR="00DD1DFA">
        <w:rPr>
          <w:noProof/>
        </w:rPr>
        <w:t> </w:t>
      </w:r>
      <w:r w:rsidR="00DD1DFA" w:rsidRPr="00DD1DFA">
        <w:rPr>
          <w:noProof/>
        </w:rPr>
        <w:t>ust</w:t>
      </w:r>
      <w:r w:rsidR="00D639C1" w:rsidRPr="00DD1DFA">
        <w:rPr>
          <w:noProof/>
        </w:rPr>
        <w:t>.</w:t>
      </w:r>
      <w:r w:rsidR="00DD1DFA" w:rsidRPr="00DD1DFA">
        <w:rPr>
          <w:noProof/>
        </w:rPr>
        <w:t> </w:t>
      </w:r>
      <w:r w:rsidR="00D639C1" w:rsidRPr="00DD1DFA">
        <w:rPr>
          <w:noProof/>
        </w:rPr>
        <w:t>4, upoważniony przedstawiciel zwraca się do producenta</w:t>
      </w:r>
      <w:r w:rsidR="00DD1DFA" w:rsidRPr="00DD1DFA">
        <w:rPr>
          <w:noProof/>
        </w:rPr>
        <w:t xml:space="preserve"> o</w:t>
      </w:r>
      <w:r w:rsidR="00DD1DFA">
        <w:rPr>
          <w:noProof/>
        </w:rPr>
        <w:t> </w:t>
      </w:r>
      <w:r w:rsidR="00DD1DFA" w:rsidRPr="00DD1DFA">
        <w:rPr>
          <w:noProof/>
        </w:rPr>
        <w:t>jej</w:t>
      </w:r>
      <w:r w:rsidR="00D639C1" w:rsidRPr="00DD1DFA">
        <w:rPr>
          <w:noProof/>
        </w:rPr>
        <w:t xml:space="preserve"> usunięcie. Wówczas producent wstrzymuje wprowadzanie wyrobu do obrotu</w:t>
      </w:r>
      <w:r w:rsidR="00DD1DFA" w:rsidRPr="00DD1DFA">
        <w:rPr>
          <w:noProof/>
        </w:rPr>
        <w:t xml:space="preserve"> i</w:t>
      </w:r>
      <w:r w:rsidR="00DD1DFA">
        <w:rPr>
          <w:noProof/>
        </w:rPr>
        <w:t> </w:t>
      </w:r>
      <w:r w:rsidR="00DD1DFA" w:rsidRPr="00DD1DFA">
        <w:rPr>
          <w:noProof/>
        </w:rPr>
        <w:t>zwr</w:t>
      </w:r>
      <w:r w:rsidR="00D639C1" w:rsidRPr="00DD1DFA">
        <w:rPr>
          <w:noProof/>
        </w:rPr>
        <w:t>aca się do innych podmiotów gospodarczych zaangażowanych</w:t>
      </w:r>
      <w:r w:rsidR="00DD1DFA" w:rsidRPr="00DD1DFA">
        <w:rPr>
          <w:noProof/>
        </w:rPr>
        <w:t xml:space="preserve"> w</w:t>
      </w:r>
      <w:r w:rsidR="00DD1DFA">
        <w:rPr>
          <w:noProof/>
        </w:rPr>
        <w:t> </w:t>
      </w:r>
      <w:r w:rsidR="00DD1DFA" w:rsidRPr="00DD1DFA">
        <w:rPr>
          <w:noProof/>
        </w:rPr>
        <w:t>dys</w:t>
      </w:r>
      <w:r w:rsidR="00D639C1" w:rsidRPr="00DD1DFA">
        <w:rPr>
          <w:noProof/>
        </w:rPr>
        <w:t>trybucję</w:t>
      </w:r>
      <w:r w:rsidR="00DD1DFA" w:rsidRPr="00DD1DFA">
        <w:rPr>
          <w:noProof/>
        </w:rPr>
        <w:t xml:space="preserve"> o</w:t>
      </w:r>
      <w:r w:rsidR="00DD1DFA">
        <w:rPr>
          <w:noProof/>
        </w:rPr>
        <w:t> </w:t>
      </w:r>
      <w:r w:rsidR="00DD1DFA" w:rsidRPr="00DD1DFA">
        <w:rPr>
          <w:noProof/>
        </w:rPr>
        <w:t>zap</w:t>
      </w:r>
      <w:r w:rsidR="00D639C1" w:rsidRPr="00DD1DFA">
        <w:rPr>
          <w:noProof/>
        </w:rPr>
        <w:t>rzestanie działalności handlowej, dopóki upoważniony przedstawiciel nie uzna naruszeń za usunięte. Jeżeli niezgodności nie zostaną usunięte</w:t>
      </w:r>
      <w:r w:rsidR="00DD1DFA" w:rsidRPr="00DD1DFA">
        <w:rPr>
          <w:noProof/>
        </w:rPr>
        <w:t xml:space="preserve"> w</w:t>
      </w:r>
      <w:r w:rsidR="00DD1DFA">
        <w:rPr>
          <w:noProof/>
        </w:rPr>
        <w:t> </w:t>
      </w:r>
      <w:r w:rsidR="00DD1DFA" w:rsidRPr="00DD1DFA">
        <w:rPr>
          <w:noProof/>
        </w:rPr>
        <w:t>ter</w:t>
      </w:r>
      <w:r w:rsidR="00D639C1" w:rsidRPr="00DD1DFA">
        <w:rPr>
          <w:noProof/>
        </w:rPr>
        <w:t>minie jednego miesiąca,</w:t>
      </w:r>
      <w:r w:rsidR="00DD1DFA" w:rsidRPr="00DD1DFA">
        <w:rPr>
          <w:noProof/>
        </w:rPr>
        <w:t xml:space="preserve"> a</w:t>
      </w:r>
      <w:r w:rsidR="00DD1DFA">
        <w:rPr>
          <w:noProof/>
        </w:rPr>
        <w:t> </w:t>
      </w:r>
      <w:r w:rsidR="00DD1DFA" w:rsidRPr="00DD1DFA">
        <w:rPr>
          <w:noProof/>
        </w:rPr>
        <w:t>wyr</w:t>
      </w:r>
      <w:r w:rsidR="00D639C1" w:rsidRPr="00DD1DFA">
        <w:rPr>
          <w:noProof/>
        </w:rPr>
        <w:t>oby będą nadal udostępniane na rynku, upoważniony przedstawiciel ma prawo rozwiązać umowę</w:t>
      </w:r>
      <w:r w:rsidR="00DD1DFA" w:rsidRPr="00DD1DFA">
        <w:rPr>
          <w:noProof/>
        </w:rPr>
        <w:t xml:space="preserve"> z</w:t>
      </w:r>
      <w:r w:rsidR="00DD1DFA">
        <w:rPr>
          <w:noProof/>
        </w:rPr>
        <w:t> </w:t>
      </w:r>
      <w:r w:rsidR="00DD1DFA" w:rsidRPr="00DD1DFA">
        <w:rPr>
          <w:noProof/>
        </w:rPr>
        <w:t>pro</w:t>
      </w:r>
      <w:r w:rsidR="00D639C1" w:rsidRPr="00DD1DFA">
        <w:rPr>
          <w:noProof/>
        </w:rPr>
        <w:t>ducentem</w:t>
      </w:r>
      <w:r w:rsidR="00DD1DFA" w:rsidRPr="00DD1DFA">
        <w:rPr>
          <w:noProof/>
        </w:rPr>
        <w:t xml:space="preserve"> i</w:t>
      </w:r>
      <w:r w:rsidR="00DD1DFA">
        <w:rPr>
          <w:noProof/>
        </w:rPr>
        <w:t> </w:t>
      </w:r>
      <w:r w:rsidR="00DD1DFA" w:rsidRPr="00DD1DFA">
        <w:rPr>
          <w:noProof/>
        </w:rPr>
        <w:t>poi</w:t>
      </w:r>
      <w:r w:rsidR="00D639C1" w:rsidRPr="00DD1DFA">
        <w:rPr>
          <w:noProof/>
        </w:rPr>
        <w:t>nformować</w:t>
      </w:r>
      <w:r w:rsidR="00DD1DFA" w:rsidRPr="00DD1DFA">
        <w:rPr>
          <w:noProof/>
        </w:rPr>
        <w:t xml:space="preserve"> o</w:t>
      </w:r>
      <w:r w:rsidR="00DD1DFA">
        <w:rPr>
          <w:noProof/>
        </w:rPr>
        <w:t> </w:t>
      </w:r>
      <w:r w:rsidR="00DD1DFA" w:rsidRPr="00DD1DFA">
        <w:rPr>
          <w:noProof/>
        </w:rPr>
        <w:t>tym</w:t>
      </w:r>
      <w:r w:rsidR="00D639C1" w:rsidRPr="00DD1DFA">
        <w:rPr>
          <w:noProof/>
        </w:rPr>
        <w:t xml:space="preserve"> właściwe organy krajowe państw członkowskich,</w:t>
      </w:r>
      <w:r w:rsidR="00DD1DFA" w:rsidRPr="00DD1DFA">
        <w:rPr>
          <w:noProof/>
        </w:rPr>
        <w:t xml:space="preserve"> w</w:t>
      </w:r>
      <w:r w:rsidR="00DD1DFA">
        <w:rPr>
          <w:noProof/>
        </w:rPr>
        <w:t> </w:t>
      </w:r>
      <w:r w:rsidR="00DD1DFA" w:rsidRPr="00DD1DFA">
        <w:rPr>
          <w:noProof/>
        </w:rPr>
        <w:t>któ</w:t>
      </w:r>
      <w:r w:rsidR="00D639C1" w:rsidRPr="00DD1DFA">
        <w:rPr>
          <w:noProof/>
        </w:rPr>
        <w:t>rych wyroby są wprowadzane do obrotu, oraz właściwy organ krajowy miejsca prowadzenia działalności przedstawiciela. Organ ten koordynuje wspólne działania wszystkich właściwych organów, chyba że właściwe organy krajowe uzgodnią, że koordynacją zajmie się inny właściwy organ krajowy.</w:t>
      </w:r>
    </w:p>
    <w:p w14:paraId="4FE2E445" w14:textId="77777777" w:rsidR="00BC1E12" w:rsidRPr="00DD1DFA" w:rsidRDefault="005979EE" w:rsidP="00AF7867">
      <w:pPr>
        <w:pStyle w:val="Titrearticle"/>
        <w:rPr>
          <w:noProof/>
        </w:rPr>
      </w:pPr>
      <w:r w:rsidRPr="00DD1DFA">
        <w:rPr>
          <w:noProof/>
        </w:rPr>
        <w:t>Artykuł 24</w:t>
      </w:r>
    </w:p>
    <w:p w14:paraId="4E5C1637" w14:textId="77777777" w:rsidR="00BC1E12" w:rsidRPr="00DD1DFA" w:rsidRDefault="00967075" w:rsidP="00AF7867">
      <w:pPr>
        <w:pStyle w:val="Titrearticle"/>
        <w:rPr>
          <w:b/>
          <w:bCs/>
          <w:noProof/>
        </w:rPr>
      </w:pPr>
      <w:r w:rsidRPr="00DD1DFA">
        <w:rPr>
          <w:b/>
          <w:bCs/>
          <w:noProof/>
        </w:rPr>
        <w:t>Obowiązki importerów</w:t>
      </w:r>
    </w:p>
    <w:p w14:paraId="3DCD0C14" w14:textId="2A529116" w:rsidR="00956076" w:rsidRPr="00DD1DFA" w:rsidRDefault="005F7EFA" w:rsidP="005F7EFA">
      <w:pPr>
        <w:pStyle w:val="ManualNumPar1"/>
        <w:rPr>
          <w:noProof/>
        </w:rPr>
      </w:pPr>
      <w:r w:rsidRPr="005F7EFA">
        <w:t>1.</w:t>
      </w:r>
      <w:r w:rsidRPr="005F7EFA">
        <w:tab/>
      </w:r>
      <w:r w:rsidR="00956076" w:rsidRPr="00DD1DFA">
        <w:rPr>
          <w:noProof/>
        </w:rPr>
        <w:t>Importer wprowadza do obrotu</w:t>
      </w:r>
      <w:r w:rsidR="00DD1DFA" w:rsidRPr="00DD1DFA">
        <w:rPr>
          <w:noProof/>
        </w:rPr>
        <w:t xml:space="preserve"> w</w:t>
      </w:r>
      <w:r w:rsidR="00DD1DFA">
        <w:rPr>
          <w:noProof/>
        </w:rPr>
        <w:t> </w:t>
      </w:r>
      <w:r w:rsidR="00DD1DFA" w:rsidRPr="00DD1DFA">
        <w:rPr>
          <w:noProof/>
        </w:rPr>
        <w:t>Uni</w:t>
      </w:r>
      <w:r w:rsidR="00956076" w:rsidRPr="00DD1DFA">
        <w:rPr>
          <w:noProof/>
        </w:rPr>
        <w:t>i wyłącznie wyroby, które są zgodne</w:t>
      </w:r>
      <w:r w:rsidR="00DD1DFA" w:rsidRPr="00DD1DFA">
        <w:rPr>
          <w:noProof/>
        </w:rPr>
        <w:t xml:space="preserve"> z</w:t>
      </w:r>
      <w:r w:rsidR="00DD1DFA">
        <w:rPr>
          <w:noProof/>
        </w:rPr>
        <w:t> </w:t>
      </w:r>
      <w:r w:rsidR="00DD1DFA" w:rsidRPr="00DD1DFA">
        <w:rPr>
          <w:noProof/>
        </w:rPr>
        <w:t>nin</w:t>
      </w:r>
      <w:r w:rsidR="00956076" w:rsidRPr="00DD1DFA">
        <w:rPr>
          <w:noProof/>
        </w:rPr>
        <w:t>iejszym rozporządzeniem. Przed wprowadzeniem wyrobu do obrotu importer weryfikuje na podstawie dokumentacji, czy producent wywiązał się ze swoich obowiązków określonych</w:t>
      </w:r>
      <w:r w:rsidR="00DD1DFA" w:rsidRPr="00DD1DFA">
        <w:rPr>
          <w:noProof/>
        </w:rPr>
        <w:t xml:space="preserve"> w</w:t>
      </w:r>
      <w:r w:rsidR="00DD1DFA">
        <w:rPr>
          <w:noProof/>
        </w:rPr>
        <w:t> </w:t>
      </w:r>
      <w:r w:rsidR="00DD1DFA" w:rsidRPr="00DD1DFA">
        <w:rPr>
          <w:noProof/>
        </w:rPr>
        <w:t>art</w:t>
      </w:r>
      <w:r w:rsidR="00956076" w:rsidRPr="00DD1DFA">
        <w:rPr>
          <w:noProof/>
        </w:rPr>
        <w:t>.</w:t>
      </w:r>
      <w:r w:rsidR="00DD1DFA" w:rsidRPr="00DD1DFA">
        <w:rPr>
          <w:noProof/>
        </w:rPr>
        <w:t> </w:t>
      </w:r>
      <w:r w:rsidR="00956076" w:rsidRPr="00DD1DFA">
        <w:rPr>
          <w:noProof/>
        </w:rPr>
        <w:t>21 ust.</w:t>
      </w:r>
      <w:r w:rsidR="00DD1DFA" w:rsidRPr="00DD1DFA">
        <w:rPr>
          <w:noProof/>
        </w:rPr>
        <w:t> </w:t>
      </w:r>
      <w:r w:rsidR="00956076" w:rsidRPr="00DD1DFA">
        <w:rPr>
          <w:noProof/>
        </w:rPr>
        <w:t>1, 3</w:t>
      </w:r>
      <w:r w:rsidR="00DD1DFA" w:rsidRPr="00DD1DFA">
        <w:rPr>
          <w:noProof/>
        </w:rPr>
        <w:t xml:space="preserve"> i</w:t>
      </w:r>
      <w:r w:rsidR="00DD1DFA">
        <w:rPr>
          <w:noProof/>
        </w:rPr>
        <w:t> </w:t>
      </w:r>
      <w:r w:rsidR="00DD1DFA" w:rsidRPr="00DD1DFA">
        <w:rPr>
          <w:noProof/>
        </w:rPr>
        <w:t>5</w:t>
      </w:r>
      <w:r w:rsidR="00956076" w:rsidRPr="00DD1DFA">
        <w:rPr>
          <w:noProof/>
        </w:rPr>
        <w:t>–7</w:t>
      </w:r>
      <w:r w:rsidR="00DD1DFA" w:rsidRPr="00DD1DFA">
        <w:rPr>
          <w:noProof/>
          <w:color w:val="000000"/>
        </w:rPr>
        <w:t xml:space="preserve"> i</w:t>
      </w:r>
      <w:r w:rsidR="00DD1DFA">
        <w:rPr>
          <w:noProof/>
          <w:color w:val="000000"/>
        </w:rPr>
        <w:t> </w:t>
      </w:r>
      <w:r w:rsidR="00DD1DFA" w:rsidRPr="00DD1DFA">
        <w:rPr>
          <w:noProof/>
          <w:color w:val="000000"/>
        </w:rPr>
        <w:t>w</w:t>
      </w:r>
      <w:r w:rsidR="00DD1DFA">
        <w:rPr>
          <w:noProof/>
          <w:color w:val="000000"/>
        </w:rPr>
        <w:t> </w:t>
      </w:r>
      <w:r w:rsidR="00DD1DFA" w:rsidRPr="00DD1DFA">
        <w:rPr>
          <w:noProof/>
          <w:color w:val="000000"/>
        </w:rPr>
        <w:t>art</w:t>
      </w:r>
      <w:r w:rsidR="00956076" w:rsidRPr="00DD1DFA">
        <w:rPr>
          <w:noProof/>
          <w:color w:val="000000"/>
        </w:rPr>
        <w:t>.</w:t>
      </w:r>
      <w:r w:rsidR="00DD1DFA" w:rsidRPr="00DD1DFA">
        <w:rPr>
          <w:noProof/>
          <w:color w:val="000000"/>
        </w:rPr>
        <w:t> </w:t>
      </w:r>
      <w:r w:rsidR="00956076" w:rsidRPr="00DD1DFA">
        <w:rPr>
          <w:noProof/>
          <w:color w:val="000000"/>
        </w:rPr>
        <w:t>22 ust.</w:t>
      </w:r>
      <w:r w:rsidR="00DD1DFA" w:rsidRPr="00DD1DFA">
        <w:rPr>
          <w:noProof/>
          <w:color w:val="000000"/>
        </w:rPr>
        <w:t> </w:t>
      </w:r>
      <w:r w:rsidR="00956076" w:rsidRPr="00DD1DFA">
        <w:rPr>
          <w:noProof/>
          <w:color w:val="000000"/>
        </w:rPr>
        <w:t>2 lit.</w:t>
      </w:r>
      <w:r w:rsidR="00DD1DFA" w:rsidRPr="00DD1DFA">
        <w:rPr>
          <w:noProof/>
          <w:color w:val="000000"/>
        </w:rPr>
        <w:t> </w:t>
      </w:r>
      <w:r w:rsidR="00956076" w:rsidRPr="00DD1DFA">
        <w:rPr>
          <w:noProof/>
          <w:color w:val="000000"/>
        </w:rPr>
        <w:t>f) i i)</w:t>
      </w:r>
      <w:r w:rsidR="00956076" w:rsidRPr="00DD1DFA">
        <w:rPr>
          <w:noProof/>
        </w:rPr>
        <w:t>. Ponosi on odpowiedzialność za naruszenie niniejszego artykułu</w:t>
      </w:r>
      <w:r w:rsidR="00DD1DFA" w:rsidRPr="00DD1DFA">
        <w:rPr>
          <w:noProof/>
        </w:rPr>
        <w:t xml:space="preserve"> i</w:t>
      </w:r>
      <w:r w:rsidR="00DD1DFA">
        <w:rPr>
          <w:noProof/>
        </w:rPr>
        <w:t> </w:t>
      </w:r>
      <w:r w:rsidR="00DD1DFA" w:rsidRPr="00DD1DFA">
        <w:rPr>
          <w:noProof/>
        </w:rPr>
        <w:t>art</w:t>
      </w:r>
      <w:r w:rsidR="00956076" w:rsidRPr="00DD1DFA">
        <w:rPr>
          <w:noProof/>
        </w:rPr>
        <w:t>.</w:t>
      </w:r>
      <w:r w:rsidR="00DD1DFA" w:rsidRPr="00DD1DFA">
        <w:rPr>
          <w:noProof/>
        </w:rPr>
        <w:t> </w:t>
      </w:r>
      <w:r w:rsidR="00956076" w:rsidRPr="00DD1DFA">
        <w:rPr>
          <w:noProof/>
        </w:rPr>
        <w:t>19 zgodnie</w:t>
      </w:r>
      <w:r w:rsidR="00DD1DFA" w:rsidRPr="00DD1DFA">
        <w:rPr>
          <w:noProof/>
        </w:rPr>
        <w:t xml:space="preserve"> z</w:t>
      </w:r>
      <w:r w:rsidR="00DD1DFA">
        <w:rPr>
          <w:noProof/>
        </w:rPr>
        <w:t> </w:t>
      </w:r>
      <w:r w:rsidR="00DD1DFA" w:rsidRPr="00DD1DFA">
        <w:rPr>
          <w:noProof/>
        </w:rPr>
        <w:t>kra</w:t>
      </w:r>
      <w:r w:rsidR="00956076" w:rsidRPr="00DD1DFA">
        <w:rPr>
          <w:noProof/>
        </w:rPr>
        <w:t>jowymi przepisami dotyczącymi odpowiedzialności umownej</w:t>
      </w:r>
      <w:r w:rsidR="00DD1DFA" w:rsidRPr="00DD1DFA">
        <w:rPr>
          <w:noProof/>
        </w:rPr>
        <w:t xml:space="preserve"> i</w:t>
      </w:r>
      <w:r w:rsidR="00DD1DFA">
        <w:rPr>
          <w:noProof/>
        </w:rPr>
        <w:t> </w:t>
      </w:r>
      <w:r w:rsidR="00DD1DFA" w:rsidRPr="00DD1DFA">
        <w:rPr>
          <w:noProof/>
        </w:rPr>
        <w:t>poz</w:t>
      </w:r>
      <w:r w:rsidR="00956076" w:rsidRPr="00DD1DFA">
        <w:rPr>
          <w:noProof/>
        </w:rPr>
        <w:t>aumownej.</w:t>
      </w:r>
    </w:p>
    <w:p w14:paraId="7E553BC5" w14:textId="5251E1DC" w:rsidR="00956076" w:rsidRPr="00DD1DFA" w:rsidRDefault="005F7EFA" w:rsidP="005F7EFA">
      <w:pPr>
        <w:pStyle w:val="ManualNumPar1"/>
        <w:rPr>
          <w:noProof/>
        </w:rPr>
      </w:pPr>
      <w:r w:rsidRPr="005F7EFA">
        <w:t>2.</w:t>
      </w:r>
      <w:r w:rsidRPr="005F7EFA">
        <w:tab/>
      </w:r>
      <w:r w:rsidR="00956076" w:rsidRPr="00DD1DFA">
        <w:rPr>
          <w:noProof/>
        </w:rPr>
        <w:t>Importer weryfikuje, czy producent precyzyjnie</w:t>
      </w:r>
      <w:r w:rsidR="00DD1DFA" w:rsidRPr="00DD1DFA">
        <w:rPr>
          <w:noProof/>
        </w:rPr>
        <w:t xml:space="preserve"> i</w:t>
      </w:r>
      <w:r w:rsidR="00DD1DFA">
        <w:rPr>
          <w:noProof/>
        </w:rPr>
        <w:t> </w:t>
      </w:r>
      <w:r w:rsidR="00DD1DFA" w:rsidRPr="00DD1DFA">
        <w:rPr>
          <w:noProof/>
        </w:rPr>
        <w:t>pra</w:t>
      </w:r>
      <w:r w:rsidR="00956076" w:rsidRPr="00DD1DFA">
        <w:rPr>
          <w:noProof/>
        </w:rPr>
        <w:t>widłowo określił zamierzone zastosowanie wyrobu</w:t>
      </w:r>
      <w:r w:rsidR="00DD1DFA" w:rsidRPr="00DD1DFA">
        <w:rPr>
          <w:noProof/>
        </w:rPr>
        <w:t xml:space="preserve"> i</w:t>
      </w:r>
      <w:r w:rsidR="00DD1DFA">
        <w:rPr>
          <w:noProof/>
        </w:rPr>
        <w:t> </w:t>
      </w:r>
      <w:r w:rsidR="00DD1DFA" w:rsidRPr="00DD1DFA">
        <w:rPr>
          <w:noProof/>
        </w:rPr>
        <w:t>zap</w:t>
      </w:r>
      <w:r w:rsidR="00956076" w:rsidRPr="00DD1DFA">
        <w:rPr>
          <w:noProof/>
        </w:rPr>
        <w:t>ewnia, aby do wyrobu dołączone zostało wyraźnie wskazanie dotyczące informacje,</w:t>
      </w:r>
      <w:r w:rsidR="00DD1DFA" w:rsidRPr="00DD1DFA">
        <w:rPr>
          <w:noProof/>
        </w:rPr>
        <w:t xml:space="preserve"> o</w:t>
      </w:r>
      <w:r w:rsidR="00DD1DFA">
        <w:rPr>
          <w:noProof/>
        </w:rPr>
        <w:t> </w:t>
      </w:r>
      <w:r w:rsidR="00DD1DFA" w:rsidRPr="00DD1DFA">
        <w:rPr>
          <w:noProof/>
        </w:rPr>
        <w:t>któ</w:t>
      </w:r>
      <w:r w:rsidR="00956076" w:rsidRPr="00DD1DFA">
        <w:rPr>
          <w:noProof/>
        </w:rPr>
        <w:t>rych mowa</w:t>
      </w:r>
      <w:r w:rsidR="00DD1DFA" w:rsidRPr="00DD1DFA">
        <w:rPr>
          <w:noProof/>
        </w:rPr>
        <w:t xml:space="preserve"> w</w:t>
      </w:r>
      <w:r w:rsidR="00DD1DFA">
        <w:rPr>
          <w:noProof/>
        </w:rPr>
        <w:t> </w:t>
      </w:r>
      <w:r w:rsidR="00DD1DFA" w:rsidRPr="00DD1DFA">
        <w:rPr>
          <w:noProof/>
        </w:rPr>
        <w:t>zha</w:t>
      </w:r>
      <w:r w:rsidR="00956076" w:rsidRPr="00DD1DFA">
        <w:rPr>
          <w:noProof/>
        </w:rPr>
        <w:t>rmonizowanych specyfikacjach technicznych</w:t>
      </w:r>
      <w:r w:rsidR="00DD1DFA" w:rsidRPr="00DD1DFA">
        <w:rPr>
          <w:noProof/>
        </w:rPr>
        <w:t xml:space="preserve"> i</w:t>
      </w:r>
      <w:r w:rsidR="00DD1DFA">
        <w:rPr>
          <w:noProof/>
        </w:rPr>
        <w:t> </w:t>
      </w:r>
      <w:r w:rsidR="00DD1DFA" w:rsidRPr="00DD1DFA">
        <w:rPr>
          <w:noProof/>
        </w:rPr>
        <w:t>zał</w:t>
      </w:r>
      <w:r w:rsidR="00956076" w:rsidRPr="00DD1DFA">
        <w:rPr>
          <w:noProof/>
        </w:rPr>
        <w:t>ączniku I część D,</w:t>
      </w:r>
      <w:r w:rsidR="00DD1DFA" w:rsidRPr="00DD1DFA">
        <w:rPr>
          <w:noProof/>
        </w:rPr>
        <w:t xml:space="preserve"> w</w:t>
      </w:r>
      <w:r w:rsidR="00DD1DFA">
        <w:rPr>
          <w:noProof/>
        </w:rPr>
        <w:t> </w:t>
      </w:r>
      <w:r w:rsidR="00DD1DFA" w:rsidRPr="00DD1DFA">
        <w:rPr>
          <w:noProof/>
        </w:rPr>
        <w:t>jęz</w:t>
      </w:r>
      <w:r w:rsidR="00956076" w:rsidRPr="00DD1DFA">
        <w:rPr>
          <w:noProof/>
        </w:rPr>
        <w:t>yku ustalonym przez dane państwo członkowskie, łatwo zrozumiałym dla użytkowników. Przed zawarciem umowy sprzedaży,</w:t>
      </w:r>
      <w:r w:rsidR="00DD1DFA" w:rsidRPr="00DD1DFA">
        <w:rPr>
          <w:noProof/>
        </w:rPr>
        <w:t xml:space="preserve"> w</w:t>
      </w:r>
      <w:r w:rsidR="00DD1DFA">
        <w:rPr>
          <w:noProof/>
        </w:rPr>
        <w:t> </w:t>
      </w:r>
      <w:r w:rsidR="00DD1DFA" w:rsidRPr="00DD1DFA">
        <w:rPr>
          <w:noProof/>
        </w:rPr>
        <w:t>tym w</w:t>
      </w:r>
      <w:r w:rsidR="00DD1DFA">
        <w:rPr>
          <w:noProof/>
        </w:rPr>
        <w:t> </w:t>
      </w:r>
      <w:r w:rsidR="00DD1DFA" w:rsidRPr="00DD1DFA">
        <w:rPr>
          <w:noProof/>
        </w:rPr>
        <w:t>prz</w:t>
      </w:r>
      <w:r w:rsidR="00956076" w:rsidRPr="00DD1DFA">
        <w:rPr>
          <w:noProof/>
        </w:rPr>
        <w:t>ypadku sprzedaży na odległość, importer</w:t>
      </w:r>
      <w:r w:rsidR="00DD1DFA" w:rsidRPr="00DD1DFA">
        <w:rPr>
          <w:noProof/>
        </w:rPr>
        <w:t xml:space="preserve"> w</w:t>
      </w:r>
      <w:r w:rsidR="00DD1DFA">
        <w:rPr>
          <w:noProof/>
        </w:rPr>
        <w:t> </w:t>
      </w:r>
      <w:r w:rsidR="00DD1DFA" w:rsidRPr="00DD1DFA">
        <w:rPr>
          <w:noProof/>
        </w:rPr>
        <w:t>wid</w:t>
      </w:r>
      <w:r w:rsidR="00956076" w:rsidRPr="00DD1DFA">
        <w:rPr>
          <w:noProof/>
        </w:rPr>
        <w:t>oczny sposób przedstawia klientom informacje, które umieszcza się na etykiecie zgodnie</w:t>
      </w:r>
      <w:r w:rsidR="00DD1DFA" w:rsidRPr="00DD1DFA">
        <w:rPr>
          <w:noProof/>
        </w:rPr>
        <w:t xml:space="preserve"> z</w:t>
      </w:r>
      <w:r w:rsidR="00DD1DFA">
        <w:rPr>
          <w:noProof/>
        </w:rPr>
        <w:t> </w:t>
      </w:r>
      <w:r w:rsidR="00DD1DFA" w:rsidRPr="00DD1DFA">
        <w:rPr>
          <w:noProof/>
        </w:rPr>
        <w:t>nin</w:t>
      </w:r>
      <w:r w:rsidR="00956076" w:rsidRPr="00DD1DFA">
        <w:rPr>
          <w:noProof/>
        </w:rPr>
        <w:t xml:space="preserve">iejszym rozporządzeniem lub zharmonizowanymi specyfikacjami technicznymi. </w:t>
      </w:r>
    </w:p>
    <w:p w14:paraId="26E2F2F9" w14:textId="6351C07A" w:rsidR="00956076" w:rsidRPr="00DD1DFA" w:rsidRDefault="005F7EFA" w:rsidP="005F7EFA">
      <w:pPr>
        <w:pStyle w:val="ManualNumPar1"/>
        <w:rPr>
          <w:noProof/>
        </w:rPr>
      </w:pPr>
      <w:r w:rsidRPr="005F7EFA">
        <w:t>3.</w:t>
      </w:r>
      <w:r w:rsidRPr="005F7EFA">
        <w:tab/>
      </w:r>
      <w:r w:rsidR="00956076" w:rsidRPr="00DD1DFA">
        <w:rPr>
          <w:noProof/>
        </w:rPr>
        <w:t>Importer zapewnia, aby –</w:t>
      </w:r>
      <w:r w:rsidR="00DD1DFA" w:rsidRPr="00DD1DFA">
        <w:rPr>
          <w:noProof/>
        </w:rPr>
        <w:t xml:space="preserve"> w</w:t>
      </w:r>
      <w:r w:rsidR="00DD1DFA">
        <w:rPr>
          <w:noProof/>
        </w:rPr>
        <w:t> </w:t>
      </w:r>
      <w:r w:rsidR="00DD1DFA" w:rsidRPr="00DD1DFA">
        <w:rPr>
          <w:noProof/>
        </w:rPr>
        <w:t>cza</w:t>
      </w:r>
      <w:r w:rsidR="00956076" w:rsidRPr="00DD1DFA">
        <w:rPr>
          <w:noProof/>
        </w:rPr>
        <w:t>sie, gdy ponosi on odpowiedzialność za wyrób – warunki jego przechowywania lub transportu nie wpływały niekorzystnie na jego zgodność</w:t>
      </w:r>
      <w:r w:rsidR="00DD1DFA" w:rsidRPr="00DD1DFA">
        <w:rPr>
          <w:noProof/>
        </w:rPr>
        <w:t xml:space="preserve"> z</w:t>
      </w:r>
      <w:r w:rsidR="00DD1DFA">
        <w:rPr>
          <w:noProof/>
        </w:rPr>
        <w:t> </w:t>
      </w:r>
      <w:r w:rsidR="00DD1DFA" w:rsidRPr="00DD1DFA">
        <w:rPr>
          <w:noProof/>
        </w:rPr>
        <w:t>dek</w:t>
      </w:r>
      <w:r w:rsidR="00956076" w:rsidRPr="00DD1DFA">
        <w:rPr>
          <w:noProof/>
        </w:rPr>
        <w:t>laracją właściwości użytkowych</w:t>
      </w:r>
      <w:r w:rsidR="00DD1DFA" w:rsidRPr="00DD1DFA">
        <w:rPr>
          <w:noProof/>
        </w:rPr>
        <w:t xml:space="preserve"> i</w:t>
      </w:r>
      <w:r w:rsidR="00DD1DFA">
        <w:rPr>
          <w:noProof/>
        </w:rPr>
        <w:t> </w:t>
      </w:r>
      <w:r w:rsidR="00DD1DFA" w:rsidRPr="00DD1DFA">
        <w:rPr>
          <w:noProof/>
        </w:rPr>
        <w:t>z</w:t>
      </w:r>
      <w:r w:rsidR="00DD1DFA">
        <w:rPr>
          <w:noProof/>
        </w:rPr>
        <w:t> </w:t>
      </w:r>
      <w:r w:rsidR="00DD1DFA" w:rsidRPr="00DD1DFA">
        <w:rPr>
          <w:noProof/>
        </w:rPr>
        <w:t>inn</w:t>
      </w:r>
      <w:r w:rsidR="00956076" w:rsidRPr="00DD1DFA">
        <w:rPr>
          <w:noProof/>
        </w:rPr>
        <w:t>ymi mającymi zastosowanie wymaganiami określonymi</w:t>
      </w:r>
      <w:r w:rsidR="00DD1DFA" w:rsidRPr="00DD1DFA">
        <w:rPr>
          <w:noProof/>
        </w:rPr>
        <w:t xml:space="preserve"> w</w:t>
      </w:r>
      <w:r w:rsidR="00DD1DFA">
        <w:rPr>
          <w:noProof/>
        </w:rPr>
        <w:t> </w:t>
      </w:r>
      <w:r w:rsidR="00DD1DFA" w:rsidRPr="00DD1DFA">
        <w:rPr>
          <w:noProof/>
        </w:rPr>
        <w:t>nin</w:t>
      </w:r>
      <w:r w:rsidR="00956076" w:rsidRPr="00DD1DFA">
        <w:rPr>
          <w:noProof/>
        </w:rPr>
        <w:t>iejszym rozporządzeniu.</w:t>
      </w:r>
    </w:p>
    <w:p w14:paraId="6B8FFE6A" w14:textId="1F824304" w:rsidR="00956076" w:rsidRPr="00DD1DFA" w:rsidRDefault="005F7EFA" w:rsidP="005F7EFA">
      <w:pPr>
        <w:pStyle w:val="ManualNumPar1"/>
        <w:rPr>
          <w:noProof/>
        </w:rPr>
      </w:pPr>
      <w:r w:rsidRPr="005F7EFA">
        <w:t>4.</w:t>
      </w:r>
      <w:r w:rsidRPr="005F7EFA">
        <w:tab/>
      </w:r>
      <w:r w:rsidR="00956076" w:rsidRPr="00DD1DFA">
        <w:rPr>
          <w:noProof/>
        </w:rPr>
        <w:t>Po zebraniu wszystkich dostępnych informacji</w:t>
      </w:r>
      <w:r w:rsidR="00DD1DFA" w:rsidRPr="00DD1DFA">
        <w:rPr>
          <w:noProof/>
        </w:rPr>
        <w:t xml:space="preserve"> o</w:t>
      </w:r>
      <w:r w:rsidR="00DD1DFA">
        <w:rPr>
          <w:noProof/>
        </w:rPr>
        <w:t> </w:t>
      </w:r>
      <w:r w:rsidR="00DD1DFA" w:rsidRPr="00DD1DFA">
        <w:rPr>
          <w:noProof/>
        </w:rPr>
        <w:t>wyr</w:t>
      </w:r>
      <w:r w:rsidR="00956076" w:rsidRPr="00DD1DFA">
        <w:rPr>
          <w:noProof/>
        </w:rPr>
        <w:t>obie od producenta</w:t>
      </w:r>
      <w:r w:rsidR="00DD1DFA" w:rsidRPr="00DD1DFA">
        <w:rPr>
          <w:noProof/>
        </w:rPr>
        <w:t xml:space="preserve"> i</w:t>
      </w:r>
      <w:r w:rsidR="00DD1DFA">
        <w:rPr>
          <w:noProof/>
        </w:rPr>
        <w:t> </w:t>
      </w:r>
      <w:r w:rsidR="00DD1DFA" w:rsidRPr="00DD1DFA">
        <w:rPr>
          <w:noProof/>
        </w:rPr>
        <w:t>pod</w:t>
      </w:r>
      <w:r w:rsidR="00956076" w:rsidRPr="00DD1DFA">
        <w:rPr>
          <w:noProof/>
        </w:rPr>
        <w:t>miotu zajmującego się demontażem, importer</w:t>
      </w:r>
      <w:r w:rsidR="00DD1DFA" w:rsidRPr="00DD1DFA">
        <w:rPr>
          <w:noProof/>
        </w:rPr>
        <w:t xml:space="preserve"> w</w:t>
      </w:r>
      <w:r w:rsidR="00DD1DFA">
        <w:rPr>
          <w:noProof/>
        </w:rPr>
        <w:t> </w:t>
      </w:r>
      <w:r w:rsidR="00DD1DFA" w:rsidRPr="00DD1DFA">
        <w:rPr>
          <w:noProof/>
        </w:rPr>
        <w:t>szc</w:t>
      </w:r>
      <w:r w:rsidR="00956076" w:rsidRPr="00DD1DFA">
        <w:rPr>
          <w:noProof/>
        </w:rPr>
        <w:t>zególności sprawdza wyroby używane</w:t>
      </w:r>
      <w:r w:rsidR="00DD1DFA" w:rsidRPr="00DD1DFA">
        <w:rPr>
          <w:noProof/>
        </w:rPr>
        <w:t xml:space="preserve"> i</w:t>
      </w:r>
      <w:r w:rsidR="00DD1DFA">
        <w:rPr>
          <w:noProof/>
        </w:rPr>
        <w:t> </w:t>
      </w:r>
      <w:r w:rsidR="00DD1DFA" w:rsidRPr="00DD1DFA">
        <w:rPr>
          <w:noProof/>
        </w:rPr>
        <w:t>pod</w:t>
      </w:r>
      <w:r w:rsidR="00956076" w:rsidRPr="00DD1DFA">
        <w:rPr>
          <w:noProof/>
        </w:rPr>
        <w:t>dane regeneracji, zwłaszcza pod kątem uszkodzeń lub oznak utraty wydajności bądź niezgodności oraz zmienionych właściwości mechanicznych lub chemicznych,</w:t>
      </w:r>
      <w:r w:rsidR="00DD1DFA" w:rsidRPr="00DD1DFA">
        <w:rPr>
          <w:noProof/>
        </w:rPr>
        <w:t xml:space="preserve"> a</w:t>
      </w:r>
      <w:r w:rsidR="00DD1DFA">
        <w:rPr>
          <w:noProof/>
        </w:rPr>
        <w:t> </w:t>
      </w:r>
      <w:r w:rsidR="00DD1DFA" w:rsidRPr="00DD1DFA">
        <w:rPr>
          <w:noProof/>
        </w:rPr>
        <w:t>tak</w:t>
      </w:r>
      <w:r w:rsidR="00956076" w:rsidRPr="00DD1DFA">
        <w:rPr>
          <w:noProof/>
        </w:rPr>
        <w:t>że ocenia wszelkie ryzyko; jeżeli jest to konieczne do zapewnienia bezpieczeństwa lub ochrony środowiska, importer ogranicza zamierzone zastosowanie lub powstrzymuje się od sprzedaży. Obowiązek ten dotyczy również wyrobów używanych</w:t>
      </w:r>
      <w:r w:rsidR="00DD1DFA" w:rsidRPr="00DD1DFA">
        <w:rPr>
          <w:noProof/>
        </w:rPr>
        <w:t xml:space="preserve"> i</w:t>
      </w:r>
      <w:r w:rsidR="00DD1DFA">
        <w:rPr>
          <w:noProof/>
        </w:rPr>
        <w:t> </w:t>
      </w:r>
      <w:r w:rsidR="00DD1DFA" w:rsidRPr="00DD1DFA">
        <w:rPr>
          <w:noProof/>
        </w:rPr>
        <w:t>pod</w:t>
      </w:r>
      <w:r w:rsidR="00956076" w:rsidRPr="00DD1DFA">
        <w:rPr>
          <w:noProof/>
        </w:rPr>
        <w:t>danych regeneracji,</w:t>
      </w:r>
      <w:r w:rsidR="00DD1DFA" w:rsidRPr="00DD1DFA">
        <w:rPr>
          <w:noProof/>
        </w:rPr>
        <w:t xml:space="preserve"> w</w:t>
      </w:r>
      <w:r w:rsidR="00DD1DFA">
        <w:rPr>
          <w:noProof/>
        </w:rPr>
        <w:t> </w:t>
      </w:r>
      <w:r w:rsidR="00DD1DFA" w:rsidRPr="00DD1DFA">
        <w:rPr>
          <w:noProof/>
        </w:rPr>
        <w:t>odn</w:t>
      </w:r>
      <w:r w:rsidR="00956076" w:rsidRPr="00DD1DFA">
        <w:rPr>
          <w:noProof/>
        </w:rPr>
        <w:t>iesieniu do których nie jest obowiązkowa deklaracja właściwości użytkowych.</w:t>
      </w:r>
    </w:p>
    <w:p w14:paraId="0E201F0C" w14:textId="221BCC88" w:rsidR="00956076" w:rsidRPr="00DD1DFA" w:rsidRDefault="005F7EFA" w:rsidP="005F7EFA">
      <w:pPr>
        <w:pStyle w:val="ManualNumPar1"/>
        <w:rPr>
          <w:noProof/>
        </w:rPr>
      </w:pPr>
      <w:r w:rsidRPr="005F7EFA">
        <w:t>5.</w:t>
      </w:r>
      <w:r w:rsidRPr="005F7EFA">
        <w:tab/>
      </w:r>
      <w:r w:rsidR="00956076" w:rsidRPr="00DD1DFA">
        <w:rPr>
          <w:noProof/>
        </w:rPr>
        <w:t>W przypadku gdy importer uznaje lub ma powody, by uważać, że wyrób nie jest zgodny</w:t>
      </w:r>
      <w:r w:rsidR="00DD1DFA" w:rsidRPr="00DD1DFA">
        <w:rPr>
          <w:noProof/>
        </w:rPr>
        <w:t xml:space="preserve"> z</w:t>
      </w:r>
      <w:r w:rsidR="00DD1DFA">
        <w:rPr>
          <w:noProof/>
        </w:rPr>
        <w:t> </w:t>
      </w:r>
      <w:r w:rsidR="00DD1DFA" w:rsidRPr="00DD1DFA">
        <w:rPr>
          <w:noProof/>
        </w:rPr>
        <w:t>dek</w:t>
      </w:r>
      <w:r w:rsidR="00956076" w:rsidRPr="00DD1DFA">
        <w:rPr>
          <w:noProof/>
        </w:rPr>
        <w:t>laracją właściwości użytkowych lub</w:t>
      </w:r>
      <w:r w:rsidR="00DD1DFA" w:rsidRPr="00DD1DFA">
        <w:rPr>
          <w:noProof/>
        </w:rPr>
        <w:t xml:space="preserve"> z</w:t>
      </w:r>
      <w:r w:rsidR="00DD1DFA">
        <w:rPr>
          <w:noProof/>
        </w:rPr>
        <w:t> </w:t>
      </w:r>
      <w:r w:rsidR="00DD1DFA" w:rsidRPr="00DD1DFA">
        <w:rPr>
          <w:noProof/>
        </w:rPr>
        <w:t>inn</w:t>
      </w:r>
      <w:r w:rsidR="00956076" w:rsidRPr="00DD1DFA">
        <w:rPr>
          <w:noProof/>
        </w:rPr>
        <w:t>ymi mającymi zastosowanie wymaganiami określonymi</w:t>
      </w:r>
      <w:r w:rsidR="00DD1DFA" w:rsidRPr="00DD1DFA">
        <w:rPr>
          <w:noProof/>
        </w:rPr>
        <w:t xml:space="preserve"> w</w:t>
      </w:r>
      <w:r w:rsidR="00DD1DFA">
        <w:rPr>
          <w:noProof/>
        </w:rPr>
        <w:t> </w:t>
      </w:r>
      <w:r w:rsidR="00DD1DFA" w:rsidRPr="00DD1DFA">
        <w:rPr>
          <w:noProof/>
        </w:rPr>
        <w:t>nin</w:t>
      </w:r>
      <w:r w:rsidR="00956076" w:rsidRPr="00DD1DFA">
        <w:rPr>
          <w:noProof/>
        </w:rPr>
        <w:t>iejszym rozporządzeniu, importer nie wprowadza wyrobu do obrotu, dopóki wyrób ten nie będzie odpowiadał towarzyszącej mu deklaracji właściwości użytkowych</w:t>
      </w:r>
      <w:r w:rsidR="00DD1DFA" w:rsidRPr="00DD1DFA">
        <w:rPr>
          <w:noProof/>
        </w:rPr>
        <w:t xml:space="preserve"> i</w:t>
      </w:r>
      <w:r w:rsidR="00DD1DFA">
        <w:rPr>
          <w:noProof/>
        </w:rPr>
        <w:t> </w:t>
      </w:r>
      <w:r w:rsidR="00DD1DFA" w:rsidRPr="00DD1DFA">
        <w:rPr>
          <w:noProof/>
        </w:rPr>
        <w:t>inn</w:t>
      </w:r>
      <w:r w:rsidR="00956076" w:rsidRPr="00DD1DFA">
        <w:rPr>
          <w:noProof/>
        </w:rPr>
        <w:t>ym mającym zastosowanie wymaganiom określonym</w:t>
      </w:r>
      <w:r w:rsidR="00DD1DFA" w:rsidRPr="00DD1DFA">
        <w:rPr>
          <w:noProof/>
        </w:rPr>
        <w:t xml:space="preserve"> w</w:t>
      </w:r>
      <w:r w:rsidR="00DD1DFA">
        <w:rPr>
          <w:noProof/>
        </w:rPr>
        <w:t> </w:t>
      </w:r>
      <w:r w:rsidR="00DD1DFA" w:rsidRPr="00DD1DFA">
        <w:rPr>
          <w:noProof/>
        </w:rPr>
        <w:t>nin</w:t>
      </w:r>
      <w:r w:rsidR="00956076" w:rsidRPr="00DD1DFA">
        <w:rPr>
          <w:noProof/>
        </w:rPr>
        <w:t>iejszym rozporządzeniu lub dopóki deklaracja właściwości użytkowych nie zostanie poprawiona. Ponadto jeżeli wyrób stwarza zagrożenie, importer informuje</w:t>
      </w:r>
      <w:r w:rsidR="00DD1DFA" w:rsidRPr="00DD1DFA">
        <w:rPr>
          <w:noProof/>
        </w:rPr>
        <w:t xml:space="preserve"> o</w:t>
      </w:r>
      <w:r w:rsidR="00DD1DFA">
        <w:rPr>
          <w:noProof/>
        </w:rPr>
        <w:t> </w:t>
      </w:r>
      <w:r w:rsidR="00DD1DFA" w:rsidRPr="00DD1DFA">
        <w:rPr>
          <w:noProof/>
        </w:rPr>
        <w:t>tym</w:t>
      </w:r>
      <w:r w:rsidR="00956076" w:rsidRPr="00DD1DFA">
        <w:rPr>
          <w:noProof/>
        </w:rPr>
        <w:t xml:space="preserve"> producenta</w:t>
      </w:r>
      <w:r w:rsidR="00DD1DFA" w:rsidRPr="00DD1DFA">
        <w:rPr>
          <w:noProof/>
        </w:rPr>
        <w:t xml:space="preserve"> i</w:t>
      </w:r>
      <w:r w:rsidR="00DD1DFA">
        <w:rPr>
          <w:noProof/>
        </w:rPr>
        <w:t> </w:t>
      </w:r>
      <w:r w:rsidR="00DD1DFA" w:rsidRPr="00DD1DFA">
        <w:rPr>
          <w:noProof/>
        </w:rPr>
        <w:t>wła</w:t>
      </w:r>
      <w:r w:rsidR="00956076" w:rsidRPr="00DD1DFA">
        <w:rPr>
          <w:noProof/>
        </w:rPr>
        <w:t>ściwy geograficznie organ krajowy.</w:t>
      </w:r>
    </w:p>
    <w:p w14:paraId="0153D0A0" w14:textId="3C018A1A" w:rsidR="00956076" w:rsidRPr="00DD1DFA" w:rsidRDefault="005F7EFA" w:rsidP="005F7EFA">
      <w:pPr>
        <w:pStyle w:val="ManualNumPar1"/>
        <w:rPr>
          <w:rFonts w:ascii="Calibri" w:hAnsi="Calibri"/>
          <w:noProof/>
          <w:color w:val="00000A"/>
          <w:sz w:val="22"/>
        </w:rPr>
      </w:pPr>
      <w:r w:rsidRPr="005F7EFA">
        <w:t>6.</w:t>
      </w:r>
      <w:r w:rsidRPr="005F7EFA">
        <w:tab/>
      </w:r>
      <w:r w:rsidR="00956076" w:rsidRPr="00DD1DFA">
        <w:rPr>
          <w:noProof/>
        </w:rPr>
        <w:t>Importer wskazuje swoją nazwę, nazwę zastrzeżoną lub zastrzeżony znak towarowy, miejsce prowadzenia działalności, swój adres kontaktowy oraz, jeżeli są dostępne, elektroniczne środki komunikacji na wyrobie lub – jeśli nie jest to możliwe – na jego opakowaniu lub</w:t>
      </w:r>
      <w:r w:rsidR="00DD1DFA" w:rsidRPr="00DD1DFA">
        <w:rPr>
          <w:noProof/>
        </w:rPr>
        <w:t xml:space="preserve"> w</w:t>
      </w:r>
      <w:r w:rsidR="00DD1DFA">
        <w:rPr>
          <w:noProof/>
        </w:rPr>
        <w:t> </w:t>
      </w:r>
      <w:r w:rsidR="00DD1DFA" w:rsidRPr="00DD1DFA">
        <w:rPr>
          <w:noProof/>
        </w:rPr>
        <w:t>dok</w:t>
      </w:r>
      <w:r w:rsidR="00956076" w:rsidRPr="00DD1DFA">
        <w:rPr>
          <w:noProof/>
        </w:rPr>
        <w:t>umencie towarzyszącym wyrobowi.</w:t>
      </w:r>
    </w:p>
    <w:p w14:paraId="0777459F" w14:textId="56B36A4A" w:rsidR="00956076" w:rsidRPr="00DD1DFA" w:rsidRDefault="005F7EFA" w:rsidP="005F7EFA">
      <w:pPr>
        <w:pStyle w:val="ManualNumPar1"/>
        <w:rPr>
          <w:noProof/>
        </w:rPr>
      </w:pPr>
      <w:r w:rsidRPr="005F7EFA">
        <w:t>7.</w:t>
      </w:r>
      <w:r w:rsidRPr="005F7EFA">
        <w:tab/>
      </w:r>
      <w:r w:rsidR="00956076" w:rsidRPr="00DD1DFA">
        <w:rPr>
          <w:noProof/>
        </w:rPr>
        <w:t>Importer rozpatruje reklamacje oraz</w:t>
      </w:r>
      <w:r w:rsidR="00DD1DFA" w:rsidRPr="00DD1DFA">
        <w:rPr>
          <w:noProof/>
        </w:rPr>
        <w:t xml:space="preserve"> w</w:t>
      </w:r>
      <w:r w:rsidR="00DD1DFA">
        <w:rPr>
          <w:noProof/>
        </w:rPr>
        <w:t> </w:t>
      </w:r>
      <w:r w:rsidR="00DD1DFA" w:rsidRPr="00DD1DFA">
        <w:rPr>
          <w:noProof/>
        </w:rPr>
        <w:t>raz</w:t>
      </w:r>
      <w:r w:rsidR="00956076" w:rsidRPr="00DD1DFA">
        <w:rPr>
          <w:noProof/>
        </w:rPr>
        <w:t>ie potrzeby prowadzi ewidencję skarg, wyrobów niezgodnych</w:t>
      </w:r>
      <w:r w:rsidR="00DD1DFA" w:rsidRPr="00DD1DFA">
        <w:rPr>
          <w:noProof/>
        </w:rPr>
        <w:t xml:space="preserve"> i</w:t>
      </w:r>
      <w:r w:rsidR="00DD1DFA">
        <w:rPr>
          <w:noProof/>
        </w:rPr>
        <w:t> </w:t>
      </w:r>
      <w:r w:rsidR="00DD1DFA" w:rsidRPr="00DD1DFA">
        <w:rPr>
          <w:noProof/>
        </w:rPr>
        <w:t>wyr</w:t>
      </w:r>
      <w:r w:rsidR="00956076" w:rsidRPr="00DD1DFA">
        <w:rPr>
          <w:noProof/>
        </w:rPr>
        <w:t>obów wycofanych</w:t>
      </w:r>
      <w:r w:rsidR="00DD1DFA" w:rsidRPr="00DD1DFA">
        <w:rPr>
          <w:noProof/>
        </w:rPr>
        <w:t xml:space="preserve"> z</w:t>
      </w:r>
      <w:r w:rsidR="00DD1DFA">
        <w:rPr>
          <w:noProof/>
        </w:rPr>
        <w:t> </w:t>
      </w:r>
      <w:r w:rsidR="00DD1DFA" w:rsidRPr="00DD1DFA">
        <w:rPr>
          <w:noProof/>
        </w:rPr>
        <w:t>obr</w:t>
      </w:r>
      <w:r w:rsidR="00956076" w:rsidRPr="00DD1DFA">
        <w:rPr>
          <w:noProof/>
        </w:rPr>
        <w:t>otu lub odzyskanych,</w:t>
      </w:r>
      <w:r w:rsidR="00DD1DFA" w:rsidRPr="00DD1DFA">
        <w:rPr>
          <w:noProof/>
        </w:rPr>
        <w:t xml:space="preserve"> a</w:t>
      </w:r>
      <w:r w:rsidR="00DD1DFA">
        <w:rPr>
          <w:noProof/>
        </w:rPr>
        <w:t> </w:t>
      </w:r>
      <w:r w:rsidR="00DD1DFA" w:rsidRPr="00DD1DFA">
        <w:rPr>
          <w:noProof/>
        </w:rPr>
        <w:t>tak</w:t>
      </w:r>
      <w:r w:rsidR="00956076" w:rsidRPr="00DD1DFA">
        <w:rPr>
          <w:noProof/>
        </w:rPr>
        <w:t>że informują producentów</w:t>
      </w:r>
      <w:r w:rsidR="00DD1DFA" w:rsidRPr="00DD1DFA">
        <w:rPr>
          <w:noProof/>
        </w:rPr>
        <w:t xml:space="preserve"> i</w:t>
      </w:r>
      <w:r w:rsidR="00DD1DFA">
        <w:rPr>
          <w:noProof/>
        </w:rPr>
        <w:t> </w:t>
      </w:r>
      <w:r w:rsidR="00DD1DFA" w:rsidRPr="00DD1DFA">
        <w:rPr>
          <w:noProof/>
        </w:rPr>
        <w:t>dys</w:t>
      </w:r>
      <w:r w:rsidR="00956076" w:rsidRPr="00DD1DFA">
        <w:rPr>
          <w:noProof/>
        </w:rPr>
        <w:t>trybutorów</w:t>
      </w:r>
      <w:r w:rsidR="00DD1DFA" w:rsidRPr="00DD1DFA">
        <w:rPr>
          <w:noProof/>
        </w:rPr>
        <w:t xml:space="preserve"> o</w:t>
      </w:r>
      <w:r w:rsidR="00DD1DFA">
        <w:rPr>
          <w:noProof/>
        </w:rPr>
        <w:t> </w:t>
      </w:r>
      <w:r w:rsidR="00DD1DFA" w:rsidRPr="00DD1DFA">
        <w:rPr>
          <w:noProof/>
        </w:rPr>
        <w:t>teg</w:t>
      </w:r>
      <w:r w:rsidR="00956076" w:rsidRPr="00DD1DFA">
        <w:rPr>
          <w:noProof/>
        </w:rPr>
        <w:t>o rodzaju działaniach</w:t>
      </w:r>
      <w:r w:rsidR="00DD1DFA" w:rsidRPr="00DD1DFA">
        <w:rPr>
          <w:noProof/>
        </w:rPr>
        <w:t xml:space="preserve"> w</w:t>
      </w:r>
      <w:r w:rsidR="00DD1DFA">
        <w:rPr>
          <w:noProof/>
        </w:rPr>
        <w:t> </w:t>
      </w:r>
      <w:r w:rsidR="00DD1DFA" w:rsidRPr="00DD1DFA">
        <w:rPr>
          <w:noProof/>
        </w:rPr>
        <w:t>zak</w:t>
      </w:r>
      <w:r w:rsidR="00956076" w:rsidRPr="00DD1DFA">
        <w:rPr>
          <w:noProof/>
        </w:rPr>
        <w:t>resie takiego monitorowania.</w:t>
      </w:r>
    </w:p>
    <w:p w14:paraId="05B6A0C9" w14:textId="7327BE10" w:rsidR="00BC1E12" w:rsidRPr="00DD1DFA" w:rsidRDefault="005F7EFA" w:rsidP="005F7EFA">
      <w:pPr>
        <w:pStyle w:val="ManualNumPar1"/>
        <w:rPr>
          <w:noProof/>
        </w:rPr>
      </w:pPr>
      <w:r w:rsidRPr="005F7EFA">
        <w:t>8.</w:t>
      </w:r>
      <w:r w:rsidRPr="005F7EFA">
        <w:tab/>
      </w:r>
      <w:r w:rsidR="00956076" w:rsidRPr="00DD1DFA">
        <w:rPr>
          <w:noProof/>
        </w:rPr>
        <w:t>Importer sprzedający wyroby użytkownikom końcowym powinien również wypełniać obowiązki spoczywające na dystrybutorach.</w:t>
      </w:r>
    </w:p>
    <w:p w14:paraId="4A42EA97" w14:textId="77777777" w:rsidR="00BC1E12" w:rsidRPr="00DD1DFA" w:rsidRDefault="005979EE" w:rsidP="00E5134D">
      <w:pPr>
        <w:pStyle w:val="Titrearticle"/>
        <w:rPr>
          <w:noProof/>
        </w:rPr>
      </w:pPr>
      <w:r w:rsidRPr="00DD1DFA">
        <w:rPr>
          <w:noProof/>
        </w:rPr>
        <w:t>Artykuł 25</w:t>
      </w:r>
    </w:p>
    <w:p w14:paraId="042E8175" w14:textId="77777777" w:rsidR="00BC1E12" w:rsidRPr="00DD1DFA" w:rsidRDefault="00405599" w:rsidP="00E5134D">
      <w:pPr>
        <w:pStyle w:val="Titrearticle"/>
        <w:rPr>
          <w:b/>
          <w:bCs/>
          <w:noProof/>
        </w:rPr>
      </w:pPr>
      <w:r w:rsidRPr="00DD1DFA">
        <w:rPr>
          <w:b/>
          <w:bCs/>
          <w:noProof/>
        </w:rPr>
        <w:t>Obowiązki dystrybutorów</w:t>
      </w:r>
    </w:p>
    <w:p w14:paraId="0729122A" w14:textId="3DD36DCA" w:rsidR="00956076" w:rsidRPr="00DD1DFA" w:rsidRDefault="005F7EFA" w:rsidP="005F7EFA">
      <w:pPr>
        <w:pStyle w:val="ManualNumPar1"/>
        <w:rPr>
          <w:noProof/>
        </w:rPr>
      </w:pPr>
      <w:r w:rsidRPr="005F7EFA">
        <w:t>1.</w:t>
      </w:r>
      <w:r w:rsidRPr="005F7EFA">
        <w:tab/>
      </w:r>
      <w:r w:rsidR="00956076" w:rsidRPr="00DD1DFA">
        <w:rPr>
          <w:noProof/>
        </w:rPr>
        <w:t>Udostępniając wyrób na rynku, dystrybutor działa</w:t>
      </w:r>
      <w:r w:rsidR="00DD1DFA" w:rsidRPr="00DD1DFA">
        <w:rPr>
          <w:noProof/>
        </w:rPr>
        <w:t xml:space="preserve"> z</w:t>
      </w:r>
      <w:r w:rsidR="00DD1DFA">
        <w:rPr>
          <w:noProof/>
        </w:rPr>
        <w:t> </w:t>
      </w:r>
      <w:r w:rsidR="00DD1DFA" w:rsidRPr="00DD1DFA">
        <w:rPr>
          <w:noProof/>
        </w:rPr>
        <w:t>nal</w:t>
      </w:r>
      <w:r w:rsidR="00956076" w:rsidRPr="00DD1DFA">
        <w:rPr>
          <w:noProof/>
        </w:rPr>
        <w:t>eżytą starannością</w:t>
      </w:r>
      <w:r w:rsidR="00DD1DFA" w:rsidRPr="00DD1DFA">
        <w:rPr>
          <w:noProof/>
        </w:rPr>
        <w:t xml:space="preserve"> w</w:t>
      </w:r>
      <w:r w:rsidR="00DD1DFA">
        <w:rPr>
          <w:noProof/>
        </w:rPr>
        <w:t> </w:t>
      </w:r>
      <w:r w:rsidR="00DD1DFA" w:rsidRPr="00DD1DFA">
        <w:rPr>
          <w:noProof/>
        </w:rPr>
        <w:t>odn</w:t>
      </w:r>
      <w:r w:rsidR="00956076" w:rsidRPr="00DD1DFA">
        <w:rPr>
          <w:noProof/>
        </w:rPr>
        <w:t>iesieniu do wymagań niniejszego rozporządzenia. Ponosi on odpowiedzialność za naruszenie niniejszego artykułu</w:t>
      </w:r>
      <w:r w:rsidR="00DD1DFA" w:rsidRPr="00DD1DFA">
        <w:rPr>
          <w:noProof/>
        </w:rPr>
        <w:t xml:space="preserve"> i</w:t>
      </w:r>
      <w:r w:rsidR="00DD1DFA">
        <w:rPr>
          <w:noProof/>
        </w:rPr>
        <w:t> </w:t>
      </w:r>
      <w:r w:rsidR="00DD1DFA" w:rsidRPr="00DD1DFA">
        <w:rPr>
          <w:noProof/>
        </w:rPr>
        <w:t>art</w:t>
      </w:r>
      <w:r w:rsidR="00956076" w:rsidRPr="00DD1DFA">
        <w:rPr>
          <w:noProof/>
        </w:rPr>
        <w:t>.</w:t>
      </w:r>
      <w:r w:rsidR="00DD1DFA" w:rsidRPr="00DD1DFA">
        <w:rPr>
          <w:noProof/>
        </w:rPr>
        <w:t> </w:t>
      </w:r>
      <w:r w:rsidR="00956076" w:rsidRPr="00DD1DFA">
        <w:rPr>
          <w:noProof/>
        </w:rPr>
        <w:t>19 zgodnie</w:t>
      </w:r>
      <w:r w:rsidR="00DD1DFA" w:rsidRPr="00DD1DFA">
        <w:rPr>
          <w:noProof/>
        </w:rPr>
        <w:t xml:space="preserve"> z</w:t>
      </w:r>
      <w:r w:rsidR="00DD1DFA">
        <w:rPr>
          <w:noProof/>
        </w:rPr>
        <w:t> </w:t>
      </w:r>
      <w:r w:rsidR="00DD1DFA" w:rsidRPr="00DD1DFA">
        <w:rPr>
          <w:noProof/>
        </w:rPr>
        <w:t>kra</w:t>
      </w:r>
      <w:r w:rsidR="00956076" w:rsidRPr="00DD1DFA">
        <w:rPr>
          <w:noProof/>
        </w:rPr>
        <w:t>jowymi przepisami dotyczącymi odpowiedzialności umownej</w:t>
      </w:r>
      <w:r w:rsidR="00DD1DFA" w:rsidRPr="00DD1DFA">
        <w:rPr>
          <w:noProof/>
        </w:rPr>
        <w:t xml:space="preserve"> i</w:t>
      </w:r>
      <w:r w:rsidR="00DD1DFA">
        <w:rPr>
          <w:noProof/>
        </w:rPr>
        <w:t> </w:t>
      </w:r>
      <w:r w:rsidR="00DD1DFA" w:rsidRPr="00DD1DFA">
        <w:rPr>
          <w:noProof/>
        </w:rPr>
        <w:t>poz</w:t>
      </w:r>
      <w:r w:rsidR="00956076" w:rsidRPr="00DD1DFA">
        <w:rPr>
          <w:noProof/>
        </w:rPr>
        <w:t>aumownej.</w:t>
      </w:r>
    </w:p>
    <w:p w14:paraId="4DAA92A0" w14:textId="36FA5D20" w:rsidR="00956076" w:rsidRPr="00DD1DFA" w:rsidRDefault="005F7EFA" w:rsidP="005F7EFA">
      <w:pPr>
        <w:pStyle w:val="ManualNumPar1"/>
        <w:rPr>
          <w:noProof/>
        </w:rPr>
      </w:pPr>
      <w:r w:rsidRPr="005F7EFA">
        <w:t>2.</w:t>
      </w:r>
      <w:r w:rsidRPr="005F7EFA">
        <w:tab/>
      </w:r>
      <w:r w:rsidR="00956076" w:rsidRPr="00DD1DFA">
        <w:rPr>
          <w:noProof/>
        </w:rPr>
        <w:t>Udostępniając wyrób na rynku, dystrybutor wypełnia obowiązki spoczywające na importerach zgodnie</w:t>
      </w:r>
      <w:r w:rsidR="00DD1DFA" w:rsidRPr="00DD1DFA">
        <w:rPr>
          <w:noProof/>
        </w:rPr>
        <w:t xml:space="preserve"> z</w:t>
      </w:r>
      <w:r w:rsidR="00DD1DFA">
        <w:rPr>
          <w:noProof/>
        </w:rPr>
        <w:t> </w:t>
      </w:r>
      <w:r w:rsidR="00DD1DFA" w:rsidRPr="00DD1DFA">
        <w:rPr>
          <w:noProof/>
        </w:rPr>
        <w:t>art</w:t>
      </w:r>
      <w:r w:rsidR="00956076" w:rsidRPr="00DD1DFA">
        <w:rPr>
          <w:noProof/>
        </w:rPr>
        <w:t>.</w:t>
      </w:r>
      <w:r w:rsidR="00DD1DFA" w:rsidRPr="00DD1DFA">
        <w:rPr>
          <w:noProof/>
        </w:rPr>
        <w:t> </w:t>
      </w:r>
      <w:r w:rsidR="00956076" w:rsidRPr="00DD1DFA">
        <w:rPr>
          <w:noProof/>
        </w:rPr>
        <w:t>24 ust.</w:t>
      </w:r>
      <w:r w:rsidR="00DD1DFA" w:rsidRPr="00DD1DFA">
        <w:rPr>
          <w:noProof/>
        </w:rPr>
        <w:t> </w:t>
      </w:r>
      <w:r w:rsidR="00956076" w:rsidRPr="00DD1DFA">
        <w:rPr>
          <w:noProof/>
        </w:rPr>
        <w:t>1–5, przy czym odniesienia do „wprowadzenia do obrotu” należy rozumieć jako „dalsze udostępnianie na rynku”.</w:t>
      </w:r>
    </w:p>
    <w:p w14:paraId="23C7D4E6" w14:textId="0F2FC738" w:rsidR="00BC1E12" w:rsidRPr="00DD1DFA" w:rsidRDefault="005F7EFA" w:rsidP="005F7EFA">
      <w:pPr>
        <w:pStyle w:val="ManualNumPar1"/>
        <w:rPr>
          <w:noProof/>
        </w:rPr>
      </w:pPr>
      <w:r w:rsidRPr="005F7EFA">
        <w:t>3.</w:t>
      </w:r>
      <w:r w:rsidRPr="005F7EFA">
        <w:tab/>
      </w:r>
      <w:r w:rsidR="00956076" w:rsidRPr="00DD1DFA">
        <w:rPr>
          <w:noProof/>
        </w:rPr>
        <w:t>Dystrybutor zapewnia, aby konsumentom lub innym użytkownikom nieprofesjonalnym nie sprzedawano wyrobów oznaczonych jako „wyłącznie do użytku profesjonalnego”. Wyroby te muszą być przedstawiane jako wyroby przeznaczone wyłącznie do użytku profesjonalnego zarówno</w:t>
      </w:r>
      <w:r w:rsidR="00DD1DFA" w:rsidRPr="00DD1DFA">
        <w:rPr>
          <w:noProof/>
        </w:rPr>
        <w:t xml:space="preserve"> w</w:t>
      </w:r>
      <w:r w:rsidR="00DD1DFA">
        <w:rPr>
          <w:noProof/>
        </w:rPr>
        <w:t> </w:t>
      </w:r>
      <w:r w:rsidR="00DD1DFA" w:rsidRPr="00DD1DFA">
        <w:rPr>
          <w:noProof/>
        </w:rPr>
        <w:t>lok</w:t>
      </w:r>
      <w:r w:rsidR="00956076" w:rsidRPr="00DD1DFA">
        <w:rPr>
          <w:noProof/>
        </w:rPr>
        <w:t>alach dystrybutora, jak</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int</w:t>
      </w:r>
      <w:r w:rsidR="00956076" w:rsidRPr="00DD1DFA">
        <w:rPr>
          <w:noProof/>
        </w:rPr>
        <w:t>ernecie oraz</w:t>
      </w:r>
      <w:r w:rsidR="00DD1DFA" w:rsidRPr="00DD1DFA">
        <w:rPr>
          <w:noProof/>
        </w:rPr>
        <w:t xml:space="preserve"> w</w:t>
      </w:r>
      <w:r w:rsidR="00DD1DFA">
        <w:rPr>
          <w:noProof/>
        </w:rPr>
        <w:t> </w:t>
      </w:r>
      <w:r w:rsidR="00DD1DFA" w:rsidRPr="00DD1DFA">
        <w:rPr>
          <w:noProof/>
        </w:rPr>
        <w:t>dru</w:t>
      </w:r>
      <w:r w:rsidR="00956076" w:rsidRPr="00DD1DFA">
        <w:rPr>
          <w:noProof/>
        </w:rPr>
        <w:t>kowanych materiałach reklamowych.</w:t>
      </w:r>
    </w:p>
    <w:p w14:paraId="443F4E0D" w14:textId="77777777" w:rsidR="00BC1E12" w:rsidRPr="00DD1DFA" w:rsidRDefault="005979EE" w:rsidP="007A4B76">
      <w:pPr>
        <w:pStyle w:val="Titrearticle"/>
        <w:rPr>
          <w:noProof/>
        </w:rPr>
      </w:pPr>
      <w:r w:rsidRPr="00DD1DFA">
        <w:rPr>
          <w:noProof/>
        </w:rPr>
        <w:t>Artykuł 26</w:t>
      </w:r>
    </w:p>
    <w:p w14:paraId="4BA22209" w14:textId="124C8564" w:rsidR="00BC1E12" w:rsidRPr="00DD1DFA" w:rsidRDefault="00956076" w:rsidP="007A4B76">
      <w:pPr>
        <w:pStyle w:val="Titrearticle"/>
        <w:rPr>
          <w:b/>
          <w:noProof/>
        </w:rPr>
      </w:pPr>
      <w:r w:rsidRPr="00DD1DFA">
        <w:rPr>
          <w:b/>
          <w:noProof/>
        </w:rPr>
        <w:t>Przypadki,</w:t>
      </w:r>
      <w:r w:rsidR="00DD1DFA" w:rsidRPr="00DD1DFA">
        <w:rPr>
          <w:b/>
          <w:noProof/>
        </w:rPr>
        <w:t xml:space="preserve"> w</w:t>
      </w:r>
      <w:r w:rsidR="00DD1DFA">
        <w:rPr>
          <w:b/>
          <w:noProof/>
        </w:rPr>
        <w:t> </w:t>
      </w:r>
      <w:r w:rsidR="00DD1DFA" w:rsidRPr="00DD1DFA">
        <w:rPr>
          <w:b/>
          <w:noProof/>
        </w:rPr>
        <w:t>któ</w:t>
      </w:r>
      <w:r w:rsidRPr="00DD1DFA">
        <w:rPr>
          <w:b/>
          <w:noProof/>
        </w:rPr>
        <w:t>rych obowiązki producentów stosuje się do importerów</w:t>
      </w:r>
      <w:r w:rsidR="00DD1DFA" w:rsidRPr="00DD1DFA">
        <w:rPr>
          <w:b/>
          <w:noProof/>
        </w:rPr>
        <w:t xml:space="preserve"> i</w:t>
      </w:r>
      <w:r w:rsidR="00DD1DFA">
        <w:rPr>
          <w:b/>
          <w:noProof/>
        </w:rPr>
        <w:t> </w:t>
      </w:r>
      <w:r w:rsidR="00DD1DFA" w:rsidRPr="00DD1DFA">
        <w:rPr>
          <w:b/>
          <w:noProof/>
        </w:rPr>
        <w:t>dys</w:t>
      </w:r>
      <w:r w:rsidRPr="00DD1DFA">
        <w:rPr>
          <w:b/>
          <w:noProof/>
        </w:rPr>
        <w:t>trybutorów</w:t>
      </w:r>
    </w:p>
    <w:p w14:paraId="2600A0E4" w14:textId="72F72ABF" w:rsidR="00956076" w:rsidRPr="00DD1DFA" w:rsidRDefault="005F7EFA" w:rsidP="005F7EFA">
      <w:pPr>
        <w:pStyle w:val="ManualNumPar1"/>
        <w:rPr>
          <w:noProof/>
        </w:rPr>
      </w:pPr>
      <w:r w:rsidRPr="005F7EFA">
        <w:t>1.</w:t>
      </w:r>
      <w:r w:rsidRPr="005F7EFA">
        <w:tab/>
      </w:r>
      <w:r w:rsidR="00956076" w:rsidRPr="00DD1DFA">
        <w:rPr>
          <w:noProof/>
        </w:rPr>
        <w:t>Importer lub dystrybutor uważany jest do celów niniejszego rozporządzenia za producenta</w:t>
      </w:r>
      <w:r w:rsidR="00DD1DFA" w:rsidRPr="00DD1DFA">
        <w:rPr>
          <w:noProof/>
        </w:rPr>
        <w:t xml:space="preserve"> i</w:t>
      </w:r>
      <w:r w:rsidR="00DD1DFA">
        <w:rPr>
          <w:noProof/>
        </w:rPr>
        <w:t> </w:t>
      </w:r>
      <w:r w:rsidR="00DD1DFA" w:rsidRPr="00DD1DFA">
        <w:rPr>
          <w:noProof/>
        </w:rPr>
        <w:t>pod</w:t>
      </w:r>
      <w:r w:rsidR="00956076" w:rsidRPr="00DD1DFA">
        <w:rPr>
          <w:noProof/>
        </w:rPr>
        <w:t>lega obowiązkom producenta na podstawie art.</w:t>
      </w:r>
      <w:r w:rsidR="00DD1DFA" w:rsidRPr="00DD1DFA">
        <w:rPr>
          <w:noProof/>
        </w:rPr>
        <w:t> </w:t>
      </w:r>
      <w:r w:rsidR="00956076" w:rsidRPr="00DD1DFA">
        <w:rPr>
          <w:noProof/>
        </w:rPr>
        <w:t>21</w:t>
      </w:r>
      <w:r w:rsidR="00DD1DFA" w:rsidRPr="00DD1DFA">
        <w:rPr>
          <w:noProof/>
        </w:rPr>
        <w:t xml:space="preserve"> i</w:t>
      </w:r>
      <w:r w:rsidR="00DD1DFA">
        <w:rPr>
          <w:noProof/>
        </w:rPr>
        <w:t> </w:t>
      </w:r>
      <w:r w:rsidR="00DD1DFA" w:rsidRPr="00DD1DFA">
        <w:rPr>
          <w:noProof/>
        </w:rPr>
        <w:t>2</w:t>
      </w:r>
      <w:r w:rsidR="00956076" w:rsidRPr="00DD1DFA">
        <w:rPr>
          <w:noProof/>
        </w:rPr>
        <w:t>2,</w:t>
      </w:r>
      <w:r w:rsidR="00DD1DFA" w:rsidRPr="00DD1DFA">
        <w:rPr>
          <w:noProof/>
        </w:rPr>
        <w:t xml:space="preserve"> w</w:t>
      </w:r>
      <w:r w:rsidR="00DD1DFA">
        <w:rPr>
          <w:noProof/>
        </w:rPr>
        <w:t> </w:t>
      </w:r>
      <w:r w:rsidR="00DD1DFA" w:rsidRPr="00DD1DFA">
        <w:rPr>
          <w:noProof/>
        </w:rPr>
        <w:t>prz</w:t>
      </w:r>
      <w:r w:rsidR="00956076" w:rsidRPr="00DD1DFA">
        <w:rPr>
          <w:noProof/>
        </w:rPr>
        <w:t xml:space="preserve">ypadku gdy: </w:t>
      </w:r>
    </w:p>
    <w:p w14:paraId="01291AB5" w14:textId="08429363" w:rsidR="00956076" w:rsidRPr="00DD1DFA" w:rsidRDefault="005A4BBC" w:rsidP="005A4BBC">
      <w:pPr>
        <w:pStyle w:val="Point1"/>
        <w:rPr>
          <w:noProof/>
        </w:rPr>
      </w:pPr>
      <w:r w:rsidRPr="005A4BBC">
        <w:rPr>
          <w:noProof/>
        </w:rPr>
        <w:t>a)</w:t>
      </w:r>
      <w:r w:rsidRPr="005A4BBC">
        <w:rPr>
          <w:noProof/>
        </w:rPr>
        <w:tab/>
      </w:r>
      <w:r w:rsidR="00956076" w:rsidRPr="00DD1DFA">
        <w:rPr>
          <w:noProof/>
        </w:rPr>
        <w:t>nie istnieje producent</w:t>
      </w:r>
      <w:r w:rsidR="00DD1DFA" w:rsidRPr="00DD1DFA">
        <w:rPr>
          <w:noProof/>
        </w:rPr>
        <w:t xml:space="preserve"> w</w:t>
      </w:r>
      <w:r w:rsidR="00DD1DFA">
        <w:rPr>
          <w:noProof/>
        </w:rPr>
        <w:t> </w:t>
      </w:r>
      <w:r w:rsidR="00DD1DFA" w:rsidRPr="00DD1DFA">
        <w:rPr>
          <w:noProof/>
        </w:rPr>
        <w:t>roz</w:t>
      </w:r>
      <w:r w:rsidR="00956076" w:rsidRPr="00DD1DFA">
        <w:rPr>
          <w:noProof/>
        </w:rPr>
        <w:t xml:space="preserve">umieniu niniejszego rozporządzenia; </w:t>
      </w:r>
    </w:p>
    <w:p w14:paraId="20F236FF" w14:textId="539FB5C5" w:rsidR="00956076" w:rsidRPr="00DD1DFA" w:rsidRDefault="005A4BBC" w:rsidP="005A4BBC">
      <w:pPr>
        <w:pStyle w:val="Point1"/>
        <w:rPr>
          <w:noProof/>
        </w:rPr>
      </w:pPr>
      <w:r w:rsidRPr="005A4BBC">
        <w:rPr>
          <w:noProof/>
        </w:rPr>
        <w:t>b)</w:t>
      </w:r>
      <w:r w:rsidRPr="005A4BBC">
        <w:rPr>
          <w:noProof/>
        </w:rPr>
        <w:tab/>
      </w:r>
      <w:r w:rsidR="00956076" w:rsidRPr="00DD1DFA">
        <w:rPr>
          <w:noProof/>
        </w:rPr>
        <w:t>wprowadza wyrób na rynek jako producent pod swoją nazwą lub znakiem towarowym;</w:t>
      </w:r>
    </w:p>
    <w:p w14:paraId="073492AF" w14:textId="0FEEAC3C" w:rsidR="00956076" w:rsidRPr="00DD1DFA" w:rsidRDefault="005A4BBC" w:rsidP="005A4BBC">
      <w:pPr>
        <w:pStyle w:val="Point1"/>
        <w:rPr>
          <w:noProof/>
        </w:rPr>
      </w:pPr>
      <w:r w:rsidRPr="005A4BBC">
        <w:rPr>
          <w:noProof/>
        </w:rPr>
        <w:t>c)</w:t>
      </w:r>
      <w:r w:rsidRPr="005A4BBC">
        <w:rPr>
          <w:noProof/>
        </w:rPr>
        <w:tab/>
      </w:r>
      <w:r w:rsidR="00956076" w:rsidRPr="00DD1DFA">
        <w:rPr>
          <w:noProof/>
        </w:rPr>
        <w:t>modyfikuje wyrób</w:t>
      </w:r>
      <w:r w:rsidR="00DD1DFA" w:rsidRPr="00DD1DFA">
        <w:rPr>
          <w:noProof/>
        </w:rPr>
        <w:t xml:space="preserve"> w</w:t>
      </w:r>
      <w:r w:rsidR="00DD1DFA">
        <w:rPr>
          <w:noProof/>
        </w:rPr>
        <w:t> </w:t>
      </w:r>
      <w:r w:rsidR="00DD1DFA" w:rsidRPr="00DD1DFA">
        <w:rPr>
          <w:noProof/>
        </w:rPr>
        <w:t>tak</w:t>
      </w:r>
      <w:r w:rsidR="00956076" w:rsidRPr="00DD1DFA">
        <w:rPr>
          <w:noProof/>
        </w:rPr>
        <w:t>i sposób, że może to mieć wpływ na zgodność</w:t>
      </w:r>
      <w:r w:rsidR="00DD1DFA" w:rsidRPr="00DD1DFA">
        <w:rPr>
          <w:noProof/>
        </w:rPr>
        <w:t xml:space="preserve"> z</w:t>
      </w:r>
      <w:r w:rsidR="00DD1DFA">
        <w:rPr>
          <w:noProof/>
        </w:rPr>
        <w:t> </w:t>
      </w:r>
      <w:r w:rsidR="00DD1DFA" w:rsidRPr="00DD1DFA">
        <w:rPr>
          <w:noProof/>
        </w:rPr>
        <w:t>dek</w:t>
      </w:r>
      <w:r w:rsidR="00956076" w:rsidRPr="00DD1DFA">
        <w:rPr>
          <w:noProof/>
        </w:rPr>
        <w:t>laracją właściwości użytkowych</w:t>
      </w:r>
      <w:r w:rsidR="00DD1DFA" w:rsidRPr="00DD1DFA">
        <w:rPr>
          <w:noProof/>
        </w:rPr>
        <w:t xml:space="preserve"> i</w:t>
      </w:r>
      <w:r w:rsidR="00DD1DFA">
        <w:rPr>
          <w:noProof/>
        </w:rPr>
        <w:t> </w:t>
      </w:r>
      <w:r w:rsidR="00DD1DFA" w:rsidRPr="00DD1DFA">
        <w:rPr>
          <w:noProof/>
        </w:rPr>
        <w:t>zgo</w:t>
      </w:r>
      <w:r w:rsidR="00956076" w:rsidRPr="00DD1DFA">
        <w:rPr>
          <w:noProof/>
        </w:rPr>
        <w:t>dności lub</w:t>
      </w:r>
      <w:r w:rsidR="00DD1DFA" w:rsidRPr="00DD1DFA">
        <w:rPr>
          <w:noProof/>
        </w:rPr>
        <w:t xml:space="preserve"> z</w:t>
      </w:r>
      <w:r w:rsidR="00DD1DFA">
        <w:rPr>
          <w:noProof/>
        </w:rPr>
        <w:t> </w:t>
      </w:r>
      <w:r w:rsidR="00DD1DFA" w:rsidRPr="00DD1DFA">
        <w:rPr>
          <w:noProof/>
        </w:rPr>
        <w:t>wym</w:t>
      </w:r>
      <w:r w:rsidR="00956076" w:rsidRPr="00DD1DFA">
        <w:rPr>
          <w:noProof/>
        </w:rPr>
        <w:t>aganiami określonymi</w:t>
      </w:r>
      <w:r w:rsidR="00DD1DFA" w:rsidRPr="00DD1DFA">
        <w:rPr>
          <w:noProof/>
        </w:rPr>
        <w:t xml:space="preserve"> w</w:t>
      </w:r>
      <w:r w:rsidR="00DD1DFA">
        <w:rPr>
          <w:noProof/>
        </w:rPr>
        <w:t> </w:t>
      </w:r>
      <w:r w:rsidR="00DD1DFA" w:rsidRPr="00DD1DFA">
        <w:rPr>
          <w:noProof/>
        </w:rPr>
        <w:t>nin</w:t>
      </w:r>
      <w:r w:rsidR="00956076" w:rsidRPr="00DD1DFA">
        <w:rPr>
          <w:noProof/>
        </w:rPr>
        <w:t>iejszym rozporządzeniu</w:t>
      </w:r>
      <w:r w:rsidR="00DD1DFA" w:rsidRPr="00DD1DFA">
        <w:rPr>
          <w:noProof/>
        </w:rPr>
        <w:t xml:space="preserve"> i</w:t>
      </w:r>
      <w:r w:rsidR="00DD1DFA">
        <w:rPr>
          <w:noProof/>
        </w:rPr>
        <w:t> </w:t>
      </w:r>
      <w:r w:rsidR="00DD1DFA" w:rsidRPr="00DD1DFA">
        <w:rPr>
          <w:noProof/>
        </w:rPr>
        <w:t>zgo</w:t>
      </w:r>
      <w:r w:rsidR="00956076" w:rsidRPr="00DD1DFA">
        <w:rPr>
          <w:noProof/>
        </w:rPr>
        <w:t>dnie</w:t>
      </w:r>
      <w:r w:rsidR="00DD1DFA" w:rsidRPr="00DD1DFA">
        <w:rPr>
          <w:noProof/>
        </w:rPr>
        <w:t xml:space="preserve"> z</w:t>
      </w:r>
      <w:r w:rsidR="00DD1DFA">
        <w:rPr>
          <w:noProof/>
        </w:rPr>
        <w:t> </w:t>
      </w:r>
      <w:r w:rsidR="00DD1DFA" w:rsidRPr="00DD1DFA">
        <w:rPr>
          <w:noProof/>
        </w:rPr>
        <w:t>nim</w:t>
      </w:r>
      <w:r w:rsidR="00956076" w:rsidRPr="00DD1DFA">
        <w:rPr>
          <w:noProof/>
        </w:rPr>
        <w:t>;</w:t>
      </w:r>
    </w:p>
    <w:p w14:paraId="06EBEB7A" w14:textId="656C9066" w:rsidR="00956076" w:rsidRPr="00DD1DFA" w:rsidRDefault="005A4BBC" w:rsidP="005A4BBC">
      <w:pPr>
        <w:pStyle w:val="Point1"/>
        <w:rPr>
          <w:noProof/>
        </w:rPr>
      </w:pPr>
      <w:r w:rsidRPr="005A4BBC">
        <w:rPr>
          <w:noProof/>
        </w:rPr>
        <w:t>d)</w:t>
      </w:r>
      <w:r w:rsidRPr="005A4BBC">
        <w:rPr>
          <w:noProof/>
        </w:rPr>
        <w:tab/>
      </w:r>
      <w:r w:rsidR="00956076" w:rsidRPr="00DD1DFA">
        <w:rPr>
          <w:noProof/>
        </w:rPr>
        <w:t>traktuje wyrób</w:t>
      </w:r>
      <w:r w:rsidR="00DD1DFA" w:rsidRPr="00DD1DFA">
        <w:rPr>
          <w:noProof/>
        </w:rPr>
        <w:t xml:space="preserve"> w</w:t>
      </w:r>
      <w:r w:rsidR="00DD1DFA">
        <w:rPr>
          <w:noProof/>
        </w:rPr>
        <w:t> </w:t>
      </w:r>
      <w:r w:rsidR="00DD1DFA" w:rsidRPr="00DD1DFA">
        <w:rPr>
          <w:noProof/>
        </w:rPr>
        <w:t>spo</w:t>
      </w:r>
      <w:r w:rsidR="00956076" w:rsidRPr="00DD1DFA">
        <w:rPr>
          <w:noProof/>
        </w:rPr>
        <w:t>sób, który zmienia zagrożenia</w:t>
      </w:r>
      <w:r w:rsidR="00DD1DFA" w:rsidRPr="00DD1DFA">
        <w:rPr>
          <w:noProof/>
        </w:rPr>
        <w:t xml:space="preserve"> z</w:t>
      </w:r>
      <w:r w:rsidR="00DD1DFA">
        <w:rPr>
          <w:noProof/>
        </w:rPr>
        <w:t> </w:t>
      </w:r>
      <w:r w:rsidR="00DD1DFA" w:rsidRPr="00DD1DFA">
        <w:rPr>
          <w:noProof/>
        </w:rPr>
        <w:t>nim</w:t>
      </w:r>
      <w:r w:rsidR="00956076" w:rsidRPr="00DD1DFA">
        <w:rPr>
          <w:noProof/>
        </w:rPr>
        <w:t xml:space="preserve"> związane lub zwiększa poziom ryzyka przezeń stwarzanego</w:t>
      </w:r>
      <w:r w:rsidR="00DD1DFA" w:rsidRPr="00DD1DFA">
        <w:rPr>
          <w:noProof/>
        </w:rPr>
        <w:t xml:space="preserve"> w</w:t>
      </w:r>
      <w:r w:rsidR="00DD1DFA">
        <w:rPr>
          <w:noProof/>
        </w:rPr>
        <w:t> </w:t>
      </w:r>
      <w:r w:rsidR="00DD1DFA" w:rsidRPr="00DD1DFA">
        <w:rPr>
          <w:noProof/>
        </w:rPr>
        <w:t>tra</w:t>
      </w:r>
      <w:r w:rsidR="00956076" w:rsidRPr="00DD1DFA">
        <w:rPr>
          <w:noProof/>
        </w:rPr>
        <w:t>kcie cyklu życia wyrobu;</w:t>
      </w:r>
    </w:p>
    <w:p w14:paraId="23B56361" w14:textId="54629939" w:rsidR="00956076" w:rsidRPr="00DD1DFA" w:rsidRDefault="005A4BBC" w:rsidP="005A4BBC">
      <w:pPr>
        <w:pStyle w:val="Point1"/>
        <w:rPr>
          <w:noProof/>
        </w:rPr>
      </w:pPr>
      <w:r w:rsidRPr="005A4BBC">
        <w:rPr>
          <w:noProof/>
        </w:rPr>
        <w:t>e)</w:t>
      </w:r>
      <w:r w:rsidRPr="005A4BBC">
        <w:rPr>
          <w:noProof/>
        </w:rPr>
        <w:tab/>
      </w:r>
      <w:r w:rsidR="00956076" w:rsidRPr="00DD1DFA">
        <w:rPr>
          <w:noProof/>
        </w:rPr>
        <w:t>udostępnia na rynku wyrób, którego zamierzone zastosowanie jest inne niż to, które zostało przypisane przez producenta</w:t>
      </w:r>
      <w:r w:rsidR="00DD1DFA" w:rsidRPr="00DD1DFA">
        <w:rPr>
          <w:noProof/>
        </w:rPr>
        <w:t xml:space="preserve"> w</w:t>
      </w:r>
      <w:r w:rsidR="00DD1DFA">
        <w:rPr>
          <w:noProof/>
        </w:rPr>
        <w:t> </w:t>
      </w:r>
      <w:r w:rsidR="00DD1DFA" w:rsidRPr="00DD1DFA">
        <w:rPr>
          <w:noProof/>
        </w:rPr>
        <w:t>pro</w:t>
      </w:r>
      <w:r w:rsidR="00956076" w:rsidRPr="00DD1DFA">
        <w:rPr>
          <w:noProof/>
        </w:rPr>
        <w:t>cedurze oceny właściwości użytkowych</w:t>
      </w:r>
      <w:r w:rsidR="00DD1DFA" w:rsidRPr="00DD1DFA">
        <w:rPr>
          <w:noProof/>
        </w:rPr>
        <w:t xml:space="preserve"> i</w:t>
      </w:r>
      <w:r w:rsidR="00DD1DFA">
        <w:rPr>
          <w:noProof/>
        </w:rPr>
        <w:t> </w:t>
      </w:r>
      <w:r w:rsidR="00DD1DFA" w:rsidRPr="00DD1DFA">
        <w:rPr>
          <w:noProof/>
        </w:rPr>
        <w:t>zgo</w:t>
      </w:r>
      <w:r w:rsidR="00956076" w:rsidRPr="00DD1DFA">
        <w:rPr>
          <w:noProof/>
        </w:rPr>
        <w:t>dności; lub</w:t>
      </w:r>
    </w:p>
    <w:p w14:paraId="00B236FA" w14:textId="14F20047" w:rsidR="00956076" w:rsidRPr="00DD1DFA" w:rsidRDefault="005A4BBC" w:rsidP="005A4BBC">
      <w:pPr>
        <w:pStyle w:val="Point1"/>
        <w:rPr>
          <w:noProof/>
        </w:rPr>
      </w:pPr>
      <w:r w:rsidRPr="005A4BBC">
        <w:rPr>
          <w:noProof/>
        </w:rPr>
        <w:t>f)</w:t>
      </w:r>
      <w:r w:rsidRPr="005A4BBC">
        <w:rPr>
          <w:noProof/>
        </w:rPr>
        <w:tab/>
      </w:r>
      <w:r w:rsidR="00956076" w:rsidRPr="00DD1DFA">
        <w:rPr>
          <w:noProof/>
        </w:rPr>
        <w:t>podaje właściwości wyrobu odbiegające od właściwości podawanych przez producenta.</w:t>
      </w:r>
    </w:p>
    <w:p w14:paraId="4FF3CF87" w14:textId="6BBDFF47" w:rsidR="00956076" w:rsidRPr="00DD1DFA" w:rsidRDefault="005F7EFA" w:rsidP="005F7EFA">
      <w:pPr>
        <w:pStyle w:val="ManualNumPar1"/>
        <w:rPr>
          <w:noProof/>
        </w:rPr>
      </w:pPr>
      <w:r w:rsidRPr="005F7EFA">
        <w:t>2.</w:t>
      </w:r>
      <w:r w:rsidRPr="005F7EFA">
        <w:tab/>
      </w:r>
      <w:r w:rsidR="00956076" w:rsidRPr="00DD1DFA">
        <w:rPr>
          <w:noProof/>
        </w:rPr>
        <w:t>Ust. 1 ma zastosowanie również do:</w:t>
      </w:r>
    </w:p>
    <w:p w14:paraId="576D40CD" w14:textId="1507B9CE" w:rsidR="00956076" w:rsidRPr="00DD1DFA" w:rsidRDefault="005A4BBC" w:rsidP="005A4BBC">
      <w:pPr>
        <w:pStyle w:val="Point1"/>
        <w:rPr>
          <w:noProof/>
          <w:szCs w:val="24"/>
        </w:rPr>
      </w:pPr>
      <w:r w:rsidRPr="005A4BBC">
        <w:rPr>
          <w:noProof/>
        </w:rPr>
        <w:t>a)</w:t>
      </w:r>
      <w:r w:rsidRPr="005A4BBC">
        <w:rPr>
          <w:noProof/>
        </w:rPr>
        <w:tab/>
      </w:r>
      <w:r w:rsidR="00956076" w:rsidRPr="00DD1DFA">
        <w:rPr>
          <w:noProof/>
        </w:rPr>
        <w:t>importera wyrobów używanych lub poddanych regeneracji, chyba że wyroby używane lub poddane regeneracji zostały wprowadzone do obrotu</w:t>
      </w:r>
      <w:r w:rsidR="00DD1DFA" w:rsidRPr="00DD1DFA">
        <w:rPr>
          <w:noProof/>
        </w:rPr>
        <w:t xml:space="preserve"> w</w:t>
      </w:r>
      <w:r w:rsidR="00DD1DFA">
        <w:rPr>
          <w:noProof/>
        </w:rPr>
        <w:t> </w:t>
      </w:r>
      <w:r w:rsidR="00DD1DFA" w:rsidRPr="00DD1DFA">
        <w:rPr>
          <w:noProof/>
        </w:rPr>
        <w:t>Uni</w:t>
      </w:r>
      <w:r w:rsidR="00956076" w:rsidRPr="00DD1DFA">
        <w:rPr>
          <w:noProof/>
        </w:rPr>
        <w:t xml:space="preserve">i przed ich użyciem; </w:t>
      </w:r>
    </w:p>
    <w:p w14:paraId="155BE280" w14:textId="37F5306C" w:rsidR="00956076" w:rsidRPr="00DD1DFA" w:rsidRDefault="005A4BBC" w:rsidP="005A4BBC">
      <w:pPr>
        <w:pStyle w:val="Point1"/>
        <w:rPr>
          <w:rFonts w:eastAsia="Calibri"/>
          <w:noProof/>
          <w:color w:val="00000A"/>
          <w:szCs w:val="24"/>
        </w:rPr>
      </w:pPr>
      <w:r w:rsidRPr="005A4BBC">
        <w:rPr>
          <w:noProof/>
        </w:rPr>
        <w:t>b)</w:t>
      </w:r>
      <w:r w:rsidRPr="005A4BBC">
        <w:rPr>
          <w:noProof/>
        </w:rPr>
        <w:tab/>
      </w:r>
      <w:r w:rsidR="00956076" w:rsidRPr="00DD1DFA">
        <w:rPr>
          <w:noProof/>
        </w:rPr>
        <w:t>importera lub dystrybutora wyrobów używanych, który podejmuje jedno</w:t>
      </w:r>
      <w:r w:rsidR="00DD1DFA" w:rsidRPr="00DD1DFA">
        <w:rPr>
          <w:noProof/>
        </w:rPr>
        <w:t xml:space="preserve"> z</w:t>
      </w:r>
      <w:r w:rsidR="00DD1DFA">
        <w:rPr>
          <w:noProof/>
        </w:rPr>
        <w:t> </w:t>
      </w:r>
      <w:r w:rsidR="00DD1DFA" w:rsidRPr="00DD1DFA">
        <w:rPr>
          <w:noProof/>
        </w:rPr>
        <w:t>pon</w:t>
      </w:r>
      <w:r w:rsidR="00956076" w:rsidRPr="00DD1DFA">
        <w:rPr>
          <w:noProof/>
        </w:rPr>
        <w:t>iższych działań:</w:t>
      </w:r>
    </w:p>
    <w:p w14:paraId="010CFCCE" w14:textId="624427F6" w:rsidR="00956076" w:rsidRPr="00DD1DFA" w:rsidRDefault="005F7EFA" w:rsidP="005F7EFA">
      <w:pPr>
        <w:pStyle w:val="Point2"/>
        <w:rPr>
          <w:noProof/>
        </w:rPr>
      </w:pPr>
      <w:r w:rsidRPr="005F7EFA">
        <w:t>(i)</w:t>
      </w:r>
      <w:r w:rsidRPr="005F7EFA">
        <w:tab/>
      </w:r>
      <w:r w:rsidR="00956076" w:rsidRPr="00DD1DFA">
        <w:rPr>
          <w:noProof/>
        </w:rPr>
        <w:t>poddaje te wyroby używane procesowi przekształcenia wykraczającemu poza naprawę, czyszczenie</w:t>
      </w:r>
      <w:r w:rsidR="00DD1DFA" w:rsidRPr="00DD1DFA">
        <w:rPr>
          <w:noProof/>
        </w:rPr>
        <w:t xml:space="preserve"> i</w:t>
      </w:r>
      <w:r w:rsidR="00DD1DFA">
        <w:rPr>
          <w:noProof/>
        </w:rPr>
        <w:t> </w:t>
      </w:r>
      <w:r w:rsidR="00DD1DFA" w:rsidRPr="00DD1DFA">
        <w:rPr>
          <w:noProof/>
        </w:rPr>
        <w:t>reg</w:t>
      </w:r>
      <w:r w:rsidR="00956076" w:rsidRPr="00DD1DFA">
        <w:rPr>
          <w:noProof/>
        </w:rPr>
        <w:t>ularną konserwację po ich demontażu;</w:t>
      </w:r>
    </w:p>
    <w:p w14:paraId="6A4B1611" w14:textId="610A469F" w:rsidR="00956076" w:rsidRPr="00DD1DFA" w:rsidRDefault="005F7EFA" w:rsidP="005F7EFA">
      <w:pPr>
        <w:pStyle w:val="Point2"/>
        <w:rPr>
          <w:noProof/>
        </w:rPr>
      </w:pPr>
      <w:r w:rsidRPr="005F7EFA">
        <w:t>(ii)</w:t>
      </w:r>
      <w:r w:rsidRPr="005F7EFA">
        <w:tab/>
      </w:r>
      <w:r w:rsidR="00956076" w:rsidRPr="00DD1DFA">
        <w:rPr>
          <w:noProof/>
        </w:rPr>
        <w:t>decyduje się na przyjęcie roli producenta.</w:t>
      </w:r>
    </w:p>
    <w:p w14:paraId="5D9A82F6" w14:textId="591DA330" w:rsidR="00956076" w:rsidRPr="00DD1DFA" w:rsidRDefault="005F7EFA" w:rsidP="005F7EFA">
      <w:pPr>
        <w:pStyle w:val="ManualNumPar1"/>
        <w:rPr>
          <w:noProof/>
        </w:rPr>
      </w:pPr>
      <w:r w:rsidRPr="005F7EFA">
        <w:t>3.</w:t>
      </w:r>
      <w:r w:rsidRPr="005F7EFA">
        <w:tab/>
      </w:r>
      <w:r w:rsidR="00956076" w:rsidRPr="00DD1DFA">
        <w:rPr>
          <w:noProof/>
        </w:rPr>
        <w:t>Ust. 1 nie ma zastosowania</w:t>
      </w:r>
      <w:r w:rsidR="00DD1DFA" w:rsidRPr="00DD1DFA">
        <w:rPr>
          <w:noProof/>
        </w:rPr>
        <w:t xml:space="preserve"> w</w:t>
      </w:r>
      <w:r w:rsidR="00DD1DFA">
        <w:rPr>
          <w:noProof/>
        </w:rPr>
        <w:t> </w:t>
      </w:r>
      <w:r w:rsidR="00DD1DFA" w:rsidRPr="00DD1DFA">
        <w:rPr>
          <w:noProof/>
        </w:rPr>
        <w:t>prz</w:t>
      </w:r>
      <w:r w:rsidR="00956076" w:rsidRPr="00DD1DFA">
        <w:rPr>
          <w:noProof/>
        </w:rPr>
        <w:t>ypadkach, gdy podmiot gospodarczy jedynie:</w:t>
      </w:r>
    </w:p>
    <w:p w14:paraId="0B9EF52E" w14:textId="7D5E198F" w:rsidR="00956076" w:rsidRPr="00DD1DFA" w:rsidRDefault="005A4BBC" w:rsidP="005A4BBC">
      <w:pPr>
        <w:pStyle w:val="Point1"/>
        <w:rPr>
          <w:noProof/>
        </w:rPr>
      </w:pPr>
      <w:r w:rsidRPr="005A4BBC">
        <w:rPr>
          <w:noProof/>
        </w:rPr>
        <w:t>a)</w:t>
      </w:r>
      <w:r w:rsidRPr="005A4BBC">
        <w:rPr>
          <w:noProof/>
        </w:rPr>
        <w:tab/>
      </w:r>
      <w:r w:rsidR="00956076" w:rsidRPr="00DD1DFA">
        <w:rPr>
          <w:noProof/>
        </w:rPr>
        <w:t>dodaje tłumaczenia informacji dostarczonych przez producenta;</w:t>
      </w:r>
    </w:p>
    <w:p w14:paraId="6C30A912" w14:textId="7DCC6582" w:rsidR="00956076" w:rsidRPr="00DD1DFA" w:rsidRDefault="005A4BBC" w:rsidP="005A4BBC">
      <w:pPr>
        <w:pStyle w:val="Point1"/>
        <w:rPr>
          <w:noProof/>
        </w:rPr>
      </w:pPr>
      <w:r w:rsidRPr="005A4BBC">
        <w:rPr>
          <w:noProof/>
        </w:rPr>
        <w:t>b)</w:t>
      </w:r>
      <w:r w:rsidRPr="005A4BBC">
        <w:rPr>
          <w:noProof/>
        </w:rPr>
        <w:tab/>
      </w:r>
      <w:r w:rsidR="00956076" w:rsidRPr="00DD1DFA">
        <w:rPr>
          <w:noProof/>
        </w:rPr>
        <w:t>zastępuje opakowanie zewnętrzne wyrobu już wprowadzonego do obrotu,</w:t>
      </w:r>
      <w:r w:rsidR="00DD1DFA" w:rsidRPr="00DD1DFA">
        <w:rPr>
          <w:noProof/>
        </w:rPr>
        <w:t xml:space="preserve"> w</w:t>
      </w:r>
      <w:r w:rsidR="00DD1DFA">
        <w:rPr>
          <w:noProof/>
        </w:rPr>
        <w:t> </w:t>
      </w:r>
      <w:r w:rsidR="00DD1DFA" w:rsidRPr="00DD1DFA">
        <w:rPr>
          <w:noProof/>
        </w:rPr>
        <w:t>tym</w:t>
      </w:r>
      <w:r w:rsidR="00956076" w:rsidRPr="00DD1DFA">
        <w:rPr>
          <w:noProof/>
        </w:rPr>
        <w:t xml:space="preserve"> przy zmianie wielkości opakowania, jeżeli przepakowywanie jest dokonywane</w:t>
      </w:r>
      <w:r w:rsidR="00DD1DFA" w:rsidRPr="00DD1DFA">
        <w:rPr>
          <w:noProof/>
        </w:rPr>
        <w:t xml:space="preserve"> w</w:t>
      </w:r>
      <w:r w:rsidR="00DD1DFA">
        <w:rPr>
          <w:noProof/>
        </w:rPr>
        <w:t> </w:t>
      </w:r>
      <w:r w:rsidR="00DD1DFA" w:rsidRPr="00DD1DFA">
        <w:rPr>
          <w:noProof/>
        </w:rPr>
        <w:t>tak</w:t>
      </w:r>
      <w:r w:rsidR="00956076" w:rsidRPr="00DD1DFA">
        <w:rPr>
          <w:noProof/>
        </w:rPr>
        <w:t>i sposób, że nie ma ono wpływu na pierwotny stan wyrobu i że informacje, które należy podać zgodnie</w:t>
      </w:r>
      <w:r w:rsidR="00DD1DFA" w:rsidRPr="00DD1DFA">
        <w:rPr>
          <w:noProof/>
        </w:rPr>
        <w:t xml:space="preserve"> z</w:t>
      </w:r>
      <w:r w:rsidR="00DD1DFA">
        <w:rPr>
          <w:noProof/>
        </w:rPr>
        <w:t> </w:t>
      </w:r>
      <w:r w:rsidR="00DD1DFA" w:rsidRPr="00DD1DFA">
        <w:rPr>
          <w:noProof/>
        </w:rPr>
        <w:t>nin</w:t>
      </w:r>
      <w:r w:rsidR="00956076" w:rsidRPr="00DD1DFA">
        <w:rPr>
          <w:noProof/>
        </w:rPr>
        <w:t>iejszym rozporządzeniem, są nadal prawidłowo podane.</w:t>
      </w:r>
    </w:p>
    <w:p w14:paraId="21D2FCB2" w14:textId="2677B313" w:rsidR="00BC1E12" w:rsidRPr="00DD1DFA" w:rsidRDefault="005F7EFA" w:rsidP="005F7EFA">
      <w:pPr>
        <w:pStyle w:val="ManualNumPar1"/>
        <w:rPr>
          <w:noProof/>
        </w:rPr>
      </w:pPr>
      <w:r w:rsidRPr="005F7EFA">
        <w:t>4.</w:t>
      </w:r>
      <w:r w:rsidRPr="005F7EFA">
        <w:tab/>
      </w:r>
      <w:r w:rsidR="00956076" w:rsidRPr="00DD1DFA">
        <w:rPr>
          <w:noProof/>
        </w:rPr>
        <w:t>Podmiot gospodarczy prowadzący działalność wymienioną</w:t>
      </w:r>
      <w:r w:rsidR="00DD1DFA" w:rsidRPr="00DD1DFA">
        <w:rPr>
          <w:noProof/>
        </w:rPr>
        <w:t xml:space="preserve"> w</w:t>
      </w:r>
      <w:r w:rsidR="00DD1DFA">
        <w:rPr>
          <w:noProof/>
        </w:rPr>
        <w:t> </w:t>
      </w:r>
      <w:r w:rsidR="00DD1DFA" w:rsidRPr="00DD1DFA">
        <w:rPr>
          <w:noProof/>
        </w:rPr>
        <w:t>ust</w:t>
      </w:r>
      <w:r w:rsidR="00956076" w:rsidRPr="00DD1DFA">
        <w:rPr>
          <w:noProof/>
        </w:rPr>
        <w:t>.</w:t>
      </w:r>
      <w:r w:rsidR="00DD1DFA" w:rsidRPr="00DD1DFA">
        <w:rPr>
          <w:noProof/>
        </w:rPr>
        <w:t> </w:t>
      </w:r>
      <w:r w:rsidR="00956076" w:rsidRPr="00DD1DFA">
        <w:rPr>
          <w:noProof/>
        </w:rPr>
        <w:t>3 informuje</w:t>
      </w:r>
      <w:r w:rsidR="00DD1DFA" w:rsidRPr="00DD1DFA">
        <w:rPr>
          <w:noProof/>
        </w:rPr>
        <w:t xml:space="preserve"> o</w:t>
      </w:r>
      <w:r w:rsidR="00DD1DFA">
        <w:rPr>
          <w:noProof/>
        </w:rPr>
        <w:t> </w:t>
      </w:r>
      <w:r w:rsidR="00DD1DFA" w:rsidRPr="00DD1DFA">
        <w:rPr>
          <w:noProof/>
        </w:rPr>
        <w:t>tym</w:t>
      </w:r>
      <w:r w:rsidR="00956076" w:rsidRPr="00DD1DFA">
        <w:rPr>
          <w:noProof/>
        </w:rPr>
        <w:t xml:space="preserve"> producenta lub jego upoważnionego przedstawiciela, niezależnie od tego, czy jest właścicielem wyrobów, czy świadczy usługi. Dokonuje on przepakowywania</w:t>
      </w:r>
      <w:r w:rsidR="00DD1DFA" w:rsidRPr="00DD1DFA">
        <w:rPr>
          <w:noProof/>
        </w:rPr>
        <w:t xml:space="preserve"> w</w:t>
      </w:r>
      <w:r w:rsidR="00DD1DFA">
        <w:rPr>
          <w:noProof/>
        </w:rPr>
        <w:t> </w:t>
      </w:r>
      <w:r w:rsidR="00DD1DFA" w:rsidRPr="00DD1DFA">
        <w:rPr>
          <w:noProof/>
        </w:rPr>
        <w:t>tak</w:t>
      </w:r>
      <w:r w:rsidR="00956076" w:rsidRPr="00DD1DFA">
        <w:rPr>
          <w:noProof/>
        </w:rPr>
        <w:t>i sposób, aby nie miało ono wpływu na pierwotny stan wyrobu</w:t>
      </w:r>
      <w:r w:rsidR="00DD1DFA" w:rsidRPr="00DD1DFA">
        <w:rPr>
          <w:noProof/>
        </w:rPr>
        <w:t xml:space="preserve"> i</w:t>
      </w:r>
      <w:r w:rsidR="00DD1DFA">
        <w:rPr>
          <w:noProof/>
        </w:rPr>
        <w:t> </w:t>
      </w:r>
      <w:r w:rsidR="00DD1DFA" w:rsidRPr="00DD1DFA">
        <w:rPr>
          <w:noProof/>
        </w:rPr>
        <w:t>aby</w:t>
      </w:r>
      <w:r w:rsidR="00956076" w:rsidRPr="00DD1DFA">
        <w:rPr>
          <w:noProof/>
        </w:rPr>
        <w:t xml:space="preserve"> informacje, które należy podać zgodnie</w:t>
      </w:r>
      <w:r w:rsidR="00DD1DFA" w:rsidRPr="00DD1DFA">
        <w:rPr>
          <w:noProof/>
        </w:rPr>
        <w:t xml:space="preserve"> z</w:t>
      </w:r>
      <w:r w:rsidR="00DD1DFA">
        <w:rPr>
          <w:noProof/>
        </w:rPr>
        <w:t> </w:t>
      </w:r>
      <w:r w:rsidR="00DD1DFA" w:rsidRPr="00DD1DFA">
        <w:rPr>
          <w:noProof/>
        </w:rPr>
        <w:t>nin</w:t>
      </w:r>
      <w:r w:rsidR="00956076" w:rsidRPr="00DD1DFA">
        <w:rPr>
          <w:noProof/>
        </w:rPr>
        <w:t>iejszym rozporządzeniem, były nadal prawidłowo podane. Podmiot gospodarczy działa</w:t>
      </w:r>
      <w:r w:rsidR="00DD1DFA" w:rsidRPr="00DD1DFA">
        <w:rPr>
          <w:noProof/>
        </w:rPr>
        <w:t xml:space="preserve"> z</w:t>
      </w:r>
      <w:r w:rsidR="00DD1DFA">
        <w:rPr>
          <w:noProof/>
        </w:rPr>
        <w:t> </w:t>
      </w:r>
      <w:r w:rsidR="00DD1DFA" w:rsidRPr="00DD1DFA">
        <w:rPr>
          <w:noProof/>
        </w:rPr>
        <w:t>nal</w:t>
      </w:r>
      <w:r w:rsidR="00956076" w:rsidRPr="00DD1DFA">
        <w:rPr>
          <w:noProof/>
        </w:rPr>
        <w:t>eżytą starannością</w:t>
      </w:r>
      <w:r w:rsidR="00DD1DFA" w:rsidRPr="00DD1DFA">
        <w:rPr>
          <w:noProof/>
        </w:rPr>
        <w:t xml:space="preserve"> w</w:t>
      </w:r>
      <w:r w:rsidR="00DD1DFA">
        <w:rPr>
          <w:noProof/>
        </w:rPr>
        <w:t> </w:t>
      </w:r>
      <w:r w:rsidR="00DD1DFA" w:rsidRPr="00DD1DFA">
        <w:rPr>
          <w:noProof/>
        </w:rPr>
        <w:t>odn</w:t>
      </w:r>
      <w:r w:rsidR="00956076" w:rsidRPr="00DD1DFA">
        <w:rPr>
          <w:noProof/>
        </w:rPr>
        <w:t>iesieniu do wymagań niniejszego rozporządzenia. Ponosi on odpowiedzialność za naruszenie przepisów niniejszego rozporządzenia.</w:t>
      </w:r>
    </w:p>
    <w:p w14:paraId="3634F488" w14:textId="77777777" w:rsidR="00BC1E12" w:rsidRPr="00DD1DFA" w:rsidRDefault="005979EE" w:rsidP="00EF1F4D">
      <w:pPr>
        <w:pStyle w:val="Titrearticle"/>
        <w:rPr>
          <w:noProof/>
        </w:rPr>
      </w:pPr>
      <w:r w:rsidRPr="00DD1DFA">
        <w:rPr>
          <w:noProof/>
        </w:rPr>
        <w:t>Artykuł 27</w:t>
      </w:r>
    </w:p>
    <w:p w14:paraId="2895E444" w14:textId="122B3900" w:rsidR="00BC1E12" w:rsidRPr="00DD1DFA" w:rsidRDefault="006C19FF" w:rsidP="00EF1F4D">
      <w:pPr>
        <w:pStyle w:val="Titrearticle"/>
        <w:rPr>
          <w:b/>
          <w:bCs/>
          <w:noProof/>
        </w:rPr>
      </w:pPr>
      <w:r w:rsidRPr="00DD1DFA">
        <w:rPr>
          <w:b/>
          <w:bCs/>
          <w:noProof/>
        </w:rPr>
        <w:t>Obowiązki dostawców usług realizacji zamówień, brokerów, internetowych platform handlowych, sprzedawców internetowych, sklepów internetowych</w:t>
      </w:r>
      <w:r w:rsidR="00DD1DFA" w:rsidRPr="00DD1DFA">
        <w:rPr>
          <w:b/>
          <w:bCs/>
          <w:noProof/>
        </w:rPr>
        <w:t xml:space="preserve"> i</w:t>
      </w:r>
      <w:r w:rsidR="00DD1DFA">
        <w:rPr>
          <w:b/>
          <w:bCs/>
          <w:noProof/>
        </w:rPr>
        <w:t> </w:t>
      </w:r>
      <w:r w:rsidR="00DD1DFA" w:rsidRPr="00DD1DFA">
        <w:rPr>
          <w:b/>
          <w:bCs/>
          <w:noProof/>
        </w:rPr>
        <w:t>wys</w:t>
      </w:r>
      <w:r w:rsidRPr="00DD1DFA">
        <w:rPr>
          <w:b/>
          <w:bCs/>
          <w:noProof/>
        </w:rPr>
        <w:t>zukiwarek internetowych</w:t>
      </w:r>
    </w:p>
    <w:p w14:paraId="1962DCE5" w14:textId="2D11FF31" w:rsidR="00F014B6" w:rsidRPr="00DD1DFA" w:rsidRDefault="005F7EFA" w:rsidP="005F7EFA">
      <w:pPr>
        <w:pStyle w:val="ManualNumPar1"/>
        <w:rPr>
          <w:noProof/>
        </w:rPr>
      </w:pPr>
      <w:r w:rsidRPr="005F7EFA">
        <w:t>1.</w:t>
      </w:r>
      <w:r w:rsidRPr="005F7EFA">
        <w:tab/>
      </w:r>
      <w:r w:rsidR="00F014B6" w:rsidRPr="00DD1DFA">
        <w:rPr>
          <w:noProof/>
          <w:szCs w:val="24"/>
        </w:rPr>
        <w:t>Przyczyniając się</w:t>
      </w:r>
      <w:r w:rsidR="00F014B6" w:rsidRPr="00DD1DFA">
        <w:rPr>
          <w:noProof/>
        </w:rPr>
        <w:t xml:space="preserve"> do udostępnienia na rynku lub bezpośredniego montażu wyrobu, dostawca usług realizacji zamówień bądź broker działa</w:t>
      </w:r>
      <w:r w:rsidR="00DD1DFA" w:rsidRPr="00DD1DFA">
        <w:rPr>
          <w:noProof/>
        </w:rPr>
        <w:t xml:space="preserve"> z</w:t>
      </w:r>
      <w:r w:rsidR="00DD1DFA">
        <w:rPr>
          <w:noProof/>
        </w:rPr>
        <w:t> </w:t>
      </w:r>
      <w:r w:rsidR="00DD1DFA" w:rsidRPr="00DD1DFA">
        <w:rPr>
          <w:noProof/>
        </w:rPr>
        <w:t>nal</w:t>
      </w:r>
      <w:r w:rsidR="00F014B6" w:rsidRPr="00DD1DFA">
        <w:rPr>
          <w:noProof/>
        </w:rPr>
        <w:t>eżytą starannością</w:t>
      </w:r>
      <w:r w:rsidR="00DD1DFA" w:rsidRPr="00DD1DFA">
        <w:rPr>
          <w:noProof/>
        </w:rPr>
        <w:t xml:space="preserve"> w</w:t>
      </w:r>
      <w:r w:rsidR="00DD1DFA">
        <w:rPr>
          <w:noProof/>
        </w:rPr>
        <w:t> </w:t>
      </w:r>
      <w:r w:rsidR="00DD1DFA" w:rsidRPr="00DD1DFA">
        <w:rPr>
          <w:noProof/>
        </w:rPr>
        <w:t>odn</w:t>
      </w:r>
      <w:r w:rsidR="00F014B6" w:rsidRPr="00DD1DFA">
        <w:rPr>
          <w:noProof/>
        </w:rPr>
        <w:t>iesieniu do wymagań niniejszego rozporządzenia. Ponosi on odpowiedzialność za naruszenie niniejszego artykułu</w:t>
      </w:r>
      <w:r w:rsidR="00DD1DFA" w:rsidRPr="00DD1DFA">
        <w:rPr>
          <w:noProof/>
        </w:rPr>
        <w:t xml:space="preserve"> i</w:t>
      </w:r>
      <w:r w:rsidR="00DD1DFA">
        <w:rPr>
          <w:noProof/>
        </w:rPr>
        <w:t> </w:t>
      </w:r>
      <w:r w:rsidR="00DD1DFA" w:rsidRPr="00DD1DFA">
        <w:rPr>
          <w:noProof/>
        </w:rPr>
        <w:t>art</w:t>
      </w:r>
      <w:r w:rsidR="00F014B6" w:rsidRPr="00DD1DFA">
        <w:rPr>
          <w:noProof/>
        </w:rPr>
        <w:t>.</w:t>
      </w:r>
      <w:r w:rsidR="00DD1DFA" w:rsidRPr="00DD1DFA">
        <w:rPr>
          <w:noProof/>
        </w:rPr>
        <w:t> </w:t>
      </w:r>
      <w:r w:rsidR="00F014B6" w:rsidRPr="00DD1DFA">
        <w:rPr>
          <w:noProof/>
        </w:rPr>
        <w:t>19 zgodnie</w:t>
      </w:r>
      <w:r w:rsidR="00DD1DFA" w:rsidRPr="00DD1DFA">
        <w:rPr>
          <w:noProof/>
        </w:rPr>
        <w:t xml:space="preserve"> z</w:t>
      </w:r>
      <w:r w:rsidR="00DD1DFA">
        <w:rPr>
          <w:noProof/>
        </w:rPr>
        <w:t> </w:t>
      </w:r>
      <w:r w:rsidR="00DD1DFA" w:rsidRPr="00DD1DFA">
        <w:rPr>
          <w:noProof/>
        </w:rPr>
        <w:t>kra</w:t>
      </w:r>
      <w:r w:rsidR="00F014B6" w:rsidRPr="00DD1DFA">
        <w:rPr>
          <w:noProof/>
        </w:rPr>
        <w:t>jowymi przepisami dotyczącymi odpowiedzialności umownej</w:t>
      </w:r>
      <w:r w:rsidR="00DD1DFA" w:rsidRPr="00DD1DFA">
        <w:rPr>
          <w:noProof/>
        </w:rPr>
        <w:t xml:space="preserve"> i</w:t>
      </w:r>
      <w:r w:rsidR="00DD1DFA">
        <w:rPr>
          <w:noProof/>
        </w:rPr>
        <w:t> </w:t>
      </w:r>
      <w:r w:rsidR="00DD1DFA" w:rsidRPr="00DD1DFA">
        <w:rPr>
          <w:noProof/>
        </w:rPr>
        <w:t>poz</w:t>
      </w:r>
      <w:r w:rsidR="00F014B6" w:rsidRPr="00DD1DFA">
        <w:rPr>
          <w:noProof/>
        </w:rPr>
        <w:t>aumownej.</w:t>
      </w:r>
    </w:p>
    <w:p w14:paraId="00C10F04" w14:textId="7E9173BC" w:rsidR="00F014B6" w:rsidRPr="00DD1DFA" w:rsidRDefault="005F7EFA" w:rsidP="005F7EFA">
      <w:pPr>
        <w:pStyle w:val="ManualNumPar1"/>
        <w:rPr>
          <w:noProof/>
        </w:rPr>
      </w:pPr>
      <w:r w:rsidRPr="005F7EFA">
        <w:t>2.</w:t>
      </w:r>
      <w:r w:rsidRPr="005F7EFA">
        <w:tab/>
      </w:r>
      <w:r w:rsidR="00F014B6" w:rsidRPr="00DD1DFA">
        <w:rPr>
          <w:noProof/>
        </w:rPr>
        <w:t>Dostawca usług realizacji zamówień, sprzedawca internetowy lub broker:</w:t>
      </w:r>
    </w:p>
    <w:p w14:paraId="0969CD6B" w14:textId="6CFFFB53" w:rsidR="00F014B6" w:rsidRPr="00DD1DFA" w:rsidRDefault="005A4BBC" w:rsidP="005A4BBC">
      <w:pPr>
        <w:pStyle w:val="Point1"/>
        <w:rPr>
          <w:noProof/>
          <w:szCs w:val="24"/>
        </w:rPr>
      </w:pPr>
      <w:r w:rsidRPr="005A4BBC">
        <w:rPr>
          <w:noProof/>
        </w:rPr>
        <w:t>a)</w:t>
      </w:r>
      <w:r w:rsidRPr="005A4BBC">
        <w:rPr>
          <w:noProof/>
        </w:rPr>
        <w:tab/>
      </w:r>
      <w:r w:rsidR="00F014B6" w:rsidRPr="00DD1DFA">
        <w:rPr>
          <w:noProof/>
        </w:rPr>
        <w:t>przed zawarciem umowy sprzedaży,</w:t>
      </w:r>
      <w:r w:rsidR="00DD1DFA" w:rsidRPr="00DD1DFA">
        <w:rPr>
          <w:noProof/>
        </w:rPr>
        <w:t xml:space="preserve"> w</w:t>
      </w:r>
      <w:r w:rsidR="00DD1DFA">
        <w:rPr>
          <w:noProof/>
        </w:rPr>
        <w:t> </w:t>
      </w:r>
      <w:r w:rsidR="00DD1DFA" w:rsidRPr="00DD1DFA">
        <w:rPr>
          <w:noProof/>
        </w:rPr>
        <w:t>tym w</w:t>
      </w:r>
      <w:r w:rsidR="00DD1DFA">
        <w:rPr>
          <w:noProof/>
        </w:rPr>
        <w:t> </w:t>
      </w:r>
      <w:r w:rsidR="00DD1DFA" w:rsidRPr="00DD1DFA">
        <w:rPr>
          <w:noProof/>
        </w:rPr>
        <w:t>prz</w:t>
      </w:r>
      <w:r w:rsidR="00F014B6" w:rsidRPr="00DD1DFA">
        <w:rPr>
          <w:noProof/>
        </w:rPr>
        <w:t>ypadku sprzedaży na odległość, przedstawia klientom</w:t>
      </w:r>
      <w:r w:rsidR="00DD1DFA" w:rsidRPr="00DD1DFA">
        <w:rPr>
          <w:noProof/>
        </w:rPr>
        <w:t xml:space="preserve"> w</w:t>
      </w:r>
      <w:r w:rsidR="00DD1DFA">
        <w:rPr>
          <w:noProof/>
        </w:rPr>
        <w:t> </w:t>
      </w:r>
      <w:r w:rsidR="00DD1DFA" w:rsidRPr="00DD1DFA">
        <w:rPr>
          <w:noProof/>
        </w:rPr>
        <w:t>wid</w:t>
      </w:r>
      <w:r w:rsidR="00F014B6" w:rsidRPr="00DD1DFA">
        <w:rPr>
          <w:noProof/>
        </w:rPr>
        <w:t>oczny sposób informacje, które umieszcza się na etykiecie zgodnie</w:t>
      </w:r>
      <w:r w:rsidR="00DD1DFA" w:rsidRPr="00DD1DFA">
        <w:rPr>
          <w:noProof/>
        </w:rPr>
        <w:t xml:space="preserve"> z</w:t>
      </w:r>
      <w:r w:rsidR="00DD1DFA">
        <w:rPr>
          <w:noProof/>
        </w:rPr>
        <w:t> </w:t>
      </w:r>
      <w:r w:rsidR="00DD1DFA" w:rsidRPr="00DD1DFA">
        <w:rPr>
          <w:noProof/>
        </w:rPr>
        <w:t>nin</w:t>
      </w:r>
      <w:r w:rsidR="00F014B6" w:rsidRPr="00DD1DFA">
        <w:rPr>
          <w:noProof/>
        </w:rPr>
        <w:t>iejszym rozporządzeniem lub zharmonizowanymi specyfikacjami technicznymi;</w:t>
      </w:r>
    </w:p>
    <w:p w14:paraId="3AFA47DB" w14:textId="336B4BF0" w:rsidR="00F014B6" w:rsidRPr="00DD1DFA" w:rsidRDefault="005A4BBC" w:rsidP="005A4BBC">
      <w:pPr>
        <w:pStyle w:val="Point1"/>
        <w:rPr>
          <w:noProof/>
        </w:rPr>
      </w:pPr>
      <w:r w:rsidRPr="005A4BBC">
        <w:rPr>
          <w:noProof/>
        </w:rPr>
        <w:t>b)</w:t>
      </w:r>
      <w:r w:rsidRPr="005A4BBC">
        <w:rPr>
          <w:noProof/>
        </w:rPr>
        <w:tab/>
      </w:r>
      <w:r w:rsidR="00F014B6" w:rsidRPr="00DD1DFA">
        <w:rPr>
          <w:noProof/>
        </w:rPr>
        <w:t>weryfikuje, czy producent wywiązał się ze swoich obowiązków określonych</w:t>
      </w:r>
      <w:r w:rsidR="00DD1DFA" w:rsidRPr="00DD1DFA">
        <w:rPr>
          <w:noProof/>
        </w:rPr>
        <w:t xml:space="preserve"> w</w:t>
      </w:r>
      <w:r w:rsidR="00DD1DFA">
        <w:rPr>
          <w:noProof/>
        </w:rPr>
        <w:t> </w:t>
      </w:r>
      <w:r w:rsidR="00DD1DFA" w:rsidRPr="00DD1DFA">
        <w:rPr>
          <w:noProof/>
          <w:color w:val="000000"/>
        </w:rPr>
        <w:t>art</w:t>
      </w:r>
      <w:r w:rsidR="00F014B6" w:rsidRPr="00DD1DFA">
        <w:rPr>
          <w:noProof/>
          <w:color w:val="000000"/>
        </w:rPr>
        <w:t>.</w:t>
      </w:r>
      <w:r w:rsidR="00DD1DFA" w:rsidRPr="00DD1DFA">
        <w:rPr>
          <w:noProof/>
          <w:color w:val="000000"/>
        </w:rPr>
        <w:t> </w:t>
      </w:r>
      <w:r w:rsidR="00F014B6" w:rsidRPr="00DD1DFA">
        <w:rPr>
          <w:noProof/>
          <w:color w:val="000000"/>
        </w:rPr>
        <w:t>21 ust.</w:t>
      </w:r>
      <w:r w:rsidR="00DD1DFA" w:rsidRPr="00DD1DFA">
        <w:rPr>
          <w:noProof/>
          <w:color w:val="000000"/>
        </w:rPr>
        <w:t> </w:t>
      </w:r>
      <w:r w:rsidR="00F014B6" w:rsidRPr="00DD1DFA">
        <w:rPr>
          <w:noProof/>
          <w:color w:val="000000"/>
        </w:rPr>
        <w:t>1, 3</w:t>
      </w:r>
      <w:r w:rsidR="00DD1DFA" w:rsidRPr="00DD1DFA">
        <w:rPr>
          <w:noProof/>
          <w:color w:val="000000"/>
        </w:rPr>
        <w:t xml:space="preserve"> i</w:t>
      </w:r>
      <w:r w:rsidR="00DD1DFA">
        <w:rPr>
          <w:noProof/>
          <w:color w:val="000000"/>
        </w:rPr>
        <w:t> </w:t>
      </w:r>
      <w:r w:rsidR="00DD1DFA" w:rsidRPr="00DD1DFA">
        <w:rPr>
          <w:noProof/>
          <w:color w:val="000000"/>
        </w:rPr>
        <w:t>5</w:t>
      </w:r>
      <w:r w:rsidR="00F014B6" w:rsidRPr="00DD1DFA">
        <w:rPr>
          <w:noProof/>
          <w:color w:val="000000"/>
        </w:rPr>
        <w:t>–7</w:t>
      </w:r>
      <w:r w:rsidR="00DD1DFA" w:rsidRPr="00DD1DFA">
        <w:rPr>
          <w:noProof/>
          <w:color w:val="000000"/>
        </w:rPr>
        <w:t xml:space="preserve"> i</w:t>
      </w:r>
      <w:r w:rsidR="00DD1DFA">
        <w:rPr>
          <w:noProof/>
          <w:color w:val="000000"/>
        </w:rPr>
        <w:t> </w:t>
      </w:r>
      <w:r w:rsidR="00DD1DFA" w:rsidRPr="00DD1DFA">
        <w:rPr>
          <w:noProof/>
          <w:color w:val="000000"/>
        </w:rPr>
        <w:t>art</w:t>
      </w:r>
      <w:r w:rsidR="00F014B6" w:rsidRPr="00DD1DFA">
        <w:rPr>
          <w:noProof/>
          <w:color w:val="000000"/>
        </w:rPr>
        <w:t>.</w:t>
      </w:r>
      <w:r w:rsidR="00DD1DFA" w:rsidRPr="00DD1DFA">
        <w:rPr>
          <w:noProof/>
          <w:color w:val="000000"/>
        </w:rPr>
        <w:t> </w:t>
      </w:r>
      <w:r w:rsidR="00F014B6" w:rsidRPr="00DD1DFA">
        <w:rPr>
          <w:noProof/>
          <w:color w:val="000000"/>
        </w:rPr>
        <w:t>22 ust.</w:t>
      </w:r>
      <w:r w:rsidR="00DD1DFA" w:rsidRPr="00DD1DFA">
        <w:rPr>
          <w:noProof/>
          <w:color w:val="000000"/>
        </w:rPr>
        <w:t> </w:t>
      </w:r>
      <w:r w:rsidR="00F014B6" w:rsidRPr="00DD1DFA">
        <w:rPr>
          <w:noProof/>
          <w:color w:val="000000"/>
        </w:rPr>
        <w:t>2 lit.</w:t>
      </w:r>
      <w:r w:rsidR="00DD1DFA" w:rsidRPr="00DD1DFA">
        <w:rPr>
          <w:noProof/>
          <w:color w:val="000000"/>
        </w:rPr>
        <w:t> </w:t>
      </w:r>
      <w:r w:rsidR="00F014B6" w:rsidRPr="00DD1DFA">
        <w:rPr>
          <w:noProof/>
          <w:color w:val="000000"/>
        </w:rPr>
        <w:t>f) i i);</w:t>
      </w:r>
    </w:p>
    <w:p w14:paraId="2EA37490" w14:textId="2F74D57D" w:rsidR="00F014B6" w:rsidRPr="00DD1DFA" w:rsidRDefault="005A4BBC" w:rsidP="005A4BBC">
      <w:pPr>
        <w:pStyle w:val="Point1"/>
        <w:rPr>
          <w:noProof/>
          <w:szCs w:val="24"/>
        </w:rPr>
      </w:pPr>
      <w:r w:rsidRPr="005A4BBC">
        <w:rPr>
          <w:noProof/>
        </w:rPr>
        <w:t>c)</w:t>
      </w:r>
      <w:r w:rsidRPr="005A4BBC">
        <w:rPr>
          <w:noProof/>
        </w:rPr>
        <w:tab/>
      </w:r>
      <w:r w:rsidR="00F014B6" w:rsidRPr="00DD1DFA">
        <w:rPr>
          <w:noProof/>
        </w:rPr>
        <w:t>wypełnia obowiązki określone</w:t>
      </w:r>
      <w:r w:rsidR="00DD1DFA" w:rsidRPr="00DD1DFA">
        <w:rPr>
          <w:noProof/>
        </w:rPr>
        <w:t xml:space="preserve"> w</w:t>
      </w:r>
      <w:r w:rsidR="00DD1DFA">
        <w:rPr>
          <w:noProof/>
        </w:rPr>
        <w:t> </w:t>
      </w:r>
      <w:r w:rsidR="00DD1DFA" w:rsidRPr="00DD1DFA">
        <w:rPr>
          <w:noProof/>
        </w:rPr>
        <w:t>art</w:t>
      </w:r>
      <w:r w:rsidR="00F014B6" w:rsidRPr="00DD1DFA">
        <w:rPr>
          <w:noProof/>
        </w:rPr>
        <w:t>.</w:t>
      </w:r>
      <w:r w:rsidR="00DD1DFA" w:rsidRPr="00DD1DFA">
        <w:rPr>
          <w:noProof/>
        </w:rPr>
        <w:t> </w:t>
      </w:r>
      <w:r w:rsidR="00F014B6" w:rsidRPr="00DD1DFA">
        <w:rPr>
          <w:noProof/>
        </w:rPr>
        <w:t>24 ust.</w:t>
      </w:r>
      <w:r w:rsidR="00DD1DFA" w:rsidRPr="00DD1DFA">
        <w:rPr>
          <w:noProof/>
        </w:rPr>
        <w:t> </w:t>
      </w:r>
      <w:r w:rsidR="00F014B6" w:rsidRPr="00DD1DFA">
        <w:rPr>
          <w:noProof/>
        </w:rPr>
        <w:t>5, przy czym odniesienia do „wprowadzenia do obrotu” należy rozumieć jako „wspieranie udostępniania na rynku”;</w:t>
      </w:r>
    </w:p>
    <w:p w14:paraId="4FBB8BEF" w14:textId="34E84797" w:rsidR="00F014B6" w:rsidRPr="00DD1DFA" w:rsidRDefault="005A4BBC" w:rsidP="005A4BBC">
      <w:pPr>
        <w:pStyle w:val="Point1"/>
        <w:rPr>
          <w:noProof/>
          <w:szCs w:val="24"/>
        </w:rPr>
      </w:pPr>
      <w:r w:rsidRPr="005A4BBC">
        <w:rPr>
          <w:noProof/>
        </w:rPr>
        <w:t>d)</w:t>
      </w:r>
      <w:r w:rsidRPr="005A4BBC">
        <w:rPr>
          <w:noProof/>
        </w:rPr>
        <w:tab/>
      </w:r>
      <w:r w:rsidR="00F014B6" w:rsidRPr="00DD1DFA">
        <w:rPr>
          <w:noProof/>
        </w:rPr>
        <w:t>eliminuje</w:t>
      </w:r>
      <w:r w:rsidR="00DD1DFA" w:rsidRPr="00DD1DFA">
        <w:rPr>
          <w:noProof/>
        </w:rPr>
        <w:t xml:space="preserve"> z</w:t>
      </w:r>
      <w:r w:rsidR="00DD1DFA">
        <w:rPr>
          <w:noProof/>
        </w:rPr>
        <w:t> </w:t>
      </w:r>
      <w:r w:rsidR="00DD1DFA" w:rsidRPr="00DD1DFA">
        <w:rPr>
          <w:noProof/>
        </w:rPr>
        <w:t>wła</w:t>
      </w:r>
      <w:r w:rsidR="00F014B6" w:rsidRPr="00DD1DFA">
        <w:rPr>
          <w:noProof/>
        </w:rPr>
        <w:t>snej inicjatywy lub</w:t>
      </w:r>
      <w:r w:rsidR="00DD1DFA" w:rsidRPr="00DD1DFA">
        <w:rPr>
          <w:noProof/>
        </w:rPr>
        <w:t xml:space="preserve"> w</w:t>
      </w:r>
      <w:r w:rsidR="00DD1DFA">
        <w:rPr>
          <w:noProof/>
        </w:rPr>
        <w:t> </w:t>
      </w:r>
      <w:r w:rsidR="00DD1DFA" w:rsidRPr="00DD1DFA">
        <w:rPr>
          <w:noProof/>
        </w:rPr>
        <w:t>cią</w:t>
      </w:r>
      <w:r w:rsidR="00F014B6" w:rsidRPr="00DD1DFA">
        <w:rPr>
          <w:noProof/>
        </w:rPr>
        <w:t>gu dwóch dni roboczych na wniosek organów nadzoru rynku wszystkie oferty na wyroby, które są niezgodne</w:t>
      </w:r>
      <w:r w:rsidR="00DD1DFA" w:rsidRPr="00DD1DFA">
        <w:rPr>
          <w:noProof/>
        </w:rPr>
        <w:t xml:space="preserve"> z</w:t>
      </w:r>
      <w:r w:rsidR="00DD1DFA">
        <w:rPr>
          <w:noProof/>
        </w:rPr>
        <w:t> </w:t>
      </w:r>
      <w:r w:rsidR="00DD1DFA" w:rsidRPr="00DD1DFA">
        <w:rPr>
          <w:noProof/>
        </w:rPr>
        <w:t>wym</w:t>
      </w:r>
      <w:r w:rsidR="00F014B6" w:rsidRPr="00DD1DFA">
        <w:rPr>
          <w:noProof/>
        </w:rPr>
        <w:t>aganiami lub mogą stwarzać ryzyko</w:t>
      </w:r>
      <w:r w:rsidR="00DD1DFA" w:rsidRPr="00DD1DFA">
        <w:rPr>
          <w:noProof/>
        </w:rPr>
        <w:t xml:space="preserve"> w</w:t>
      </w:r>
      <w:r w:rsidR="00DD1DFA">
        <w:rPr>
          <w:noProof/>
        </w:rPr>
        <w:t> </w:t>
      </w:r>
      <w:r w:rsidR="00DD1DFA" w:rsidRPr="00DD1DFA">
        <w:rPr>
          <w:noProof/>
        </w:rPr>
        <w:t>roz</w:t>
      </w:r>
      <w:r w:rsidR="00F014B6" w:rsidRPr="00DD1DFA">
        <w:rPr>
          <w:noProof/>
        </w:rPr>
        <w:t>umieniu zdania ostatniego art.</w:t>
      </w:r>
      <w:r w:rsidR="00DD1DFA" w:rsidRPr="00DD1DFA">
        <w:rPr>
          <w:noProof/>
        </w:rPr>
        <w:t> </w:t>
      </w:r>
      <w:r w:rsidR="00F014B6" w:rsidRPr="00DD1DFA">
        <w:rPr>
          <w:noProof/>
        </w:rPr>
        <w:t>21 ust.</w:t>
      </w:r>
      <w:r w:rsidR="00DD1DFA" w:rsidRPr="00DD1DFA">
        <w:rPr>
          <w:noProof/>
        </w:rPr>
        <w:t> </w:t>
      </w:r>
      <w:r w:rsidR="00F014B6" w:rsidRPr="00DD1DFA">
        <w:rPr>
          <w:noProof/>
        </w:rPr>
        <w:t>9;</w:t>
      </w:r>
    </w:p>
    <w:p w14:paraId="68F41E92" w14:textId="50F6F4F6" w:rsidR="00F014B6" w:rsidRPr="00DD1DFA" w:rsidRDefault="005A4BBC" w:rsidP="005A4BBC">
      <w:pPr>
        <w:pStyle w:val="Point1"/>
        <w:rPr>
          <w:noProof/>
          <w:szCs w:val="24"/>
        </w:rPr>
      </w:pPr>
      <w:r w:rsidRPr="005A4BBC">
        <w:rPr>
          <w:noProof/>
        </w:rPr>
        <w:t>e)</w:t>
      </w:r>
      <w:r w:rsidRPr="005A4BBC">
        <w:rPr>
          <w:noProof/>
        </w:rPr>
        <w:tab/>
      </w:r>
      <w:r w:rsidR="00F014B6" w:rsidRPr="00DD1DFA">
        <w:rPr>
          <w:noProof/>
        </w:rPr>
        <w:t>informuje zainteresowane organy</w:t>
      </w:r>
      <w:r w:rsidR="00DD1DFA" w:rsidRPr="00DD1DFA">
        <w:rPr>
          <w:noProof/>
        </w:rPr>
        <w:t xml:space="preserve"> o</w:t>
      </w:r>
      <w:r w:rsidR="00DD1DFA">
        <w:rPr>
          <w:noProof/>
        </w:rPr>
        <w:t> </w:t>
      </w:r>
      <w:r w:rsidR="00DD1DFA" w:rsidRPr="00DD1DFA">
        <w:rPr>
          <w:noProof/>
        </w:rPr>
        <w:t>śro</w:t>
      </w:r>
      <w:r w:rsidR="00F014B6" w:rsidRPr="00DD1DFA">
        <w:rPr>
          <w:noProof/>
        </w:rPr>
        <w:t>dkach podjętych zgodnie</w:t>
      </w:r>
      <w:r w:rsidR="00DD1DFA" w:rsidRPr="00DD1DFA">
        <w:rPr>
          <w:noProof/>
        </w:rPr>
        <w:t xml:space="preserve"> z</w:t>
      </w:r>
      <w:r w:rsidR="00DD1DFA">
        <w:rPr>
          <w:noProof/>
        </w:rPr>
        <w:t> </w:t>
      </w:r>
      <w:r w:rsidR="00DD1DFA" w:rsidRPr="00DD1DFA">
        <w:rPr>
          <w:noProof/>
        </w:rPr>
        <w:t>lit</w:t>
      </w:r>
      <w:r w:rsidR="00F014B6" w:rsidRPr="00DD1DFA">
        <w:rPr>
          <w:noProof/>
        </w:rPr>
        <w:t>.</w:t>
      </w:r>
      <w:r w:rsidR="00DD1DFA" w:rsidRPr="00DD1DFA">
        <w:rPr>
          <w:noProof/>
        </w:rPr>
        <w:t> </w:t>
      </w:r>
      <w:r w:rsidR="00F014B6" w:rsidRPr="00DD1DFA">
        <w:rPr>
          <w:noProof/>
        </w:rPr>
        <w:t>b), c) i d);</w:t>
      </w:r>
    </w:p>
    <w:p w14:paraId="7845C391" w14:textId="456E3D76" w:rsidR="00F014B6" w:rsidRPr="00DD1DFA" w:rsidRDefault="005A4BBC" w:rsidP="005A4BBC">
      <w:pPr>
        <w:pStyle w:val="Point1"/>
        <w:rPr>
          <w:noProof/>
        </w:rPr>
      </w:pPr>
      <w:r w:rsidRPr="005A4BBC">
        <w:rPr>
          <w:noProof/>
        </w:rPr>
        <w:t>f)</w:t>
      </w:r>
      <w:r w:rsidRPr="005A4BBC">
        <w:rPr>
          <w:noProof/>
        </w:rPr>
        <w:tab/>
      </w:r>
      <w:r w:rsidR="00F014B6" w:rsidRPr="00DD1DFA">
        <w:rPr>
          <w:noProof/>
        </w:rPr>
        <w:t>wspiera wycofanie wyrobu</w:t>
      </w:r>
      <w:r w:rsidR="00DD1DFA" w:rsidRPr="00DD1DFA">
        <w:rPr>
          <w:noProof/>
        </w:rPr>
        <w:t xml:space="preserve"> z</w:t>
      </w:r>
      <w:r w:rsidR="00DD1DFA">
        <w:rPr>
          <w:noProof/>
        </w:rPr>
        <w:t> </w:t>
      </w:r>
      <w:r w:rsidR="00DD1DFA" w:rsidRPr="00DD1DFA">
        <w:rPr>
          <w:noProof/>
        </w:rPr>
        <w:t>obr</w:t>
      </w:r>
      <w:r w:rsidR="00F014B6" w:rsidRPr="00DD1DFA">
        <w:rPr>
          <w:noProof/>
        </w:rPr>
        <w:t>otu lub odzyskanie go, niezależnie od tego, czy zostało zainicjowane przez władze, producenta, upoważnionego przedstawiciela czy importera. We współpracy</w:t>
      </w:r>
      <w:r w:rsidR="00DD1DFA" w:rsidRPr="00DD1DFA">
        <w:rPr>
          <w:noProof/>
        </w:rPr>
        <w:t xml:space="preserve"> z</w:t>
      </w:r>
      <w:r w:rsidR="00DD1DFA">
        <w:rPr>
          <w:noProof/>
        </w:rPr>
        <w:t> </w:t>
      </w:r>
      <w:r w:rsidR="00DD1DFA" w:rsidRPr="00DD1DFA">
        <w:rPr>
          <w:noProof/>
        </w:rPr>
        <w:t>dan</w:t>
      </w:r>
      <w:r w:rsidR="00F014B6" w:rsidRPr="00DD1DFA">
        <w:rPr>
          <w:noProof/>
        </w:rPr>
        <w:t xml:space="preserve">ym podmiotem gospodarczym </w:t>
      </w:r>
      <w:r w:rsidR="00F014B6" w:rsidRPr="00DD1DFA">
        <w:rPr>
          <w:noProof/>
          <w:color w:val="000000"/>
        </w:rPr>
        <w:t>dostawca usług realizacji zamówień lub broker</w:t>
      </w:r>
      <w:r w:rsidR="00F014B6" w:rsidRPr="00DD1DFA">
        <w:rPr>
          <w:noProof/>
        </w:rPr>
        <w:t xml:space="preserve"> bezpośrednio informuje konsumentów</w:t>
      </w:r>
      <w:r w:rsidR="00DD1DFA" w:rsidRPr="00DD1DFA">
        <w:rPr>
          <w:noProof/>
        </w:rPr>
        <w:t xml:space="preserve"> o</w:t>
      </w:r>
      <w:r w:rsidR="00DD1DFA">
        <w:rPr>
          <w:noProof/>
        </w:rPr>
        <w:t> </w:t>
      </w:r>
      <w:r w:rsidR="00DD1DFA" w:rsidRPr="00DD1DFA">
        <w:rPr>
          <w:noProof/>
        </w:rPr>
        <w:t>wyc</w:t>
      </w:r>
      <w:r w:rsidR="00F014B6" w:rsidRPr="00DD1DFA">
        <w:rPr>
          <w:noProof/>
        </w:rPr>
        <w:t>ofaniu wyrobu</w:t>
      </w:r>
      <w:r w:rsidR="00DD1DFA" w:rsidRPr="00DD1DFA">
        <w:rPr>
          <w:noProof/>
        </w:rPr>
        <w:t xml:space="preserve"> z</w:t>
      </w:r>
      <w:r w:rsidR="00DD1DFA">
        <w:rPr>
          <w:noProof/>
        </w:rPr>
        <w:t> </w:t>
      </w:r>
      <w:r w:rsidR="00DD1DFA" w:rsidRPr="00DD1DFA">
        <w:rPr>
          <w:noProof/>
        </w:rPr>
        <w:t>obr</w:t>
      </w:r>
      <w:r w:rsidR="00F014B6" w:rsidRPr="00DD1DFA">
        <w:rPr>
          <w:noProof/>
        </w:rPr>
        <w:t>otu lub odzyskaniu go. Informuje odpowiednie władze</w:t>
      </w:r>
      <w:r w:rsidR="00DD1DFA" w:rsidRPr="00DD1DFA">
        <w:rPr>
          <w:noProof/>
        </w:rPr>
        <w:t xml:space="preserve"> o</w:t>
      </w:r>
      <w:r w:rsidR="00DD1DFA">
        <w:rPr>
          <w:noProof/>
        </w:rPr>
        <w:t> </w:t>
      </w:r>
      <w:r w:rsidR="00DD1DFA" w:rsidRPr="00DD1DFA">
        <w:rPr>
          <w:noProof/>
        </w:rPr>
        <w:t>wsz</w:t>
      </w:r>
      <w:r w:rsidR="00F014B6" w:rsidRPr="00DD1DFA">
        <w:rPr>
          <w:noProof/>
        </w:rPr>
        <w:t>elkich podjętych działaniach.</w:t>
      </w:r>
    </w:p>
    <w:p w14:paraId="276C8D89" w14:textId="72533E7F" w:rsidR="00F014B6" w:rsidRPr="00DD1DFA" w:rsidRDefault="005F7EFA" w:rsidP="005F7EFA">
      <w:pPr>
        <w:pStyle w:val="ManualNumPar1"/>
        <w:rPr>
          <w:noProof/>
        </w:rPr>
      </w:pPr>
      <w:r w:rsidRPr="005F7EFA">
        <w:t>3.</w:t>
      </w:r>
      <w:r w:rsidRPr="005F7EFA">
        <w:tab/>
      </w:r>
      <w:r w:rsidR="00F014B6" w:rsidRPr="00DD1DFA">
        <w:rPr>
          <w:noProof/>
        </w:rPr>
        <w:t>Internetowa platforma handlowa:</w:t>
      </w:r>
    </w:p>
    <w:p w14:paraId="0A7E7DFD" w14:textId="52FDD9E2" w:rsidR="00F014B6" w:rsidRPr="00DD1DFA" w:rsidRDefault="005A4BBC" w:rsidP="005A4BBC">
      <w:pPr>
        <w:pStyle w:val="Point1"/>
        <w:rPr>
          <w:noProof/>
        </w:rPr>
      </w:pPr>
      <w:r w:rsidRPr="005A4BBC">
        <w:rPr>
          <w:noProof/>
        </w:rPr>
        <w:t>a)</w:t>
      </w:r>
      <w:r w:rsidRPr="005A4BBC">
        <w:rPr>
          <w:noProof/>
        </w:rPr>
        <w:tab/>
      </w:r>
      <w:r w:rsidR="00F014B6" w:rsidRPr="00DD1DFA">
        <w:rPr>
          <w:noProof/>
        </w:rPr>
        <w:t>opracowuje</w:t>
      </w:r>
      <w:r w:rsidR="00DD1DFA" w:rsidRPr="00DD1DFA">
        <w:rPr>
          <w:noProof/>
        </w:rPr>
        <w:t xml:space="preserve"> i</w:t>
      </w:r>
      <w:r w:rsidR="00DD1DFA">
        <w:rPr>
          <w:noProof/>
        </w:rPr>
        <w:t> </w:t>
      </w:r>
      <w:r w:rsidR="00DD1DFA" w:rsidRPr="00DD1DFA">
        <w:rPr>
          <w:noProof/>
        </w:rPr>
        <w:t>org</w:t>
      </w:r>
      <w:r w:rsidR="00F014B6" w:rsidRPr="00DD1DFA">
        <w:rPr>
          <w:noProof/>
        </w:rPr>
        <w:t>anizuje swój interfejs internetowy</w:t>
      </w:r>
      <w:r w:rsidR="00DD1DFA" w:rsidRPr="00DD1DFA">
        <w:rPr>
          <w:noProof/>
        </w:rPr>
        <w:t xml:space="preserve"> w</w:t>
      </w:r>
      <w:r w:rsidR="00DD1DFA">
        <w:rPr>
          <w:noProof/>
        </w:rPr>
        <w:t> </w:t>
      </w:r>
      <w:r w:rsidR="00DD1DFA" w:rsidRPr="00DD1DFA">
        <w:rPr>
          <w:noProof/>
        </w:rPr>
        <w:t>tak</w:t>
      </w:r>
      <w:r w:rsidR="00F014B6" w:rsidRPr="00DD1DFA">
        <w:rPr>
          <w:noProof/>
        </w:rPr>
        <w:t>i sposób, aby umożliwić podmiotom handlowym będącym osobami trzecimi przekazywanie klientom tych podmiotów handlowych wszelkich informacji,</w:t>
      </w:r>
      <w:r w:rsidR="00DD1DFA" w:rsidRPr="00DD1DFA">
        <w:rPr>
          <w:noProof/>
        </w:rPr>
        <w:t xml:space="preserve"> o</w:t>
      </w:r>
      <w:r w:rsidR="00DD1DFA">
        <w:rPr>
          <w:noProof/>
        </w:rPr>
        <w:t> </w:t>
      </w:r>
      <w:r w:rsidR="00DD1DFA" w:rsidRPr="00DD1DFA">
        <w:rPr>
          <w:noProof/>
        </w:rPr>
        <w:t>któ</w:t>
      </w:r>
      <w:r w:rsidR="00F014B6" w:rsidRPr="00DD1DFA">
        <w:rPr>
          <w:noProof/>
        </w:rPr>
        <w:t>rych mowa</w:t>
      </w:r>
      <w:r w:rsidR="00DD1DFA" w:rsidRPr="00DD1DFA">
        <w:rPr>
          <w:noProof/>
        </w:rPr>
        <w:t xml:space="preserve"> w</w:t>
      </w:r>
      <w:r w:rsidR="00DD1DFA">
        <w:rPr>
          <w:noProof/>
        </w:rPr>
        <w:t> </w:t>
      </w:r>
      <w:r w:rsidR="00DD1DFA" w:rsidRPr="00DD1DFA">
        <w:rPr>
          <w:noProof/>
        </w:rPr>
        <w:t>ust</w:t>
      </w:r>
      <w:r w:rsidR="00F014B6" w:rsidRPr="00DD1DFA">
        <w:rPr>
          <w:noProof/>
        </w:rPr>
        <w:t>.</w:t>
      </w:r>
      <w:r w:rsidR="00DD1DFA" w:rsidRPr="00DD1DFA">
        <w:rPr>
          <w:noProof/>
        </w:rPr>
        <w:t> </w:t>
      </w:r>
      <w:r w:rsidR="00F014B6" w:rsidRPr="00DD1DFA">
        <w:rPr>
          <w:noProof/>
        </w:rPr>
        <w:t>2 lit.</w:t>
      </w:r>
      <w:r w:rsidR="00DD1DFA" w:rsidRPr="00DD1DFA">
        <w:rPr>
          <w:noProof/>
        </w:rPr>
        <w:t> </w:t>
      </w:r>
      <w:r w:rsidR="00F014B6" w:rsidRPr="00DD1DFA">
        <w:rPr>
          <w:noProof/>
        </w:rPr>
        <w:t>a);</w:t>
      </w:r>
    </w:p>
    <w:p w14:paraId="31B415BF" w14:textId="6681BD56" w:rsidR="007A2CD1" w:rsidRPr="00DD1DFA" w:rsidRDefault="005A4BBC" w:rsidP="005A4BBC">
      <w:pPr>
        <w:pStyle w:val="Point1"/>
        <w:rPr>
          <w:noProof/>
        </w:rPr>
      </w:pPr>
      <w:r w:rsidRPr="005A4BBC">
        <w:rPr>
          <w:noProof/>
        </w:rPr>
        <w:t>b)</w:t>
      </w:r>
      <w:r w:rsidRPr="005A4BBC">
        <w:rPr>
          <w:noProof/>
        </w:rPr>
        <w:tab/>
      </w:r>
      <w:r w:rsidR="007A2CD1" w:rsidRPr="00DD1DFA">
        <w:rPr>
          <w:noProof/>
        </w:rPr>
        <w:t>ustanawia jeden punkt kontaktowy do celów bezpośredniej komunikacji</w:t>
      </w:r>
      <w:r w:rsidR="00DD1DFA" w:rsidRPr="00DD1DFA">
        <w:rPr>
          <w:noProof/>
        </w:rPr>
        <w:t xml:space="preserve"> z</w:t>
      </w:r>
      <w:r w:rsidR="00DD1DFA">
        <w:rPr>
          <w:noProof/>
        </w:rPr>
        <w:t> </w:t>
      </w:r>
      <w:r w:rsidR="00DD1DFA" w:rsidRPr="00DD1DFA">
        <w:rPr>
          <w:noProof/>
        </w:rPr>
        <w:t>wła</w:t>
      </w:r>
      <w:r w:rsidR="007A2CD1" w:rsidRPr="00DD1DFA">
        <w:rPr>
          <w:noProof/>
        </w:rPr>
        <w:t>dzami państw członkowskich</w:t>
      </w:r>
      <w:r w:rsidR="00DD1DFA" w:rsidRPr="00DD1DFA">
        <w:rPr>
          <w:noProof/>
        </w:rPr>
        <w:t xml:space="preserve"> w</w:t>
      </w:r>
      <w:r w:rsidR="00DD1DFA">
        <w:rPr>
          <w:noProof/>
        </w:rPr>
        <w:t> </w:t>
      </w:r>
      <w:r w:rsidR="00DD1DFA" w:rsidRPr="00DD1DFA">
        <w:rPr>
          <w:noProof/>
        </w:rPr>
        <w:t>zwi</w:t>
      </w:r>
      <w:r w:rsidR="007A2CD1" w:rsidRPr="00DD1DFA">
        <w:rPr>
          <w:noProof/>
        </w:rPr>
        <w:t>ązku</w:t>
      </w:r>
      <w:r w:rsidR="00DD1DFA" w:rsidRPr="00DD1DFA">
        <w:rPr>
          <w:noProof/>
        </w:rPr>
        <w:t xml:space="preserve"> z</w:t>
      </w:r>
      <w:r w:rsidR="00DD1DFA">
        <w:rPr>
          <w:noProof/>
        </w:rPr>
        <w:t> </w:t>
      </w:r>
      <w:r w:rsidR="00DD1DFA" w:rsidRPr="00DD1DFA">
        <w:rPr>
          <w:noProof/>
        </w:rPr>
        <w:t>wyr</w:t>
      </w:r>
      <w:r w:rsidR="007A2CD1" w:rsidRPr="00DD1DFA">
        <w:rPr>
          <w:noProof/>
        </w:rPr>
        <w:t>obami niezgodnymi, niespełniającymi wymagań lub niebezpiecznymi. Ten punkt kontaktowy może być taki sam jak ten,</w:t>
      </w:r>
      <w:r w:rsidR="00DD1DFA" w:rsidRPr="00DD1DFA">
        <w:rPr>
          <w:noProof/>
        </w:rPr>
        <w:t xml:space="preserve"> o</w:t>
      </w:r>
      <w:r w:rsidR="00DD1DFA">
        <w:rPr>
          <w:noProof/>
        </w:rPr>
        <w:t> </w:t>
      </w:r>
      <w:r w:rsidR="00DD1DFA" w:rsidRPr="00DD1DFA">
        <w:rPr>
          <w:noProof/>
        </w:rPr>
        <w:t>któ</w:t>
      </w:r>
      <w:r w:rsidR="007A2CD1" w:rsidRPr="00DD1DFA">
        <w:rPr>
          <w:noProof/>
        </w:rPr>
        <w:t>rym mowa w [art.</w:t>
      </w:r>
      <w:r w:rsidR="00DD1DFA" w:rsidRPr="00DD1DFA">
        <w:rPr>
          <w:noProof/>
        </w:rPr>
        <w:t> </w:t>
      </w:r>
      <w:r w:rsidR="007A2CD1" w:rsidRPr="00DD1DFA">
        <w:rPr>
          <w:noProof/>
        </w:rPr>
        <w:t>20 ust.</w:t>
      </w:r>
      <w:r w:rsidR="00DD1DFA" w:rsidRPr="00DD1DFA">
        <w:rPr>
          <w:noProof/>
        </w:rPr>
        <w:t> </w:t>
      </w:r>
      <w:r w:rsidR="007A2CD1" w:rsidRPr="00DD1DFA">
        <w:rPr>
          <w:noProof/>
        </w:rPr>
        <w:t>1] rozporządzenia (UE) .../... [rozporządzenie</w:t>
      </w:r>
      <w:r w:rsidR="00DD1DFA" w:rsidRPr="00DD1DFA">
        <w:rPr>
          <w:noProof/>
        </w:rPr>
        <w:t xml:space="preserve"> w</w:t>
      </w:r>
      <w:r w:rsidR="00DD1DFA">
        <w:rPr>
          <w:noProof/>
        </w:rPr>
        <w:t> </w:t>
      </w:r>
      <w:r w:rsidR="00DD1DFA" w:rsidRPr="00DD1DFA">
        <w:rPr>
          <w:noProof/>
        </w:rPr>
        <w:t>spr</w:t>
      </w:r>
      <w:r w:rsidR="007A2CD1" w:rsidRPr="00DD1DFA">
        <w:rPr>
          <w:noProof/>
        </w:rPr>
        <w:t>awie ogólnego bezpieczeństwa produktów] lub [art.</w:t>
      </w:r>
      <w:r w:rsidR="00DD1DFA" w:rsidRPr="00DD1DFA">
        <w:rPr>
          <w:noProof/>
        </w:rPr>
        <w:t> </w:t>
      </w:r>
      <w:r w:rsidR="007A2CD1" w:rsidRPr="00DD1DFA">
        <w:rPr>
          <w:noProof/>
        </w:rPr>
        <w:t>10 ust.</w:t>
      </w:r>
      <w:r w:rsidR="00DD1DFA" w:rsidRPr="00DD1DFA">
        <w:rPr>
          <w:noProof/>
        </w:rPr>
        <w:t> </w:t>
      </w:r>
      <w:r w:rsidR="007A2CD1" w:rsidRPr="00DD1DFA">
        <w:rPr>
          <w:noProof/>
        </w:rPr>
        <w:t>1] rozporządzenia (UE) .../... [akt</w:t>
      </w:r>
      <w:r w:rsidR="00DD1DFA" w:rsidRPr="00DD1DFA">
        <w:rPr>
          <w:noProof/>
        </w:rPr>
        <w:t xml:space="preserve"> o</w:t>
      </w:r>
      <w:r w:rsidR="00DD1DFA">
        <w:rPr>
          <w:noProof/>
        </w:rPr>
        <w:t> </w:t>
      </w:r>
      <w:r w:rsidR="00DD1DFA" w:rsidRPr="00DD1DFA">
        <w:rPr>
          <w:noProof/>
        </w:rPr>
        <w:t>usł</w:t>
      </w:r>
      <w:r w:rsidR="007A2CD1" w:rsidRPr="00DD1DFA">
        <w:rPr>
          <w:noProof/>
        </w:rPr>
        <w:t>ugach cyfrowych];</w:t>
      </w:r>
    </w:p>
    <w:p w14:paraId="64B31B1F" w14:textId="309A7E79" w:rsidR="00F014B6" w:rsidRPr="00DD1DFA" w:rsidRDefault="005A4BBC" w:rsidP="005A4BBC">
      <w:pPr>
        <w:pStyle w:val="Point1"/>
        <w:rPr>
          <w:noProof/>
        </w:rPr>
      </w:pPr>
      <w:r w:rsidRPr="005A4BBC">
        <w:rPr>
          <w:noProof/>
        </w:rPr>
        <w:t>c)</w:t>
      </w:r>
      <w:r w:rsidRPr="005A4BBC">
        <w:rPr>
          <w:noProof/>
        </w:rPr>
        <w:tab/>
      </w:r>
      <w:r w:rsidR="00F014B6" w:rsidRPr="00DD1DFA">
        <w:rPr>
          <w:noProof/>
        </w:rPr>
        <w:t>udziela bez zbędnej zwłoki,</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każ</w:t>
      </w:r>
      <w:r w:rsidR="00F014B6" w:rsidRPr="00DD1DFA">
        <w:rPr>
          <w:noProof/>
        </w:rPr>
        <w:t>dym razie</w:t>
      </w:r>
      <w:r w:rsidR="00DD1DFA" w:rsidRPr="00DD1DFA">
        <w:rPr>
          <w:noProof/>
        </w:rPr>
        <w:t xml:space="preserve"> w</w:t>
      </w:r>
      <w:r w:rsidR="00DD1DFA">
        <w:rPr>
          <w:noProof/>
        </w:rPr>
        <w:t> </w:t>
      </w:r>
      <w:r w:rsidR="00DD1DFA" w:rsidRPr="00DD1DFA">
        <w:rPr>
          <w:noProof/>
        </w:rPr>
        <w:t>cią</w:t>
      </w:r>
      <w:r w:rsidR="00F014B6" w:rsidRPr="00DD1DFA">
        <w:rPr>
          <w:noProof/>
        </w:rPr>
        <w:t>gu pięciu dni roboczych,</w:t>
      </w:r>
      <w:r w:rsidR="00DD1DFA" w:rsidRPr="00DD1DFA">
        <w:rPr>
          <w:noProof/>
        </w:rPr>
        <w:t xml:space="preserve"> w</w:t>
      </w:r>
      <w:r w:rsidR="00DD1DFA">
        <w:rPr>
          <w:noProof/>
        </w:rPr>
        <w:t> </w:t>
      </w:r>
      <w:r w:rsidR="00DD1DFA" w:rsidRPr="00DD1DFA">
        <w:rPr>
          <w:noProof/>
        </w:rPr>
        <w:t>pań</w:t>
      </w:r>
      <w:r w:rsidR="00F014B6" w:rsidRPr="00DD1DFA">
        <w:rPr>
          <w:noProof/>
        </w:rPr>
        <w:t>stwie członkowskim,</w:t>
      </w:r>
      <w:r w:rsidR="00DD1DFA" w:rsidRPr="00DD1DFA">
        <w:rPr>
          <w:noProof/>
        </w:rPr>
        <w:t xml:space="preserve"> w</w:t>
      </w:r>
      <w:r w:rsidR="00DD1DFA">
        <w:rPr>
          <w:noProof/>
        </w:rPr>
        <w:t> </w:t>
      </w:r>
      <w:r w:rsidR="00DD1DFA" w:rsidRPr="00DD1DFA">
        <w:rPr>
          <w:noProof/>
        </w:rPr>
        <w:t>któ</w:t>
      </w:r>
      <w:r w:rsidR="00F014B6" w:rsidRPr="00DD1DFA">
        <w:rPr>
          <w:noProof/>
        </w:rPr>
        <w:t>rym działa dana platforma, odpowiedniej odpowiedzi na zgłoszenia dotyczące wypadków</w:t>
      </w:r>
      <w:r w:rsidR="00DD1DFA" w:rsidRPr="00DD1DFA">
        <w:rPr>
          <w:noProof/>
        </w:rPr>
        <w:t xml:space="preserve"> i</w:t>
      </w:r>
      <w:r w:rsidR="00DD1DFA">
        <w:rPr>
          <w:noProof/>
        </w:rPr>
        <w:t> </w:t>
      </w:r>
      <w:r w:rsidR="00DD1DFA" w:rsidRPr="00DD1DFA">
        <w:rPr>
          <w:noProof/>
        </w:rPr>
        <w:t>inn</w:t>
      </w:r>
      <w:r w:rsidR="00F014B6" w:rsidRPr="00DD1DFA">
        <w:rPr>
          <w:noProof/>
        </w:rPr>
        <w:t>ych incydentów związanych</w:t>
      </w:r>
      <w:r w:rsidR="00DD1DFA" w:rsidRPr="00DD1DFA">
        <w:rPr>
          <w:noProof/>
        </w:rPr>
        <w:t xml:space="preserve"> z</w:t>
      </w:r>
      <w:r w:rsidR="00DD1DFA">
        <w:rPr>
          <w:noProof/>
        </w:rPr>
        <w:t> </w:t>
      </w:r>
      <w:r w:rsidR="00DD1DFA" w:rsidRPr="00DD1DFA">
        <w:rPr>
          <w:noProof/>
        </w:rPr>
        <w:t>pro</w:t>
      </w:r>
      <w:r w:rsidR="00F014B6" w:rsidRPr="00DD1DFA">
        <w:rPr>
          <w:noProof/>
        </w:rPr>
        <w:t>duktami otrzymane zgodnie z [art.</w:t>
      </w:r>
      <w:r w:rsidR="00DD1DFA" w:rsidRPr="00DD1DFA">
        <w:rPr>
          <w:noProof/>
        </w:rPr>
        <w:t> </w:t>
      </w:r>
      <w:r w:rsidR="00F014B6" w:rsidRPr="00DD1DFA">
        <w:rPr>
          <w:noProof/>
        </w:rPr>
        <w:t>14] rozporządzenia (UE) [.../...]</w:t>
      </w:r>
      <w:r w:rsidR="00DD1DFA" w:rsidRPr="00DD1DFA">
        <w:rPr>
          <w:noProof/>
        </w:rPr>
        <w:t xml:space="preserve"> w</w:t>
      </w:r>
      <w:r w:rsidR="00DD1DFA">
        <w:rPr>
          <w:noProof/>
        </w:rPr>
        <w:t> </w:t>
      </w:r>
      <w:r w:rsidR="00DD1DFA" w:rsidRPr="00DD1DFA">
        <w:rPr>
          <w:noProof/>
        </w:rPr>
        <w:t>spr</w:t>
      </w:r>
      <w:r w:rsidR="00F014B6" w:rsidRPr="00DD1DFA">
        <w:rPr>
          <w:noProof/>
        </w:rPr>
        <w:t>awie jednolitego rynku usług cyfrowych (akt</w:t>
      </w:r>
      <w:r w:rsidR="00DD1DFA" w:rsidRPr="00DD1DFA">
        <w:rPr>
          <w:noProof/>
        </w:rPr>
        <w:t xml:space="preserve"> o</w:t>
      </w:r>
      <w:r w:rsidR="00DD1DFA">
        <w:rPr>
          <w:noProof/>
        </w:rPr>
        <w:t> </w:t>
      </w:r>
      <w:r w:rsidR="00DD1DFA" w:rsidRPr="00DD1DFA">
        <w:rPr>
          <w:noProof/>
        </w:rPr>
        <w:t>usł</w:t>
      </w:r>
      <w:r w:rsidR="00F014B6" w:rsidRPr="00DD1DFA">
        <w:rPr>
          <w:noProof/>
        </w:rPr>
        <w:t>ugach cyfrowych)</w:t>
      </w:r>
      <w:r w:rsidR="00DD1DFA" w:rsidRPr="00DD1DFA">
        <w:rPr>
          <w:noProof/>
        </w:rPr>
        <w:t xml:space="preserve"> i</w:t>
      </w:r>
      <w:r w:rsidR="00DD1DFA">
        <w:rPr>
          <w:noProof/>
        </w:rPr>
        <w:t> </w:t>
      </w:r>
      <w:r w:rsidR="00DD1DFA" w:rsidRPr="00DD1DFA">
        <w:rPr>
          <w:noProof/>
        </w:rPr>
        <w:t>zmi</w:t>
      </w:r>
      <w:r w:rsidR="00F014B6" w:rsidRPr="00DD1DFA">
        <w:rPr>
          <w:noProof/>
        </w:rPr>
        <w:t>eniającego dyrektywę 2000/31/WE</w:t>
      </w:r>
      <w:r w:rsidR="00074392" w:rsidRPr="00DD1DFA">
        <w:rPr>
          <w:noProof/>
        </w:rPr>
        <w:t>;</w:t>
      </w:r>
    </w:p>
    <w:p w14:paraId="46247331" w14:textId="43E20D10" w:rsidR="00F014B6" w:rsidRPr="00DD1DFA" w:rsidRDefault="005A4BBC" w:rsidP="005A4BBC">
      <w:pPr>
        <w:pStyle w:val="Point1"/>
        <w:rPr>
          <w:noProof/>
        </w:rPr>
      </w:pPr>
      <w:r w:rsidRPr="005A4BBC">
        <w:rPr>
          <w:noProof/>
        </w:rPr>
        <w:t>d)</w:t>
      </w:r>
      <w:r w:rsidRPr="005A4BBC">
        <w:rPr>
          <w:noProof/>
        </w:rPr>
        <w:tab/>
      </w:r>
      <w:r w:rsidR="00F014B6" w:rsidRPr="00DD1DFA">
        <w:rPr>
          <w:noProof/>
        </w:rPr>
        <w:t>Współpracuje</w:t>
      </w:r>
      <w:r w:rsidR="00DD1DFA" w:rsidRPr="00DD1DFA">
        <w:rPr>
          <w:noProof/>
        </w:rPr>
        <w:t xml:space="preserve"> w</w:t>
      </w:r>
      <w:r w:rsidR="00DD1DFA">
        <w:rPr>
          <w:noProof/>
        </w:rPr>
        <w:t> </w:t>
      </w:r>
      <w:r w:rsidR="00DD1DFA" w:rsidRPr="00DD1DFA">
        <w:rPr>
          <w:noProof/>
        </w:rPr>
        <w:t>cel</w:t>
      </w:r>
      <w:r w:rsidR="00F014B6" w:rsidRPr="00DD1DFA">
        <w:rPr>
          <w:noProof/>
        </w:rPr>
        <w:t>u zapewnienia skutecznych środków nadzoru rynku,</w:t>
      </w:r>
      <w:r w:rsidR="00DD1DFA" w:rsidRPr="00DD1DFA">
        <w:rPr>
          <w:noProof/>
        </w:rPr>
        <w:t xml:space="preserve"> w</w:t>
      </w:r>
      <w:r w:rsidR="00DD1DFA">
        <w:rPr>
          <w:noProof/>
        </w:rPr>
        <w:t> </w:t>
      </w:r>
      <w:r w:rsidR="00DD1DFA" w:rsidRPr="00DD1DFA">
        <w:rPr>
          <w:noProof/>
        </w:rPr>
        <w:t>tym</w:t>
      </w:r>
      <w:r w:rsidR="00F014B6" w:rsidRPr="00DD1DFA">
        <w:rPr>
          <w:noProof/>
        </w:rPr>
        <w:t xml:space="preserve"> poprzez powstrzymywanie się od wprowadzania przeszkód</w:t>
      </w:r>
      <w:r w:rsidR="00DD1DFA" w:rsidRPr="00DD1DFA">
        <w:rPr>
          <w:noProof/>
        </w:rPr>
        <w:t xml:space="preserve"> w</w:t>
      </w:r>
      <w:r w:rsidR="00DD1DFA">
        <w:rPr>
          <w:noProof/>
        </w:rPr>
        <w:t> </w:t>
      </w:r>
      <w:r w:rsidR="00DD1DFA" w:rsidRPr="00DD1DFA">
        <w:rPr>
          <w:noProof/>
        </w:rPr>
        <w:t>sto</w:t>
      </w:r>
      <w:r w:rsidR="00F014B6" w:rsidRPr="00DD1DFA">
        <w:rPr>
          <w:noProof/>
        </w:rPr>
        <w:t xml:space="preserve">sowaniu takich środków; </w:t>
      </w:r>
    </w:p>
    <w:p w14:paraId="7F63ED19" w14:textId="6B8DAC0F" w:rsidR="00F014B6" w:rsidRPr="00DD1DFA" w:rsidRDefault="005A4BBC" w:rsidP="005A4BBC">
      <w:pPr>
        <w:pStyle w:val="Point1"/>
        <w:rPr>
          <w:noProof/>
        </w:rPr>
      </w:pPr>
      <w:r w:rsidRPr="005A4BBC">
        <w:rPr>
          <w:noProof/>
        </w:rPr>
        <w:t>e)</w:t>
      </w:r>
      <w:r w:rsidRPr="005A4BBC">
        <w:rPr>
          <w:noProof/>
        </w:rPr>
        <w:tab/>
      </w:r>
      <w:r w:rsidR="00F014B6" w:rsidRPr="00DD1DFA">
        <w:rPr>
          <w:noProof/>
        </w:rPr>
        <w:t>informuje organy nadzoru rynku</w:t>
      </w:r>
      <w:r w:rsidR="00DD1DFA" w:rsidRPr="00DD1DFA">
        <w:rPr>
          <w:noProof/>
        </w:rPr>
        <w:t xml:space="preserve"> o</w:t>
      </w:r>
      <w:r w:rsidR="00DD1DFA">
        <w:rPr>
          <w:noProof/>
        </w:rPr>
        <w:t> </w:t>
      </w:r>
      <w:r w:rsidR="00DD1DFA" w:rsidRPr="00DD1DFA">
        <w:rPr>
          <w:noProof/>
        </w:rPr>
        <w:t>wsz</w:t>
      </w:r>
      <w:r w:rsidR="00F014B6" w:rsidRPr="00DD1DFA">
        <w:rPr>
          <w:noProof/>
        </w:rPr>
        <w:t xml:space="preserve">elkich podjętych działaniach; </w:t>
      </w:r>
    </w:p>
    <w:p w14:paraId="378BD12B" w14:textId="718ECAEB" w:rsidR="00BC1E12" w:rsidRPr="00DD1DFA" w:rsidRDefault="005A4BBC" w:rsidP="005A4BBC">
      <w:pPr>
        <w:pStyle w:val="Point1"/>
        <w:rPr>
          <w:noProof/>
          <w:szCs w:val="24"/>
        </w:rPr>
      </w:pPr>
      <w:r w:rsidRPr="005A4BBC">
        <w:rPr>
          <w:noProof/>
        </w:rPr>
        <w:t>f)</w:t>
      </w:r>
      <w:r w:rsidRPr="005A4BBC">
        <w:rPr>
          <w:noProof/>
        </w:rPr>
        <w:tab/>
      </w:r>
      <w:r w:rsidR="00F014B6" w:rsidRPr="00DD1DFA">
        <w:rPr>
          <w:noProof/>
        </w:rPr>
        <w:t>ustanawia regularną</w:t>
      </w:r>
      <w:r w:rsidR="00DD1DFA" w:rsidRPr="00DD1DFA">
        <w:rPr>
          <w:noProof/>
        </w:rPr>
        <w:t xml:space="preserve"> i</w:t>
      </w:r>
      <w:r w:rsidR="00DD1DFA">
        <w:rPr>
          <w:noProof/>
        </w:rPr>
        <w:t> </w:t>
      </w:r>
      <w:r w:rsidR="00DD1DFA" w:rsidRPr="00DD1DFA">
        <w:rPr>
          <w:noProof/>
        </w:rPr>
        <w:t>zor</w:t>
      </w:r>
      <w:r w:rsidR="00F014B6" w:rsidRPr="00DD1DFA">
        <w:rPr>
          <w:noProof/>
        </w:rPr>
        <w:t>ganizowaną wymianę informacji na temat ofert, które zostały usunięte na podstawie tego artykułu przez internetowe platformy handlowe;</w:t>
      </w:r>
    </w:p>
    <w:p w14:paraId="09E4267B" w14:textId="5744367A" w:rsidR="00F014B6" w:rsidRPr="00DD1DFA" w:rsidRDefault="005A4BBC" w:rsidP="005A4BBC">
      <w:pPr>
        <w:pStyle w:val="Point1"/>
        <w:rPr>
          <w:noProof/>
        </w:rPr>
      </w:pPr>
      <w:r w:rsidRPr="005A4BBC">
        <w:rPr>
          <w:noProof/>
        </w:rPr>
        <w:t>g)</w:t>
      </w:r>
      <w:r w:rsidRPr="005A4BBC">
        <w:rPr>
          <w:noProof/>
        </w:rPr>
        <w:tab/>
      </w:r>
      <w:r w:rsidR="00F014B6" w:rsidRPr="00DD1DFA">
        <w:rPr>
          <w:noProof/>
        </w:rPr>
        <w:t>umożliwia dostęp do swoich interfejsów narzędziom internetowym obsługiwanym przez organy nadzoru rynku</w:t>
      </w:r>
      <w:r w:rsidR="00DD1DFA" w:rsidRPr="00DD1DFA">
        <w:rPr>
          <w:noProof/>
        </w:rPr>
        <w:t xml:space="preserve"> w</w:t>
      </w:r>
      <w:r w:rsidR="00DD1DFA">
        <w:rPr>
          <w:noProof/>
        </w:rPr>
        <w:t> </w:t>
      </w:r>
      <w:r w:rsidR="00DD1DFA" w:rsidRPr="00DD1DFA">
        <w:rPr>
          <w:noProof/>
        </w:rPr>
        <w:t>cel</w:t>
      </w:r>
      <w:r w:rsidR="00F014B6" w:rsidRPr="00DD1DFA">
        <w:rPr>
          <w:noProof/>
        </w:rPr>
        <w:t>u identyfikacji wyrobów niezgodnych</w:t>
      </w:r>
      <w:r w:rsidR="00DD1DFA" w:rsidRPr="00DD1DFA">
        <w:rPr>
          <w:noProof/>
        </w:rPr>
        <w:t xml:space="preserve"> z</w:t>
      </w:r>
      <w:r w:rsidR="00DD1DFA">
        <w:rPr>
          <w:noProof/>
        </w:rPr>
        <w:t> </w:t>
      </w:r>
      <w:r w:rsidR="00DD1DFA" w:rsidRPr="00DD1DFA">
        <w:rPr>
          <w:noProof/>
        </w:rPr>
        <w:t>wym</w:t>
      </w:r>
      <w:r w:rsidR="00F014B6" w:rsidRPr="00DD1DFA">
        <w:rPr>
          <w:noProof/>
        </w:rPr>
        <w:t xml:space="preserve">aganiami; </w:t>
      </w:r>
    </w:p>
    <w:p w14:paraId="10A4F795" w14:textId="3F0DB3FF" w:rsidR="00F014B6" w:rsidRPr="00DD1DFA" w:rsidRDefault="005A4BBC" w:rsidP="005A4BBC">
      <w:pPr>
        <w:pStyle w:val="Point1"/>
        <w:rPr>
          <w:noProof/>
        </w:rPr>
      </w:pPr>
      <w:r w:rsidRPr="005A4BBC">
        <w:rPr>
          <w:noProof/>
        </w:rPr>
        <w:t>h)</w:t>
      </w:r>
      <w:r w:rsidRPr="005A4BBC">
        <w:rPr>
          <w:noProof/>
        </w:rPr>
        <w:tab/>
      </w:r>
      <w:r w:rsidR="00F014B6" w:rsidRPr="00DD1DFA">
        <w:rPr>
          <w:noProof/>
        </w:rPr>
        <w:t>na wniosek organów nadzoru rynku,</w:t>
      </w:r>
      <w:r w:rsidR="00DD1DFA" w:rsidRPr="00DD1DFA">
        <w:rPr>
          <w:noProof/>
        </w:rPr>
        <w:t xml:space="preserve"> w</w:t>
      </w:r>
      <w:r w:rsidR="00DD1DFA">
        <w:rPr>
          <w:noProof/>
        </w:rPr>
        <w:t> </w:t>
      </w:r>
      <w:r w:rsidR="00DD1DFA" w:rsidRPr="00DD1DFA">
        <w:rPr>
          <w:noProof/>
        </w:rPr>
        <w:t>prz</w:t>
      </w:r>
      <w:r w:rsidR="00F014B6" w:rsidRPr="00DD1DFA">
        <w:rPr>
          <w:noProof/>
        </w:rPr>
        <w:t>ypadku gdy internetowa platforma handlowa lub jej sprzedawcy internetowi wprowadzili przeszkody techniczne utrudniające automatyczne pobieranie danych</w:t>
      </w:r>
      <w:r w:rsidR="00DD1DFA" w:rsidRPr="00DD1DFA">
        <w:rPr>
          <w:noProof/>
        </w:rPr>
        <w:t xml:space="preserve"> z</w:t>
      </w:r>
      <w:r w:rsidR="00DD1DFA">
        <w:rPr>
          <w:noProof/>
        </w:rPr>
        <w:t> </w:t>
      </w:r>
      <w:r w:rsidR="00DD1DFA" w:rsidRPr="00DD1DFA">
        <w:rPr>
          <w:noProof/>
        </w:rPr>
        <w:t>ich</w:t>
      </w:r>
      <w:r w:rsidR="00F014B6" w:rsidRPr="00DD1DFA">
        <w:rPr>
          <w:noProof/>
        </w:rPr>
        <w:t xml:space="preserve"> interfejsów internetowych – umożliwia tym organom pozyskiwania takich danych do celów zgodności wyrobów na podstawie parametrów identyfikacyjnych przekazanych przez organy nadzoru rynku wnoszące</w:t>
      </w:r>
      <w:r w:rsidR="00DD1DFA" w:rsidRPr="00DD1DFA">
        <w:rPr>
          <w:noProof/>
        </w:rPr>
        <w:t xml:space="preserve"> o</w:t>
      </w:r>
      <w:r w:rsidR="00DD1DFA">
        <w:rPr>
          <w:noProof/>
        </w:rPr>
        <w:t> </w:t>
      </w:r>
      <w:r w:rsidR="00DD1DFA" w:rsidRPr="00DD1DFA">
        <w:rPr>
          <w:noProof/>
        </w:rPr>
        <w:t>tak</w:t>
      </w:r>
      <w:r w:rsidR="00F014B6" w:rsidRPr="00DD1DFA">
        <w:rPr>
          <w:noProof/>
        </w:rPr>
        <w:t>ie pobranie.</w:t>
      </w:r>
    </w:p>
    <w:p w14:paraId="23BAB9C4" w14:textId="447FB518" w:rsidR="00F014B6" w:rsidRPr="00DD1DFA" w:rsidRDefault="005F7EFA" w:rsidP="005F7EFA">
      <w:pPr>
        <w:pStyle w:val="ManualNumPar1"/>
        <w:rPr>
          <w:noProof/>
        </w:rPr>
      </w:pPr>
      <w:r w:rsidRPr="005F7EFA">
        <w:t>4.</w:t>
      </w:r>
      <w:r w:rsidRPr="005F7EFA">
        <w:tab/>
      </w:r>
      <w:r w:rsidR="00F014B6" w:rsidRPr="00DD1DFA">
        <w:rPr>
          <w:noProof/>
        </w:rPr>
        <w:t>Jeżeli chodzi</w:t>
      </w:r>
      <w:r w:rsidR="00DD1DFA" w:rsidRPr="00DD1DFA">
        <w:rPr>
          <w:noProof/>
        </w:rPr>
        <w:t xml:space="preserve"> o</w:t>
      </w:r>
      <w:r w:rsidR="00DD1DFA">
        <w:rPr>
          <w:noProof/>
        </w:rPr>
        <w:t> </w:t>
      </w:r>
      <w:r w:rsidR="00DD1DFA" w:rsidRPr="00DD1DFA">
        <w:rPr>
          <w:noProof/>
        </w:rPr>
        <w:t>upr</w:t>
      </w:r>
      <w:r w:rsidR="00F014B6" w:rsidRPr="00DD1DFA">
        <w:rPr>
          <w:noProof/>
        </w:rPr>
        <w:t>awnienia przyznane przez państwa członkowskie zgodnie</w:t>
      </w:r>
      <w:r w:rsidR="00DD1DFA" w:rsidRPr="00DD1DFA">
        <w:rPr>
          <w:noProof/>
        </w:rPr>
        <w:t xml:space="preserve"> z</w:t>
      </w:r>
      <w:r w:rsidR="00DD1DFA">
        <w:rPr>
          <w:noProof/>
        </w:rPr>
        <w:t> </w:t>
      </w:r>
      <w:r w:rsidR="00DD1DFA" w:rsidRPr="00DD1DFA">
        <w:rPr>
          <w:noProof/>
        </w:rPr>
        <w:t>art</w:t>
      </w:r>
      <w:r w:rsidR="00F014B6" w:rsidRPr="00DD1DFA">
        <w:rPr>
          <w:noProof/>
        </w:rPr>
        <w:t>.</w:t>
      </w:r>
      <w:r w:rsidR="00DD1DFA" w:rsidRPr="00DD1DFA">
        <w:rPr>
          <w:noProof/>
        </w:rPr>
        <w:t> </w:t>
      </w:r>
      <w:r w:rsidR="00F014B6" w:rsidRPr="00DD1DFA">
        <w:rPr>
          <w:noProof/>
        </w:rPr>
        <w:t>14 rozporządzenia (UE) 2019/1020, państwa członkowskie przyznają swoim organom nadzoru rynku,</w:t>
      </w:r>
      <w:r w:rsidR="00DD1DFA" w:rsidRPr="00DD1DFA">
        <w:rPr>
          <w:noProof/>
        </w:rPr>
        <w:t xml:space="preserve"> w</w:t>
      </w:r>
      <w:r w:rsidR="00DD1DFA">
        <w:rPr>
          <w:noProof/>
        </w:rPr>
        <w:t> </w:t>
      </w:r>
      <w:r w:rsidR="00DD1DFA" w:rsidRPr="00DD1DFA">
        <w:rPr>
          <w:noProof/>
        </w:rPr>
        <w:t>odn</w:t>
      </w:r>
      <w:r w:rsidR="00F014B6" w:rsidRPr="00DD1DFA">
        <w:rPr>
          <w:noProof/>
        </w:rPr>
        <w:t>iesieniu do wszystkich produktów objętych niniejszym rozporządzeniem, uprawnienia do nakazania internetowej platformie handlowej, by usunęła ze swojego interfejsu internetowego konkretne nielegalne treści odnoszące się do wyrobu niezgodnego</w:t>
      </w:r>
      <w:r w:rsidR="00DD1DFA" w:rsidRPr="00DD1DFA">
        <w:rPr>
          <w:noProof/>
        </w:rPr>
        <w:t xml:space="preserve"> z</w:t>
      </w:r>
      <w:r w:rsidR="00DD1DFA">
        <w:rPr>
          <w:noProof/>
        </w:rPr>
        <w:t> </w:t>
      </w:r>
      <w:r w:rsidR="00DD1DFA" w:rsidRPr="00DD1DFA">
        <w:rPr>
          <w:noProof/>
        </w:rPr>
        <w:t>wym</w:t>
      </w:r>
      <w:r w:rsidR="00F014B6" w:rsidRPr="00DD1DFA">
        <w:rPr>
          <w:noProof/>
        </w:rPr>
        <w:t>ogami, uniemożliwiła dostęp do nich lub wyświetlała wyraźne ostrzeżenie dla użytkowników końcowych, gdy korzystają</w:t>
      </w:r>
      <w:r w:rsidR="00DD1DFA" w:rsidRPr="00DD1DFA">
        <w:rPr>
          <w:noProof/>
        </w:rPr>
        <w:t xml:space="preserve"> z</w:t>
      </w:r>
      <w:r w:rsidR="00DD1DFA">
        <w:rPr>
          <w:noProof/>
        </w:rPr>
        <w:t> </w:t>
      </w:r>
      <w:r w:rsidR="00DD1DFA" w:rsidRPr="00DD1DFA">
        <w:rPr>
          <w:noProof/>
        </w:rPr>
        <w:t>dos</w:t>
      </w:r>
      <w:r w:rsidR="00F014B6" w:rsidRPr="00DD1DFA">
        <w:rPr>
          <w:noProof/>
        </w:rPr>
        <w:t>tępu do tych treści. Takie nakazy muszą być zgodne z [art.</w:t>
      </w:r>
      <w:r w:rsidR="00DD1DFA" w:rsidRPr="00DD1DFA">
        <w:rPr>
          <w:noProof/>
        </w:rPr>
        <w:t> </w:t>
      </w:r>
      <w:r w:rsidR="00F014B6" w:rsidRPr="00DD1DFA">
        <w:rPr>
          <w:noProof/>
        </w:rPr>
        <w:t>8 ust.</w:t>
      </w:r>
      <w:r w:rsidR="00DD1DFA" w:rsidRPr="00DD1DFA">
        <w:rPr>
          <w:noProof/>
        </w:rPr>
        <w:t> </w:t>
      </w:r>
      <w:r w:rsidR="00F014B6" w:rsidRPr="00DD1DFA">
        <w:rPr>
          <w:noProof/>
        </w:rPr>
        <w:t>1] rozporządzenia (UE) .../... [akt</w:t>
      </w:r>
      <w:r w:rsidR="00DD1DFA" w:rsidRPr="00DD1DFA">
        <w:rPr>
          <w:noProof/>
        </w:rPr>
        <w:t xml:space="preserve"> o</w:t>
      </w:r>
      <w:r w:rsidR="00DD1DFA">
        <w:rPr>
          <w:noProof/>
        </w:rPr>
        <w:t> </w:t>
      </w:r>
      <w:r w:rsidR="00DD1DFA" w:rsidRPr="00DD1DFA">
        <w:rPr>
          <w:noProof/>
        </w:rPr>
        <w:t>usł</w:t>
      </w:r>
      <w:r w:rsidR="00F014B6" w:rsidRPr="00DD1DFA">
        <w:rPr>
          <w:noProof/>
        </w:rPr>
        <w:t xml:space="preserve">ugach cyfrowych]. </w:t>
      </w:r>
    </w:p>
    <w:p w14:paraId="4D75553E" w14:textId="201AF041" w:rsidR="00F014B6" w:rsidRPr="00DD1DFA" w:rsidRDefault="005F7EFA" w:rsidP="005F7EFA">
      <w:pPr>
        <w:pStyle w:val="ManualNumPar1"/>
        <w:rPr>
          <w:noProof/>
        </w:rPr>
      </w:pPr>
      <w:r w:rsidRPr="005F7EFA">
        <w:t>5.</w:t>
      </w:r>
      <w:r w:rsidRPr="005F7EFA">
        <w:tab/>
      </w:r>
      <w:r w:rsidR="00F014B6" w:rsidRPr="00DD1DFA">
        <w:rPr>
          <w:noProof/>
        </w:rPr>
        <w:t>Internetowa platforma handlowa podejmuje środki niezbędne do przyjmowania</w:t>
      </w:r>
      <w:r w:rsidR="00DD1DFA" w:rsidRPr="00DD1DFA">
        <w:rPr>
          <w:noProof/>
        </w:rPr>
        <w:t xml:space="preserve"> i</w:t>
      </w:r>
      <w:r w:rsidR="00DD1DFA">
        <w:rPr>
          <w:noProof/>
        </w:rPr>
        <w:t> </w:t>
      </w:r>
      <w:r w:rsidR="00DD1DFA" w:rsidRPr="00DD1DFA">
        <w:rPr>
          <w:noProof/>
        </w:rPr>
        <w:t>prz</w:t>
      </w:r>
      <w:r w:rsidR="00F014B6" w:rsidRPr="00DD1DFA">
        <w:rPr>
          <w:noProof/>
        </w:rPr>
        <w:t>etwarzania zgodnie z [art.</w:t>
      </w:r>
      <w:r w:rsidR="00DD1DFA" w:rsidRPr="00DD1DFA">
        <w:rPr>
          <w:noProof/>
        </w:rPr>
        <w:t> </w:t>
      </w:r>
      <w:r w:rsidR="00F014B6" w:rsidRPr="00DD1DFA">
        <w:rPr>
          <w:noProof/>
        </w:rPr>
        <w:t xml:space="preserve">8] rozporządzenia (UE) </w:t>
      </w:r>
      <w:r w:rsidR="00F014B6" w:rsidRPr="00DD1DFA">
        <w:rPr>
          <w:noProof/>
          <w:highlight w:val="yellow"/>
        </w:rPr>
        <w:t>.../...</w:t>
      </w:r>
      <w:r w:rsidR="00F014B6" w:rsidRPr="00DD1DFA">
        <w:rPr>
          <w:noProof/>
        </w:rPr>
        <w:t xml:space="preserve"> [akt</w:t>
      </w:r>
      <w:r w:rsidR="00DD1DFA" w:rsidRPr="00DD1DFA">
        <w:rPr>
          <w:noProof/>
        </w:rPr>
        <w:t xml:space="preserve"> o</w:t>
      </w:r>
      <w:r w:rsidR="00DD1DFA">
        <w:rPr>
          <w:noProof/>
        </w:rPr>
        <w:t> </w:t>
      </w:r>
      <w:r w:rsidR="00DD1DFA" w:rsidRPr="00DD1DFA">
        <w:rPr>
          <w:noProof/>
        </w:rPr>
        <w:t>usł</w:t>
      </w:r>
      <w:r w:rsidR="00F014B6" w:rsidRPr="00DD1DFA">
        <w:rPr>
          <w:noProof/>
        </w:rPr>
        <w:t>ugach cyfrowych] nakazów,</w:t>
      </w:r>
      <w:r w:rsidR="00DD1DFA" w:rsidRPr="00DD1DFA">
        <w:rPr>
          <w:noProof/>
        </w:rPr>
        <w:t xml:space="preserve"> o</w:t>
      </w:r>
      <w:r w:rsidR="00DD1DFA">
        <w:rPr>
          <w:noProof/>
        </w:rPr>
        <w:t> </w:t>
      </w:r>
      <w:r w:rsidR="00DD1DFA" w:rsidRPr="00DD1DFA">
        <w:rPr>
          <w:noProof/>
        </w:rPr>
        <w:t>któ</w:t>
      </w:r>
      <w:r w:rsidR="00F014B6" w:rsidRPr="00DD1DFA">
        <w:rPr>
          <w:noProof/>
        </w:rPr>
        <w:t>rych mowa</w:t>
      </w:r>
      <w:r w:rsidR="00DD1DFA" w:rsidRPr="00DD1DFA">
        <w:rPr>
          <w:noProof/>
        </w:rPr>
        <w:t xml:space="preserve"> w</w:t>
      </w:r>
      <w:r w:rsidR="00DD1DFA">
        <w:rPr>
          <w:noProof/>
        </w:rPr>
        <w:t> </w:t>
      </w:r>
      <w:r w:rsidR="00DD1DFA" w:rsidRPr="00DD1DFA">
        <w:rPr>
          <w:noProof/>
        </w:rPr>
        <w:t>ust</w:t>
      </w:r>
      <w:r w:rsidR="00F014B6" w:rsidRPr="00DD1DFA">
        <w:rPr>
          <w:noProof/>
        </w:rPr>
        <w:t>.</w:t>
      </w:r>
      <w:r w:rsidR="00DD1DFA" w:rsidRPr="00DD1DFA">
        <w:rPr>
          <w:noProof/>
        </w:rPr>
        <w:t> </w:t>
      </w:r>
      <w:r w:rsidR="00F014B6" w:rsidRPr="00DD1DFA">
        <w:rPr>
          <w:noProof/>
        </w:rPr>
        <w:t>4.</w:t>
      </w:r>
    </w:p>
    <w:p w14:paraId="2953F87A" w14:textId="62B6F67C" w:rsidR="00F014B6" w:rsidRPr="00DD1DFA" w:rsidRDefault="005F7EFA" w:rsidP="005F7EFA">
      <w:pPr>
        <w:pStyle w:val="ManualNumPar1"/>
        <w:rPr>
          <w:noProof/>
        </w:rPr>
      </w:pPr>
      <w:r w:rsidRPr="005F7EFA">
        <w:t>6.</w:t>
      </w:r>
      <w:r w:rsidRPr="005F7EFA">
        <w:tab/>
      </w:r>
      <w:r w:rsidR="00F014B6" w:rsidRPr="00DD1DFA">
        <w:rPr>
          <w:noProof/>
        </w:rPr>
        <w:t>Przepisy ust.</w:t>
      </w:r>
      <w:r w:rsidR="00DD1DFA" w:rsidRPr="00DD1DFA">
        <w:rPr>
          <w:noProof/>
        </w:rPr>
        <w:t> </w:t>
      </w:r>
      <w:r w:rsidR="00F014B6" w:rsidRPr="00DD1DFA">
        <w:rPr>
          <w:noProof/>
        </w:rPr>
        <w:t>1</w:t>
      </w:r>
      <w:r w:rsidR="00DD1DFA" w:rsidRPr="00DD1DFA">
        <w:rPr>
          <w:noProof/>
        </w:rPr>
        <w:t xml:space="preserve"> i</w:t>
      </w:r>
      <w:r w:rsidR="00DD1DFA">
        <w:rPr>
          <w:noProof/>
        </w:rPr>
        <w:t> </w:t>
      </w:r>
      <w:r w:rsidR="00DD1DFA" w:rsidRPr="00DD1DFA">
        <w:rPr>
          <w:noProof/>
        </w:rPr>
        <w:t>2</w:t>
      </w:r>
      <w:r w:rsidR="00F014B6" w:rsidRPr="00DD1DFA">
        <w:rPr>
          <w:noProof/>
        </w:rPr>
        <w:t>, ust.</w:t>
      </w:r>
      <w:r w:rsidR="00DD1DFA" w:rsidRPr="00DD1DFA">
        <w:rPr>
          <w:noProof/>
        </w:rPr>
        <w:t> </w:t>
      </w:r>
      <w:r w:rsidR="00F014B6" w:rsidRPr="00DD1DFA">
        <w:rPr>
          <w:noProof/>
        </w:rPr>
        <w:t>3 lit.</w:t>
      </w:r>
      <w:r w:rsidR="00DD1DFA" w:rsidRPr="00DD1DFA">
        <w:rPr>
          <w:noProof/>
        </w:rPr>
        <w:t> </w:t>
      </w:r>
      <w:r w:rsidR="00F014B6" w:rsidRPr="00DD1DFA">
        <w:rPr>
          <w:noProof/>
        </w:rPr>
        <w:t>b)–i) oraz ust.</w:t>
      </w:r>
      <w:r w:rsidR="00DD1DFA" w:rsidRPr="00DD1DFA">
        <w:rPr>
          <w:noProof/>
        </w:rPr>
        <w:t> </w:t>
      </w:r>
      <w:r w:rsidR="00F014B6" w:rsidRPr="00DD1DFA">
        <w:rPr>
          <w:noProof/>
        </w:rPr>
        <w:t>4</w:t>
      </w:r>
      <w:r w:rsidR="00DD1DFA" w:rsidRPr="00DD1DFA">
        <w:rPr>
          <w:noProof/>
        </w:rPr>
        <w:t xml:space="preserve"> i</w:t>
      </w:r>
      <w:r w:rsidR="00DD1DFA">
        <w:rPr>
          <w:noProof/>
        </w:rPr>
        <w:t> </w:t>
      </w:r>
      <w:r w:rsidR="00DD1DFA" w:rsidRPr="00DD1DFA">
        <w:rPr>
          <w:noProof/>
        </w:rPr>
        <w:t>5</w:t>
      </w:r>
      <w:r w:rsidR="00F014B6" w:rsidRPr="00DD1DFA">
        <w:rPr>
          <w:noProof/>
        </w:rPr>
        <w:t xml:space="preserve"> mają również zastosowanie do producentów, importerów, dystrybutorów lub innych podmiotów gospodarczych oferujących wyroby</w:t>
      </w:r>
      <w:r w:rsidR="00DD1DFA" w:rsidRPr="00DD1DFA">
        <w:rPr>
          <w:noProof/>
        </w:rPr>
        <w:t xml:space="preserve"> w</w:t>
      </w:r>
      <w:r w:rsidR="00DD1DFA">
        <w:rPr>
          <w:noProof/>
        </w:rPr>
        <w:t> </w:t>
      </w:r>
      <w:r w:rsidR="00DD1DFA" w:rsidRPr="00DD1DFA">
        <w:rPr>
          <w:noProof/>
        </w:rPr>
        <w:t>int</w:t>
      </w:r>
      <w:r w:rsidR="00F014B6" w:rsidRPr="00DD1DFA">
        <w:rPr>
          <w:noProof/>
        </w:rPr>
        <w:t xml:space="preserve">ernecie bez udziału internetowej platformy handlowej („sklepy internetowe”). </w:t>
      </w:r>
    </w:p>
    <w:p w14:paraId="0FB10311" w14:textId="6ABCA947" w:rsidR="005B2DDD" w:rsidRPr="00DD1DFA" w:rsidRDefault="005F7EFA" w:rsidP="005F7EFA">
      <w:pPr>
        <w:pStyle w:val="ManualNumPar1"/>
        <w:rPr>
          <w:noProof/>
        </w:rPr>
      </w:pPr>
      <w:r w:rsidRPr="005F7EFA">
        <w:t>7.</w:t>
      </w:r>
      <w:r w:rsidRPr="005F7EFA">
        <w:tab/>
      </w:r>
      <w:r w:rsidR="005B2DDD" w:rsidRPr="00DD1DFA">
        <w:rPr>
          <w:noProof/>
        </w:rPr>
        <w:t>Przepisy ust.</w:t>
      </w:r>
      <w:r w:rsidR="00DD1DFA" w:rsidRPr="00DD1DFA">
        <w:rPr>
          <w:noProof/>
        </w:rPr>
        <w:t> </w:t>
      </w:r>
      <w:r w:rsidR="005B2DDD" w:rsidRPr="00DD1DFA">
        <w:rPr>
          <w:noProof/>
        </w:rPr>
        <w:t>3 lit.</w:t>
      </w:r>
      <w:r w:rsidR="00DD1DFA" w:rsidRPr="00DD1DFA">
        <w:rPr>
          <w:noProof/>
        </w:rPr>
        <w:t> </w:t>
      </w:r>
      <w:r w:rsidR="005B2DDD" w:rsidRPr="00DD1DFA">
        <w:rPr>
          <w:noProof/>
        </w:rPr>
        <w:t>d)–h) mają zastosowanie także do wyszukiwarek internetowych.</w:t>
      </w:r>
    </w:p>
    <w:p w14:paraId="157028B4" w14:textId="0A0B3353" w:rsidR="00F014B6" w:rsidRPr="00DD1DFA" w:rsidRDefault="005F7EFA" w:rsidP="005F7EFA">
      <w:pPr>
        <w:pStyle w:val="ManualNumPar1"/>
        <w:rPr>
          <w:noProof/>
        </w:rPr>
      </w:pPr>
      <w:r w:rsidRPr="005F7EFA">
        <w:t>8.</w:t>
      </w:r>
      <w:r w:rsidRPr="005F7EFA">
        <w:tab/>
      </w:r>
      <w:r w:rsidR="00F014B6" w:rsidRPr="00DD1DFA">
        <w:rPr>
          <w:noProof/>
        </w:rPr>
        <w:t>Dostawca usług realizacji zamówień zapewnia, aby warunki podczas magazynowania, pakowania, adresowania lub wysyłki nie zagrażały zgodności wyrobów</w:t>
      </w:r>
      <w:r w:rsidR="00DD1DFA" w:rsidRPr="00DD1DFA">
        <w:rPr>
          <w:noProof/>
        </w:rPr>
        <w:t xml:space="preserve"> z</w:t>
      </w:r>
      <w:r w:rsidR="00DD1DFA">
        <w:rPr>
          <w:noProof/>
        </w:rPr>
        <w:t> </w:t>
      </w:r>
      <w:r w:rsidR="00DD1DFA" w:rsidRPr="00DD1DFA">
        <w:rPr>
          <w:noProof/>
        </w:rPr>
        <w:t>wym</w:t>
      </w:r>
      <w:r w:rsidR="00F014B6" w:rsidRPr="00DD1DFA">
        <w:rPr>
          <w:noProof/>
        </w:rPr>
        <w:t>ogami określonymi</w:t>
      </w:r>
      <w:r w:rsidR="00DD1DFA" w:rsidRPr="00DD1DFA">
        <w:rPr>
          <w:noProof/>
        </w:rPr>
        <w:t xml:space="preserve"> w</w:t>
      </w:r>
      <w:r w:rsidR="00DD1DFA">
        <w:rPr>
          <w:noProof/>
        </w:rPr>
        <w:t> </w:t>
      </w:r>
      <w:r w:rsidR="00DD1DFA" w:rsidRPr="00DD1DFA">
        <w:rPr>
          <w:noProof/>
        </w:rPr>
        <w:t>nin</w:t>
      </w:r>
      <w:r w:rsidR="00F014B6" w:rsidRPr="00DD1DFA">
        <w:rPr>
          <w:noProof/>
        </w:rPr>
        <w:t>iejszym rozporządzeniu.</w:t>
      </w:r>
    </w:p>
    <w:p w14:paraId="0AD646B4" w14:textId="77777777" w:rsidR="00BC1E12" w:rsidRPr="00DD1DFA" w:rsidRDefault="005979EE" w:rsidP="00831AF5">
      <w:pPr>
        <w:pStyle w:val="Titrearticle"/>
        <w:rPr>
          <w:b/>
          <w:noProof/>
          <w:sz w:val="32"/>
          <w:szCs w:val="32"/>
        </w:rPr>
      </w:pPr>
      <w:r w:rsidRPr="00DD1DFA">
        <w:rPr>
          <w:noProof/>
        </w:rPr>
        <w:t>Artykuł 28</w:t>
      </w:r>
    </w:p>
    <w:p w14:paraId="59631B8A" w14:textId="26B008D7" w:rsidR="00BC1E12" w:rsidRPr="00DD1DFA" w:rsidRDefault="004314B3" w:rsidP="00831AF5">
      <w:pPr>
        <w:pStyle w:val="Titrearticle"/>
        <w:rPr>
          <w:b/>
          <w:noProof/>
        </w:rPr>
      </w:pPr>
      <w:r w:rsidRPr="00DD1DFA">
        <w:rPr>
          <w:b/>
          <w:noProof/>
        </w:rPr>
        <w:t>Obowiązki dostawców usług drukowania przestrzennego oraz obowiązki dostawców form, zbiorów danych 3D</w:t>
      </w:r>
      <w:r w:rsidR="00DD1DFA" w:rsidRPr="00DD1DFA">
        <w:rPr>
          <w:b/>
          <w:noProof/>
        </w:rPr>
        <w:t xml:space="preserve"> i</w:t>
      </w:r>
      <w:r w:rsidR="00DD1DFA">
        <w:rPr>
          <w:b/>
          <w:noProof/>
        </w:rPr>
        <w:t> </w:t>
      </w:r>
      <w:r w:rsidR="00DD1DFA" w:rsidRPr="00DD1DFA">
        <w:rPr>
          <w:b/>
          <w:noProof/>
        </w:rPr>
        <w:t>mat</w:t>
      </w:r>
      <w:r w:rsidRPr="00DD1DFA">
        <w:rPr>
          <w:b/>
          <w:noProof/>
        </w:rPr>
        <w:t>eriałów do drukowania przestrzennego</w:t>
      </w:r>
    </w:p>
    <w:p w14:paraId="4A246728" w14:textId="52AE76AA" w:rsidR="004314B3" w:rsidRPr="00DD1DFA" w:rsidRDefault="005F7EFA" w:rsidP="005F7EFA">
      <w:pPr>
        <w:pStyle w:val="ManualNumPar1"/>
        <w:rPr>
          <w:noProof/>
        </w:rPr>
      </w:pPr>
      <w:r w:rsidRPr="005F7EFA">
        <w:t>1.</w:t>
      </w:r>
      <w:r w:rsidRPr="005F7EFA">
        <w:tab/>
      </w:r>
      <w:r w:rsidR="004314B3" w:rsidRPr="00DD1DFA">
        <w:rPr>
          <w:noProof/>
        </w:rPr>
        <w:t>Dostawca usług drukowania przestrzennego:</w:t>
      </w:r>
    </w:p>
    <w:p w14:paraId="71964431" w14:textId="425D9298" w:rsidR="004314B3" w:rsidRPr="00DD1DFA" w:rsidRDefault="005A4BBC" w:rsidP="005A4BBC">
      <w:pPr>
        <w:pStyle w:val="Point1"/>
        <w:rPr>
          <w:noProof/>
        </w:rPr>
      </w:pPr>
      <w:r w:rsidRPr="005A4BBC">
        <w:rPr>
          <w:noProof/>
        </w:rPr>
        <w:t>a)</w:t>
      </w:r>
      <w:r w:rsidRPr="005A4BBC">
        <w:rPr>
          <w:noProof/>
        </w:rPr>
        <w:tab/>
      </w:r>
      <w:r w:rsidR="004314B3" w:rsidRPr="00DD1DFA">
        <w:rPr>
          <w:noProof/>
        </w:rPr>
        <w:t>powstrzymuje się od wprowadzania do obrotu wyrobów lub bezpośredniego ich wbudowania dla klientów bez wypełnienia obowiązków spoczywających na producentach;</w:t>
      </w:r>
    </w:p>
    <w:p w14:paraId="2CC303C3" w14:textId="58B5E40E" w:rsidR="004314B3" w:rsidRPr="00DD1DFA" w:rsidRDefault="005A4BBC" w:rsidP="005A4BBC">
      <w:pPr>
        <w:pStyle w:val="Point1"/>
        <w:rPr>
          <w:noProof/>
        </w:rPr>
      </w:pPr>
      <w:r w:rsidRPr="005A4BBC">
        <w:rPr>
          <w:noProof/>
        </w:rPr>
        <w:t>b)</w:t>
      </w:r>
      <w:r w:rsidRPr="005A4BBC">
        <w:rPr>
          <w:noProof/>
        </w:rPr>
        <w:tab/>
      </w:r>
      <w:r w:rsidR="004314B3" w:rsidRPr="00DD1DFA">
        <w:rPr>
          <w:noProof/>
        </w:rPr>
        <w:t>informuje swoich klientów, że mogą oni korzystać</w:t>
      </w:r>
      <w:r w:rsidR="00DD1DFA" w:rsidRPr="00DD1DFA">
        <w:rPr>
          <w:noProof/>
        </w:rPr>
        <w:t xml:space="preserve"> z</w:t>
      </w:r>
      <w:r w:rsidR="00DD1DFA">
        <w:rPr>
          <w:noProof/>
        </w:rPr>
        <w:t> </w:t>
      </w:r>
      <w:r w:rsidR="00DD1DFA" w:rsidRPr="00DD1DFA">
        <w:rPr>
          <w:noProof/>
        </w:rPr>
        <w:t>usł</w:t>
      </w:r>
      <w:r w:rsidR="004314B3" w:rsidRPr="00DD1DFA">
        <w:rPr>
          <w:noProof/>
        </w:rPr>
        <w:t>ug drukowania przestrzennego wyłącznie</w:t>
      </w:r>
      <w:r w:rsidR="00DD1DFA" w:rsidRPr="00DD1DFA">
        <w:rPr>
          <w:noProof/>
        </w:rPr>
        <w:t xml:space="preserve"> w</w:t>
      </w:r>
      <w:r w:rsidR="00DD1DFA">
        <w:rPr>
          <w:noProof/>
        </w:rPr>
        <w:t> </w:t>
      </w:r>
      <w:r w:rsidR="00DD1DFA" w:rsidRPr="00DD1DFA">
        <w:rPr>
          <w:noProof/>
        </w:rPr>
        <w:t>cel</w:t>
      </w:r>
      <w:r w:rsidR="004314B3" w:rsidRPr="00DD1DFA">
        <w:rPr>
          <w:noProof/>
        </w:rPr>
        <w:t>u wytwarzania wyrobów na własny użytek, chyba że wypełniają obowiązki spoczywające na producentach;</w:t>
      </w:r>
    </w:p>
    <w:p w14:paraId="50742256" w14:textId="7886F606" w:rsidR="004314B3" w:rsidRPr="00DD1DFA" w:rsidRDefault="005A4BBC" w:rsidP="005A4BBC">
      <w:pPr>
        <w:pStyle w:val="Point1"/>
        <w:rPr>
          <w:noProof/>
        </w:rPr>
      </w:pPr>
      <w:r w:rsidRPr="005A4BBC">
        <w:rPr>
          <w:noProof/>
        </w:rPr>
        <w:t>c)</w:t>
      </w:r>
      <w:r w:rsidRPr="005A4BBC">
        <w:rPr>
          <w:noProof/>
        </w:rPr>
        <w:tab/>
      </w:r>
      <w:r w:rsidR="004314B3" w:rsidRPr="00DD1DFA">
        <w:rPr>
          <w:noProof/>
        </w:rPr>
        <w:t>informuje swoich klientów, że zbiory danych 3D</w:t>
      </w:r>
      <w:r w:rsidR="00DD1DFA" w:rsidRPr="00DD1DFA">
        <w:rPr>
          <w:noProof/>
        </w:rPr>
        <w:t xml:space="preserve"> i</w:t>
      </w:r>
      <w:r w:rsidR="00DD1DFA">
        <w:rPr>
          <w:noProof/>
        </w:rPr>
        <w:t> </w:t>
      </w:r>
      <w:r w:rsidR="00DD1DFA" w:rsidRPr="00DD1DFA">
        <w:rPr>
          <w:noProof/>
        </w:rPr>
        <w:t>mat</w:t>
      </w:r>
      <w:r w:rsidR="004314B3" w:rsidRPr="00DD1DFA">
        <w:rPr>
          <w:noProof/>
        </w:rPr>
        <w:t>eriały, które mają być użyte, zostały poddane procedurom mającym zastosowanie do wyrobów na podstawie niniejszego rozporządzenia; oraz</w:t>
      </w:r>
    </w:p>
    <w:p w14:paraId="1256168F" w14:textId="32E5A894" w:rsidR="004314B3" w:rsidRPr="00DD1DFA" w:rsidRDefault="005A4BBC" w:rsidP="005A4BBC">
      <w:pPr>
        <w:pStyle w:val="Point1"/>
        <w:rPr>
          <w:noProof/>
        </w:rPr>
      </w:pPr>
      <w:r w:rsidRPr="005A4BBC">
        <w:rPr>
          <w:noProof/>
        </w:rPr>
        <w:t>d)</w:t>
      </w:r>
      <w:r w:rsidRPr="005A4BBC">
        <w:rPr>
          <w:noProof/>
        </w:rPr>
        <w:tab/>
      </w:r>
      <w:r w:rsidR="004314B3" w:rsidRPr="00DD1DFA">
        <w:rPr>
          <w:noProof/>
        </w:rPr>
        <w:t>informuje swoich klientów, że zarówno informacje dostarczone przez producenta zbioru danych 3D, jak</w:t>
      </w:r>
      <w:r w:rsidR="00DD1DFA" w:rsidRPr="00DD1DFA">
        <w:rPr>
          <w:noProof/>
        </w:rPr>
        <w:t xml:space="preserve"> i</w:t>
      </w:r>
      <w:r w:rsidR="00DD1DFA">
        <w:rPr>
          <w:noProof/>
        </w:rPr>
        <w:t> </w:t>
      </w:r>
      <w:r w:rsidR="00DD1DFA" w:rsidRPr="00DD1DFA">
        <w:rPr>
          <w:noProof/>
        </w:rPr>
        <w:t>inf</w:t>
      </w:r>
      <w:r w:rsidR="004314B3" w:rsidRPr="00DD1DFA">
        <w:rPr>
          <w:noProof/>
        </w:rPr>
        <w:t>ormacje dostarczone przez producenta materiału do drukowania powinny być zbieżne</w:t>
      </w:r>
      <w:r w:rsidR="00DD1DFA" w:rsidRPr="00DD1DFA">
        <w:rPr>
          <w:noProof/>
        </w:rPr>
        <w:t xml:space="preserve"> i</w:t>
      </w:r>
      <w:r w:rsidR="00DD1DFA">
        <w:rPr>
          <w:noProof/>
        </w:rPr>
        <w:t> </w:t>
      </w:r>
      <w:r w:rsidR="00DD1DFA" w:rsidRPr="00DD1DFA">
        <w:rPr>
          <w:noProof/>
        </w:rPr>
        <w:t>pot</w:t>
      </w:r>
      <w:r w:rsidR="004314B3" w:rsidRPr="00DD1DFA">
        <w:rPr>
          <w:noProof/>
        </w:rPr>
        <w:t>wierdzać przydatność materiału dla danego typu zbioru danych 3D</w:t>
      </w:r>
      <w:r w:rsidR="00DD1DFA" w:rsidRPr="00DD1DFA">
        <w:rPr>
          <w:noProof/>
        </w:rPr>
        <w:t xml:space="preserve"> i</w:t>
      </w:r>
      <w:r w:rsidR="00DD1DFA">
        <w:rPr>
          <w:noProof/>
        </w:rPr>
        <w:t> </w:t>
      </w:r>
      <w:r w:rsidR="00DD1DFA" w:rsidRPr="00DD1DFA">
        <w:rPr>
          <w:noProof/>
        </w:rPr>
        <w:t>dan</w:t>
      </w:r>
      <w:r w:rsidR="004314B3" w:rsidRPr="00DD1DFA">
        <w:rPr>
          <w:noProof/>
        </w:rPr>
        <w:t>ej technologii drukowania przestrzennego.</w:t>
      </w:r>
    </w:p>
    <w:p w14:paraId="0BAC3336" w14:textId="22207829" w:rsidR="004314B3" w:rsidRPr="00DD1DFA" w:rsidRDefault="005F7EFA" w:rsidP="005F7EFA">
      <w:pPr>
        <w:pStyle w:val="ManualNumPar1"/>
        <w:rPr>
          <w:noProof/>
        </w:rPr>
      </w:pPr>
      <w:r w:rsidRPr="005F7EFA">
        <w:t>2.</w:t>
      </w:r>
      <w:r w:rsidRPr="005F7EFA">
        <w:tab/>
      </w:r>
      <w:r w:rsidR="004314B3" w:rsidRPr="00DD1DFA">
        <w:rPr>
          <w:noProof/>
        </w:rPr>
        <w:t>Dostawcy form</w:t>
      </w:r>
      <w:r w:rsidR="00DD1DFA" w:rsidRPr="00DD1DFA">
        <w:rPr>
          <w:noProof/>
        </w:rPr>
        <w:t xml:space="preserve"> i</w:t>
      </w:r>
      <w:r w:rsidR="00DD1DFA">
        <w:rPr>
          <w:noProof/>
        </w:rPr>
        <w:t> </w:t>
      </w:r>
      <w:r w:rsidR="00DD1DFA" w:rsidRPr="00DD1DFA">
        <w:rPr>
          <w:noProof/>
        </w:rPr>
        <w:t>zbi</w:t>
      </w:r>
      <w:r w:rsidR="004314B3" w:rsidRPr="00DD1DFA">
        <w:rPr>
          <w:noProof/>
        </w:rPr>
        <w:t>orów danych 3D przeznaczonych do produkcji elementów objętych niniejszym rozporządzeniem wytwarzają 10 takich elementów</w:t>
      </w:r>
      <w:r w:rsidR="00DD1DFA" w:rsidRPr="00DD1DFA">
        <w:rPr>
          <w:noProof/>
        </w:rPr>
        <w:t xml:space="preserve"> i</w:t>
      </w:r>
      <w:r w:rsidR="00DD1DFA">
        <w:rPr>
          <w:noProof/>
        </w:rPr>
        <w:t> </w:t>
      </w:r>
      <w:r w:rsidR="00DD1DFA" w:rsidRPr="00DD1DFA">
        <w:rPr>
          <w:noProof/>
        </w:rPr>
        <w:t>udo</w:t>
      </w:r>
      <w:r w:rsidR="004314B3" w:rsidRPr="00DD1DFA">
        <w:rPr>
          <w:noProof/>
        </w:rPr>
        <w:t>stępniają je jednostce notyfikowanej, jednostce ds. oceny technicznej oraz władzom na żądanie. Dostawcy form</w:t>
      </w:r>
      <w:r w:rsidR="00DD1DFA" w:rsidRPr="00DD1DFA">
        <w:rPr>
          <w:noProof/>
        </w:rPr>
        <w:t xml:space="preserve"> i</w:t>
      </w:r>
      <w:r w:rsidR="00DD1DFA">
        <w:rPr>
          <w:noProof/>
        </w:rPr>
        <w:t> </w:t>
      </w:r>
      <w:r w:rsidR="00DD1DFA" w:rsidRPr="00DD1DFA">
        <w:rPr>
          <w:noProof/>
        </w:rPr>
        <w:t>zbi</w:t>
      </w:r>
      <w:r w:rsidR="004314B3" w:rsidRPr="00DD1DFA">
        <w:rPr>
          <w:noProof/>
        </w:rPr>
        <w:t>orów danych 3D przeznaczonych do produkcji elementów objętych niniejszym rozporządzeniem oceniają</w:t>
      </w:r>
      <w:r w:rsidR="00DD1DFA" w:rsidRPr="00DD1DFA">
        <w:rPr>
          <w:noProof/>
        </w:rPr>
        <w:t xml:space="preserve"> i</w:t>
      </w:r>
      <w:r w:rsidR="00DD1DFA">
        <w:rPr>
          <w:noProof/>
        </w:rPr>
        <w:t> </w:t>
      </w:r>
      <w:r w:rsidR="00DD1DFA" w:rsidRPr="00DD1DFA">
        <w:rPr>
          <w:noProof/>
        </w:rPr>
        <w:t>dok</w:t>
      </w:r>
      <w:r w:rsidR="004314B3" w:rsidRPr="00DD1DFA">
        <w:rPr>
          <w:noProof/>
        </w:rPr>
        <w:t>umentują, czy zostały spełnione wymagania niniejszego rozporządzenia</w:t>
      </w:r>
      <w:r w:rsidR="00DD1DFA" w:rsidRPr="00DD1DFA">
        <w:rPr>
          <w:noProof/>
        </w:rPr>
        <w:t xml:space="preserve"> w</w:t>
      </w:r>
      <w:r w:rsidR="00DD1DFA">
        <w:rPr>
          <w:noProof/>
        </w:rPr>
        <w:t> </w:t>
      </w:r>
      <w:r w:rsidR="00DD1DFA" w:rsidRPr="00DD1DFA">
        <w:rPr>
          <w:noProof/>
        </w:rPr>
        <w:t>odn</w:t>
      </w:r>
      <w:r w:rsidR="004314B3" w:rsidRPr="00DD1DFA">
        <w:rPr>
          <w:noProof/>
        </w:rPr>
        <w:t>iesieniu do wyprodukowanych elementów.</w:t>
      </w:r>
    </w:p>
    <w:p w14:paraId="68354820" w14:textId="204214B0" w:rsidR="00BC1E12" w:rsidRPr="00DD1DFA" w:rsidRDefault="005F7EFA" w:rsidP="005F7EFA">
      <w:pPr>
        <w:pStyle w:val="ManualNumPar1"/>
        <w:rPr>
          <w:noProof/>
        </w:rPr>
      </w:pPr>
      <w:r w:rsidRPr="005F7EFA">
        <w:t>3.</w:t>
      </w:r>
      <w:r w:rsidRPr="005F7EFA">
        <w:tab/>
      </w:r>
      <w:r w:rsidR="004314B3" w:rsidRPr="00DD1DFA">
        <w:rPr>
          <w:noProof/>
        </w:rPr>
        <w:t>Dostawcy materiałów przeznaczonych do wykorzystania podczas drukowania przestrzennego elementów objętych niniejszym rozporządzeniem na terenie budowy lub</w:t>
      </w:r>
      <w:r w:rsidR="00DD1DFA" w:rsidRPr="00DD1DFA">
        <w:rPr>
          <w:noProof/>
        </w:rPr>
        <w:t xml:space="preserve"> w</w:t>
      </w:r>
      <w:r w:rsidR="00DD1DFA">
        <w:rPr>
          <w:noProof/>
        </w:rPr>
        <w:t> </w:t>
      </w:r>
      <w:r w:rsidR="00DD1DFA" w:rsidRPr="00DD1DFA">
        <w:rPr>
          <w:noProof/>
        </w:rPr>
        <w:t>jeg</w:t>
      </w:r>
      <w:r w:rsidR="004314B3" w:rsidRPr="00DD1DFA">
        <w:rPr>
          <w:noProof/>
        </w:rPr>
        <w:t>o pobliżu wytwarzają 10 takich elementów na potrzeby każdego zamierzonego zastosowania</w:t>
      </w:r>
      <w:r w:rsidR="00DD1DFA" w:rsidRPr="00DD1DFA">
        <w:rPr>
          <w:noProof/>
        </w:rPr>
        <w:t xml:space="preserve"> i</w:t>
      </w:r>
      <w:r w:rsidR="00DD1DFA">
        <w:rPr>
          <w:noProof/>
        </w:rPr>
        <w:t> </w:t>
      </w:r>
      <w:r w:rsidR="00DD1DFA" w:rsidRPr="00DD1DFA">
        <w:rPr>
          <w:noProof/>
        </w:rPr>
        <w:t>udo</w:t>
      </w:r>
      <w:r w:rsidR="004314B3" w:rsidRPr="00DD1DFA">
        <w:rPr>
          <w:noProof/>
        </w:rPr>
        <w:t>stępniają je jednostce notyfikowanej, jednostce ds. oceny technicznej oraz władzom na żądanie. Dostawcy materiałów przeznaczonych do wykorzystania podczas drukowania przestrzennego elementów objętych niniejszym rozporządzeniem na terenie budowy lub</w:t>
      </w:r>
      <w:r w:rsidR="00DD1DFA" w:rsidRPr="00DD1DFA">
        <w:rPr>
          <w:noProof/>
        </w:rPr>
        <w:t xml:space="preserve"> w</w:t>
      </w:r>
      <w:r w:rsidR="00DD1DFA">
        <w:rPr>
          <w:noProof/>
        </w:rPr>
        <w:t> </w:t>
      </w:r>
      <w:r w:rsidR="00DD1DFA" w:rsidRPr="00DD1DFA">
        <w:rPr>
          <w:noProof/>
        </w:rPr>
        <w:t>jeg</w:t>
      </w:r>
      <w:r w:rsidR="004314B3" w:rsidRPr="00DD1DFA">
        <w:rPr>
          <w:noProof/>
        </w:rPr>
        <w:t>o pobliżu oceniają</w:t>
      </w:r>
      <w:r w:rsidR="00DD1DFA" w:rsidRPr="00DD1DFA">
        <w:rPr>
          <w:noProof/>
        </w:rPr>
        <w:t xml:space="preserve"> i</w:t>
      </w:r>
      <w:r w:rsidR="00DD1DFA">
        <w:rPr>
          <w:noProof/>
        </w:rPr>
        <w:t> </w:t>
      </w:r>
      <w:r w:rsidR="00DD1DFA" w:rsidRPr="00DD1DFA">
        <w:rPr>
          <w:noProof/>
        </w:rPr>
        <w:t>dok</w:t>
      </w:r>
      <w:r w:rsidR="004314B3" w:rsidRPr="00DD1DFA">
        <w:rPr>
          <w:noProof/>
        </w:rPr>
        <w:t>umentują, czy spełnione są wymogi niniejszego rozporządzenia</w:t>
      </w:r>
      <w:r w:rsidR="00DD1DFA" w:rsidRPr="00DD1DFA">
        <w:rPr>
          <w:noProof/>
        </w:rPr>
        <w:t xml:space="preserve"> w</w:t>
      </w:r>
      <w:r w:rsidR="00DD1DFA">
        <w:rPr>
          <w:noProof/>
        </w:rPr>
        <w:t> </w:t>
      </w:r>
      <w:r w:rsidR="00DD1DFA" w:rsidRPr="00DD1DFA">
        <w:rPr>
          <w:noProof/>
        </w:rPr>
        <w:t>odn</w:t>
      </w:r>
      <w:r w:rsidR="004314B3" w:rsidRPr="00DD1DFA">
        <w:rPr>
          <w:noProof/>
        </w:rPr>
        <w:t>iesieniu do wytworzonych elementów.</w:t>
      </w:r>
    </w:p>
    <w:p w14:paraId="5F1CE597" w14:textId="77777777" w:rsidR="00BC1E12" w:rsidRPr="00DD1DFA" w:rsidRDefault="005979EE" w:rsidP="00831AF5">
      <w:pPr>
        <w:pStyle w:val="Titrearticle"/>
        <w:rPr>
          <w:b/>
          <w:noProof/>
          <w:sz w:val="32"/>
          <w:szCs w:val="32"/>
        </w:rPr>
      </w:pPr>
      <w:r w:rsidRPr="00DD1DFA">
        <w:rPr>
          <w:noProof/>
        </w:rPr>
        <w:t>Artykuł 29</w:t>
      </w:r>
    </w:p>
    <w:p w14:paraId="72A0B642" w14:textId="18CBC295" w:rsidR="00BC1E12" w:rsidRPr="00DD1DFA" w:rsidRDefault="004314B3" w:rsidP="00831AF5">
      <w:pPr>
        <w:pStyle w:val="Titrearticle"/>
        <w:rPr>
          <w:b/>
          <w:noProof/>
        </w:rPr>
      </w:pPr>
      <w:r w:rsidRPr="00DD1DFA">
        <w:rPr>
          <w:b/>
          <w:noProof/>
        </w:rPr>
        <w:t>Obowiązki podmiotów gospodarczych zajmujących się demontażem lub przetwarzaniem wyrobów używanych</w:t>
      </w:r>
      <w:r w:rsidR="00DD1DFA" w:rsidRPr="00DD1DFA">
        <w:rPr>
          <w:b/>
          <w:noProof/>
        </w:rPr>
        <w:t xml:space="preserve"> w</w:t>
      </w:r>
      <w:r w:rsidR="00DD1DFA">
        <w:rPr>
          <w:b/>
          <w:noProof/>
        </w:rPr>
        <w:t> </w:t>
      </w:r>
      <w:r w:rsidR="00DD1DFA" w:rsidRPr="00DD1DFA">
        <w:rPr>
          <w:b/>
          <w:noProof/>
        </w:rPr>
        <w:t>cel</w:t>
      </w:r>
      <w:r w:rsidRPr="00DD1DFA">
        <w:rPr>
          <w:b/>
          <w:noProof/>
        </w:rPr>
        <w:t>u ich ponownego użycia lub regeneracji</w:t>
      </w:r>
    </w:p>
    <w:p w14:paraId="1A7CEB1B" w14:textId="2F09A66B" w:rsidR="004314B3" w:rsidRPr="00DD1DFA" w:rsidRDefault="005F7EFA" w:rsidP="005F7EFA">
      <w:pPr>
        <w:pStyle w:val="ManualNumPar1"/>
        <w:rPr>
          <w:noProof/>
        </w:rPr>
      </w:pPr>
      <w:r w:rsidRPr="005F7EFA">
        <w:t>1.</w:t>
      </w:r>
      <w:r w:rsidRPr="005F7EFA">
        <w:tab/>
      </w:r>
      <w:r w:rsidR="004314B3" w:rsidRPr="00DD1DFA">
        <w:rPr>
          <w:noProof/>
        </w:rPr>
        <w:t>Podmiot gospodarczy zajmujący się demontażem wyrobów używanych</w:t>
      </w:r>
      <w:r w:rsidR="00DD1DFA" w:rsidRPr="00DD1DFA">
        <w:rPr>
          <w:noProof/>
        </w:rPr>
        <w:t xml:space="preserve"> w</w:t>
      </w:r>
      <w:r w:rsidR="00DD1DFA">
        <w:rPr>
          <w:noProof/>
        </w:rPr>
        <w:t> </w:t>
      </w:r>
      <w:r w:rsidR="00DD1DFA" w:rsidRPr="00DD1DFA">
        <w:rPr>
          <w:noProof/>
        </w:rPr>
        <w:t>cel</w:t>
      </w:r>
      <w:r w:rsidR="004314B3" w:rsidRPr="00DD1DFA">
        <w:rPr>
          <w:noProof/>
        </w:rPr>
        <w:t>u ich ponownego użycia lub regeneracji sporządza protokoły dotyczące miejsca, warunków</w:t>
      </w:r>
      <w:r w:rsidR="00DD1DFA" w:rsidRPr="00DD1DFA">
        <w:rPr>
          <w:noProof/>
        </w:rPr>
        <w:t xml:space="preserve"> i</w:t>
      </w:r>
      <w:r w:rsidR="00DD1DFA">
        <w:rPr>
          <w:noProof/>
        </w:rPr>
        <w:t> </w:t>
      </w:r>
      <w:r w:rsidR="00DD1DFA" w:rsidRPr="00DD1DFA">
        <w:rPr>
          <w:noProof/>
        </w:rPr>
        <w:t>prz</w:t>
      </w:r>
      <w:r w:rsidR="004314B3" w:rsidRPr="00DD1DFA">
        <w:rPr>
          <w:noProof/>
        </w:rPr>
        <w:t>ewidywanego czasu użytkowania zdemontowanego wyrobu oraz udostępnia je wraz</w:t>
      </w:r>
      <w:r w:rsidR="00DD1DFA" w:rsidRPr="00DD1DFA">
        <w:rPr>
          <w:noProof/>
        </w:rPr>
        <w:t xml:space="preserve"> z</w:t>
      </w:r>
      <w:r w:rsidR="00DD1DFA">
        <w:rPr>
          <w:noProof/>
        </w:rPr>
        <w:t> </w:t>
      </w:r>
      <w:r w:rsidR="00DD1DFA" w:rsidRPr="00DD1DFA">
        <w:rPr>
          <w:noProof/>
        </w:rPr>
        <w:t>wyr</w:t>
      </w:r>
      <w:r w:rsidR="004314B3" w:rsidRPr="00DD1DFA">
        <w:rPr>
          <w:noProof/>
        </w:rPr>
        <w:t>obami, niezależnie od tego, czy prowadzi działalność we własnym imieniu, czy na rzecz kogoś innego. Podmiot gospodarczy udostępnia również protokoły na żądanie władz, późniejszych użytkowników tych wyrobów oraz właścicieli obiektów budowlanych,</w:t>
      </w:r>
      <w:r w:rsidR="00DD1DFA" w:rsidRPr="00DD1DFA">
        <w:rPr>
          <w:noProof/>
        </w:rPr>
        <w:t xml:space="preserve"> w</w:t>
      </w:r>
      <w:r w:rsidR="00DD1DFA">
        <w:rPr>
          <w:noProof/>
        </w:rPr>
        <w:t> </w:t>
      </w:r>
      <w:r w:rsidR="00DD1DFA" w:rsidRPr="00DD1DFA">
        <w:rPr>
          <w:noProof/>
        </w:rPr>
        <w:t>któ</w:t>
      </w:r>
      <w:r w:rsidR="004314B3" w:rsidRPr="00DD1DFA">
        <w:rPr>
          <w:noProof/>
        </w:rPr>
        <w:t>rych zostały one ponownie wbudowane.</w:t>
      </w:r>
    </w:p>
    <w:p w14:paraId="4554184A" w14:textId="41352643" w:rsidR="00BC1E12" w:rsidRPr="00DD1DFA" w:rsidRDefault="005F7EFA" w:rsidP="005F7EFA">
      <w:pPr>
        <w:pStyle w:val="ManualNumPar1"/>
        <w:rPr>
          <w:noProof/>
        </w:rPr>
      </w:pPr>
      <w:r w:rsidRPr="005F7EFA">
        <w:t>2.</w:t>
      </w:r>
      <w:r w:rsidRPr="005F7EFA">
        <w:tab/>
      </w:r>
      <w:r w:rsidR="004314B3" w:rsidRPr="00DD1DFA">
        <w:rPr>
          <w:noProof/>
        </w:rPr>
        <w:t>W przypadku gdy podmiot gospodarczy pośredniczy</w:t>
      </w:r>
      <w:r w:rsidR="00DD1DFA" w:rsidRPr="00DD1DFA">
        <w:rPr>
          <w:noProof/>
        </w:rPr>
        <w:t xml:space="preserve"> w</w:t>
      </w:r>
      <w:r w:rsidR="00DD1DFA">
        <w:rPr>
          <w:noProof/>
        </w:rPr>
        <w:t> </w:t>
      </w:r>
      <w:r w:rsidR="00DD1DFA" w:rsidRPr="00DD1DFA">
        <w:rPr>
          <w:noProof/>
        </w:rPr>
        <w:t>spr</w:t>
      </w:r>
      <w:r w:rsidR="004314B3" w:rsidRPr="00DD1DFA">
        <w:rPr>
          <w:noProof/>
        </w:rPr>
        <w:t>zedaży, sprzedaje lub</w:t>
      </w:r>
      <w:r w:rsidR="00DD1DFA" w:rsidRPr="00DD1DFA">
        <w:rPr>
          <w:noProof/>
        </w:rPr>
        <w:t xml:space="preserve"> w</w:t>
      </w:r>
      <w:r w:rsidR="00DD1DFA">
        <w:rPr>
          <w:noProof/>
        </w:rPr>
        <w:t> </w:t>
      </w:r>
      <w:r w:rsidR="00DD1DFA" w:rsidRPr="00DD1DFA">
        <w:rPr>
          <w:noProof/>
        </w:rPr>
        <w:t>inn</w:t>
      </w:r>
      <w:r w:rsidR="004314B3" w:rsidRPr="00DD1DFA">
        <w:rPr>
          <w:noProof/>
        </w:rPr>
        <w:t>y sposób udostępnia zdemontowane wyroby używane we własnym imieniu lub na rzecz kogoś innego, wypełnia on również obowiązki importerów lub dystrybutorów</w:t>
      </w:r>
      <w:r w:rsidR="00DD1DFA" w:rsidRPr="00DD1DFA">
        <w:rPr>
          <w:noProof/>
        </w:rPr>
        <w:t xml:space="preserve"> w</w:t>
      </w:r>
      <w:r w:rsidR="00DD1DFA">
        <w:rPr>
          <w:noProof/>
        </w:rPr>
        <w:t> </w:t>
      </w:r>
      <w:r w:rsidR="00DD1DFA" w:rsidRPr="00DD1DFA">
        <w:rPr>
          <w:noProof/>
        </w:rPr>
        <w:t>odn</w:t>
      </w:r>
      <w:r w:rsidR="004314B3" w:rsidRPr="00DD1DFA">
        <w:rPr>
          <w:noProof/>
        </w:rPr>
        <w:t>iesieniu do wyrobów używanych.</w:t>
      </w:r>
    </w:p>
    <w:p w14:paraId="4634B28A" w14:textId="77777777" w:rsidR="00BC1E12" w:rsidRPr="00DD1DFA" w:rsidRDefault="005979EE" w:rsidP="00831AF5">
      <w:pPr>
        <w:pStyle w:val="Titrearticle"/>
        <w:rPr>
          <w:b/>
          <w:noProof/>
          <w:sz w:val="32"/>
          <w:szCs w:val="32"/>
        </w:rPr>
      </w:pPr>
      <w:r w:rsidRPr="00DD1DFA">
        <w:rPr>
          <w:noProof/>
        </w:rPr>
        <w:t>Artykuł 30</w:t>
      </w:r>
    </w:p>
    <w:p w14:paraId="6EB221EF" w14:textId="034F5471" w:rsidR="00BC1E12" w:rsidRPr="00DD1DFA" w:rsidRDefault="004314B3" w:rsidP="00831AF5">
      <w:pPr>
        <w:pStyle w:val="Titrearticle"/>
        <w:rPr>
          <w:b/>
          <w:noProof/>
        </w:rPr>
      </w:pPr>
      <w:r w:rsidRPr="00DD1DFA">
        <w:rPr>
          <w:b/>
          <w:noProof/>
        </w:rPr>
        <w:t>Obowiązki dostawców</w:t>
      </w:r>
      <w:r w:rsidR="00DD1DFA" w:rsidRPr="00DD1DFA">
        <w:rPr>
          <w:b/>
          <w:noProof/>
        </w:rPr>
        <w:t xml:space="preserve"> i</w:t>
      </w:r>
      <w:r w:rsidR="00DD1DFA">
        <w:rPr>
          <w:b/>
          <w:noProof/>
        </w:rPr>
        <w:t> </w:t>
      </w:r>
      <w:r w:rsidR="00DD1DFA" w:rsidRPr="00DD1DFA">
        <w:rPr>
          <w:b/>
          <w:noProof/>
        </w:rPr>
        <w:t>usł</w:t>
      </w:r>
      <w:r w:rsidRPr="00DD1DFA">
        <w:rPr>
          <w:b/>
          <w:noProof/>
        </w:rPr>
        <w:t>ugodawców zaangażowanych</w:t>
      </w:r>
      <w:r w:rsidR="00DD1DFA" w:rsidRPr="00DD1DFA">
        <w:rPr>
          <w:b/>
          <w:noProof/>
        </w:rPr>
        <w:t xml:space="preserve"> w</w:t>
      </w:r>
      <w:r w:rsidR="00DD1DFA">
        <w:rPr>
          <w:b/>
          <w:noProof/>
        </w:rPr>
        <w:t> </w:t>
      </w:r>
      <w:r w:rsidR="00DD1DFA" w:rsidRPr="00DD1DFA">
        <w:rPr>
          <w:b/>
          <w:noProof/>
        </w:rPr>
        <w:t>wyt</w:t>
      </w:r>
      <w:r w:rsidRPr="00DD1DFA">
        <w:rPr>
          <w:b/>
          <w:noProof/>
        </w:rPr>
        <w:t>warzanie wyrobów</w:t>
      </w:r>
    </w:p>
    <w:p w14:paraId="42CCCACE" w14:textId="6599328D" w:rsidR="004314B3" w:rsidRPr="00DD1DFA" w:rsidRDefault="005F7EFA" w:rsidP="005F7EFA">
      <w:pPr>
        <w:pStyle w:val="ManualNumPar1"/>
        <w:rPr>
          <w:noProof/>
        </w:rPr>
      </w:pPr>
      <w:r w:rsidRPr="005F7EFA">
        <w:t>1.</w:t>
      </w:r>
      <w:r w:rsidRPr="005F7EFA">
        <w:tab/>
      </w:r>
      <w:r w:rsidR="004314B3" w:rsidRPr="00DD1DFA">
        <w:rPr>
          <w:noProof/>
        </w:rPr>
        <w:t>Dostawca lub usługodawca zaangażowany</w:t>
      </w:r>
      <w:r w:rsidR="00DD1DFA" w:rsidRPr="00DD1DFA">
        <w:rPr>
          <w:noProof/>
        </w:rPr>
        <w:t xml:space="preserve"> w</w:t>
      </w:r>
      <w:r w:rsidR="00DD1DFA">
        <w:rPr>
          <w:noProof/>
        </w:rPr>
        <w:t> </w:t>
      </w:r>
      <w:r w:rsidR="00DD1DFA" w:rsidRPr="00DD1DFA">
        <w:rPr>
          <w:noProof/>
        </w:rPr>
        <w:t>wyt</w:t>
      </w:r>
      <w:r w:rsidR="004314B3" w:rsidRPr="00DD1DFA">
        <w:rPr>
          <w:noProof/>
        </w:rPr>
        <w:t>warzanie wyrobów:</w:t>
      </w:r>
    </w:p>
    <w:p w14:paraId="458D19C7" w14:textId="033D9D9E" w:rsidR="004314B3" w:rsidRPr="00DD1DFA" w:rsidRDefault="005A4BBC" w:rsidP="005A4BBC">
      <w:pPr>
        <w:pStyle w:val="Point1"/>
        <w:rPr>
          <w:noProof/>
        </w:rPr>
      </w:pPr>
      <w:r w:rsidRPr="005A4BBC">
        <w:rPr>
          <w:noProof/>
        </w:rPr>
        <w:t>a)</w:t>
      </w:r>
      <w:r w:rsidRPr="005A4BBC">
        <w:rPr>
          <w:noProof/>
        </w:rPr>
        <w:tab/>
      </w:r>
      <w:r w:rsidR="004314B3" w:rsidRPr="00DD1DFA">
        <w:rPr>
          <w:noProof/>
        </w:rPr>
        <w:t>dostarcza producentom, jednostkom notyfikowanym</w:t>
      </w:r>
      <w:r w:rsidR="00DD1DFA" w:rsidRPr="00DD1DFA">
        <w:rPr>
          <w:noProof/>
        </w:rPr>
        <w:t xml:space="preserve"> i</w:t>
      </w:r>
      <w:r w:rsidR="00DD1DFA">
        <w:rPr>
          <w:noProof/>
        </w:rPr>
        <w:t> </w:t>
      </w:r>
      <w:r w:rsidR="00DD1DFA" w:rsidRPr="00DD1DFA">
        <w:rPr>
          <w:noProof/>
        </w:rPr>
        <w:t>wła</w:t>
      </w:r>
      <w:r w:rsidR="004314B3" w:rsidRPr="00DD1DFA">
        <w:rPr>
          <w:noProof/>
        </w:rPr>
        <w:t>dzom wszelkie dostępne informacje dotyczące zrównoważenia środowiskowego dostarczanych przez siebie części składowych lub usług;</w:t>
      </w:r>
    </w:p>
    <w:p w14:paraId="5122B212" w14:textId="4459E678" w:rsidR="004314B3" w:rsidRPr="00DD1DFA" w:rsidRDefault="005A4BBC" w:rsidP="005A4BBC">
      <w:pPr>
        <w:pStyle w:val="Point1"/>
        <w:rPr>
          <w:noProof/>
        </w:rPr>
      </w:pPr>
      <w:r w:rsidRPr="005A4BBC">
        <w:rPr>
          <w:noProof/>
        </w:rPr>
        <w:t>b)</w:t>
      </w:r>
      <w:r w:rsidRPr="005A4BBC">
        <w:rPr>
          <w:noProof/>
        </w:rPr>
        <w:tab/>
      </w:r>
      <w:r w:rsidR="004314B3" w:rsidRPr="00DD1DFA">
        <w:rPr>
          <w:noProof/>
        </w:rPr>
        <w:t>zapewnia poprawność takich informacji, mianowicie poprzez przestrzeganie niniejszego rozporządzenia, oraz koryguje wszelkie błędy poprzez przekazywanie informacji wszystkim swoim klientom oraz, jeśli jest to potencjalnie przydatne, jednostkom notyfikowanym</w:t>
      </w:r>
      <w:r w:rsidR="00DD1DFA" w:rsidRPr="00DD1DFA">
        <w:rPr>
          <w:noProof/>
        </w:rPr>
        <w:t xml:space="preserve"> i</w:t>
      </w:r>
      <w:r w:rsidR="00DD1DFA">
        <w:rPr>
          <w:noProof/>
        </w:rPr>
        <w:t> </w:t>
      </w:r>
      <w:r w:rsidR="00DD1DFA" w:rsidRPr="00DD1DFA">
        <w:rPr>
          <w:noProof/>
        </w:rPr>
        <w:t>wła</w:t>
      </w:r>
      <w:r w:rsidR="004314B3" w:rsidRPr="00DD1DFA">
        <w:rPr>
          <w:noProof/>
        </w:rPr>
        <w:t>dzom;</w:t>
      </w:r>
    </w:p>
    <w:p w14:paraId="3B164105" w14:textId="2432E9AC" w:rsidR="004314B3" w:rsidRPr="00DD1DFA" w:rsidRDefault="005A4BBC" w:rsidP="005A4BBC">
      <w:pPr>
        <w:pStyle w:val="Point1"/>
        <w:rPr>
          <w:noProof/>
        </w:rPr>
      </w:pPr>
      <w:r w:rsidRPr="005A4BBC">
        <w:rPr>
          <w:noProof/>
        </w:rPr>
        <w:t>c)</w:t>
      </w:r>
      <w:r w:rsidRPr="005A4BBC">
        <w:rPr>
          <w:noProof/>
        </w:rPr>
        <w:tab/>
      </w:r>
      <w:r w:rsidR="004314B3" w:rsidRPr="00DD1DFA">
        <w:rPr>
          <w:noProof/>
        </w:rPr>
        <w:t>zezwala swoim klientom,</w:t>
      </w:r>
      <w:r w:rsidR="00DD1DFA" w:rsidRPr="00DD1DFA">
        <w:rPr>
          <w:noProof/>
        </w:rPr>
        <w:t xml:space="preserve"> w</w:t>
      </w:r>
      <w:r w:rsidR="00DD1DFA">
        <w:rPr>
          <w:noProof/>
        </w:rPr>
        <w:t> </w:t>
      </w:r>
      <w:r w:rsidR="00DD1DFA" w:rsidRPr="00DD1DFA">
        <w:rPr>
          <w:noProof/>
        </w:rPr>
        <w:t>prz</w:t>
      </w:r>
      <w:r w:rsidR="004314B3" w:rsidRPr="00DD1DFA">
        <w:rPr>
          <w:noProof/>
        </w:rPr>
        <w:t>ypadku braku takich informacji, na ocenę zrównoważenia środowiskowego na ich własny koszt</w:t>
      </w:r>
      <w:r w:rsidR="00DD1DFA" w:rsidRPr="00DD1DFA">
        <w:rPr>
          <w:noProof/>
        </w:rPr>
        <w:t xml:space="preserve"> i</w:t>
      </w:r>
      <w:r w:rsidR="00DD1DFA">
        <w:rPr>
          <w:noProof/>
        </w:rPr>
        <w:t> </w:t>
      </w:r>
      <w:r w:rsidR="00DD1DFA" w:rsidRPr="00DD1DFA">
        <w:rPr>
          <w:noProof/>
        </w:rPr>
        <w:t>wsp</w:t>
      </w:r>
      <w:r w:rsidR="004314B3" w:rsidRPr="00DD1DFA">
        <w:rPr>
          <w:noProof/>
        </w:rPr>
        <w:t>iera tę ocenę, mianowicie udostępnia wszystkie dokumenty,</w:t>
      </w:r>
      <w:r w:rsidR="00DD1DFA" w:rsidRPr="00DD1DFA">
        <w:rPr>
          <w:noProof/>
        </w:rPr>
        <w:t xml:space="preserve"> w</w:t>
      </w:r>
      <w:r w:rsidR="00DD1DFA">
        <w:rPr>
          <w:noProof/>
        </w:rPr>
        <w:t> </w:t>
      </w:r>
      <w:r w:rsidR="00DD1DFA" w:rsidRPr="00DD1DFA">
        <w:rPr>
          <w:noProof/>
        </w:rPr>
        <w:t>tym</w:t>
      </w:r>
      <w:r w:rsidR="004314B3" w:rsidRPr="00DD1DFA">
        <w:rPr>
          <w:noProof/>
        </w:rPr>
        <w:t xml:space="preserve"> dokumenty</w:t>
      </w:r>
      <w:r w:rsidR="00DD1DFA" w:rsidRPr="00DD1DFA">
        <w:rPr>
          <w:noProof/>
        </w:rPr>
        <w:t xml:space="preserve"> o</w:t>
      </w:r>
      <w:r w:rsidR="00DD1DFA">
        <w:rPr>
          <w:noProof/>
        </w:rPr>
        <w:t> </w:t>
      </w:r>
      <w:r w:rsidR="00DD1DFA" w:rsidRPr="00DD1DFA">
        <w:rPr>
          <w:noProof/>
        </w:rPr>
        <w:t>cha</w:t>
      </w:r>
      <w:r w:rsidR="004314B3" w:rsidRPr="00DD1DFA">
        <w:rPr>
          <w:noProof/>
        </w:rPr>
        <w:t>rakterze handlowym, istotne dla tej oceny;</w:t>
      </w:r>
    </w:p>
    <w:p w14:paraId="5FC9268B" w14:textId="3F938684" w:rsidR="004314B3" w:rsidRPr="00DD1DFA" w:rsidRDefault="005A4BBC" w:rsidP="005A4BBC">
      <w:pPr>
        <w:pStyle w:val="Point1"/>
        <w:rPr>
          <w:noProof/>
        </w:rPr>
      </w:pPr>
      <w:r w:rsidRPr="005A4BBC">
        <w:rPr>
          <w:noProof/>
        </w:rPr>
        <w:t>d)</w:t>
      </w:r>
      <w:r w:rsidRPr="005A4BBC">
        <w:rPr>
          <w:noProof/>
        </w:rPr>
        <w:tab/>
      </w:r>
      <w:r w:rsidR="004314B3" w:rsidRPr="00DD1DFA">
        <w:rPr>
          <w:noProof/>
        </w:rPr>
        <w:t>zezwala jednostkom notyfikowanym na weryfikację poprawności wszelkich obliczeń dotyczących zrównoważenia środowiskowego oraz wspiera tę weryfikację;</w:t>
      </w:r>
    </w:p>
    <w:p w14:paraId="42D89882" w14:textId="095DCF24" w:rsidR="004314B3" w:rsidRPr="00DD1DFA" w:rsidRDefault="005A4BBC" w:rsidP="005A4BBC">
      <w:pPr>
        <w:pStyle w:val="Point1"/>
        <w:rPr>
          <w:noProof/>
        </w:rPr>
      </w:pPr>
      <w:r w:rsidRPr="005A4BBC">
        <w:rPr>
          <w:noProof/>
        </w:rPr>
        <w:t>e)</w:t>
      </w:r>
      <w:r w:rsidRPr="005A4BBC">
        <w:rPr>
          <w:noProof/>
        </w:rPr>
        <w:tab/>
      </w:r>
      <w:r w:rsidR="004314B3" w:rsidRPr="00DD1DFA">
        <w:rPr>
          <w:noProof/>
        </w:rPr>
        <w:t>zezwala jednostkom notyfikowanym na weryfikację działania</w:t>
      </w:r>
      <w:r w:rsidR="00DD1DFA" w:rsidRPr="00DD1DFA">
        <w:rPr>
          <w:noProof/>
        </w:rPr>
        <w:t xml:space="preserve"> i</w:t>
      </w:r>
      <w:r w:rsidR="00DD1DFA">
        <w:rPr>
          <w:noProof/>
        </w:rPr>
        <w:t> </w:t>
      </w:r>
      <w:r w:rsidR="00DD1DFA" w:rsidRPr="00DD1DFA">
        <w:rPr>
          <w:noProof/>
        </w:rPr>
        <w:t>zgo</w:t>
      </w:r>
      <w:r w:rsidR="004314B3" w:rsidRPr="00DD1DFA">
        <w:rPr>
          <w:noProof/>
        </w:rPr>
        <w:t>dności dostarczonej części składowej lub usługi oraz wspiera tę weryfikację.</w:t>
      </w:r>
    </w:p>
    <w:p w14:paraId="0A5F904B" w14:textId="2656A8DF" w:rsidR="00BC1E12" w:rsidRPr="00DD1DFA" w:rsidRDefault="005F7EFA" w:rsidP="005F7EFA">
      <w:pPr>
        <w:pStyle w:val="ManualNumPar1"/>
        <w:rPr>
          <w:rFonts w:eastAsia="Calibri"/>
          <w:noProof/>
          <w:szCs w:val="24"/>
        </w:rPr>
      </w:pPr>
      <w:r w:rsidRPr="005F7EFA">
        <w:t>2.</w:t>
      </w:r>
      <w:r w:rsidRPr="005F7EFA">
        <w:tab/>
      </w:r>
      <w:r w:rsidR="004314B3" w:rsidRPr="00DD1DFA">
        <w:rPr>
          <w:noProof/>
        </w:rPr>
        <w:t>Jeśli dostawca lub usługodawca został poinformowany zgodnie ze zdaniem ostatnim art.</w:t>
      </w:r>
      <w:r w:rsidR="00DD1DFA" w:rsidRPr="00DD1DFA">
        <w:rPr>
          <w:noProof/>
        </w:rPr>
        <w:t> </w:t>
      </w:r>
      <w:r w:rsidR="004314B3" w:rsidRPr="00DD1DFA">
        <w:rPr>
          <w:noProof/>
        </w:rPr>
        <w:t>21 ust.</w:t>
      </w:r>
      <w:r w:rsidR="00DD1DFA" w:rsidRPr="00DD1DFA">
        <w:rPr>
          <w:noProof/>
        </w:rPr>
        <w:t> </w:t>
      </w:r>
      <w:r w:rsidR="004314B3" w:rsidRPr="00DD1DFA">
        <w:rPr>
          <w:noProof/>
        </w:rPr>
        <w:t>8, przekazuje tę informację swoim pozostałym klientom, którzy</w:t>
      </w:r>
      <w:r w:rsidR="00DD1DFA" w:rsidRPr="00DD1DFA">
        <w:rPr>
          <w:noProof/>
        </w:rPr>
        <w:t xml:space="preserve"> w</w:t>
      </w:r>
      <w:r w:rsidR="00DD1DFA">
        <w:rPr>
          <w:noProof/>
        </w:rPr>
        <w:t> </w:t>
      </w:r>
      <w:r w:rsidR="00DD1DFA" w:rsidRPr="00DD1DFA">
        <w:rPr>
          <w:noProof/>
        </w:rPr>
        <w:t>cią</w:t>
      </w:r>
      <w:r w:rsidR="004314B3" w:rsidRPr="00DD1DFA">
        <w:rPr>
          <w:noProof/>
        </w:rPr>
        <w:t>gu ostatnich 5 lat otrzymali części składowe – lub którym dostarczono usługi – identyczne</w:t>
      </w:r>
      <w:r w:rsidR="00DD1DFA" w:rsidRPr="00DD1DFA">
        <w:rPr>
          <w:noProof/>
        </w:rPr>
        <w:t xml:space="preserve"> z</w:t>
      </w:r>
      <w:r w:rsidR="00DD1DFA">
        <w:rPr>
          <w:noProof/>
        </w:rPr>
        <w:t> </w:t>
      </w:r>
      <w:r w:rsidR="00DD1DFA" w:rsidRPr="00DD1DFA">
        <w:rPr>
          <w:noProof/>
        </w:rPr>
        <w:t>tym</w:t>
      </w:r>
      <w:r w:rsidR="004314B3" w:rsidRPr="00DD1DFA">
        <w:rPr>
          <w:noProof/>
        </w:rPr>
        <w:t>i, które dotyczą danej kwestii</w:t>
      </w:r>
      <w:r w:rsidR="00DD1DFA" w:rsidRPr="00DD1DFA">
        <w:rPr>
          <w:noProof/>
        </w:rPr>
        <w:t>. W</w:t>
      </w:r>
      <w:r w:rsidR="00DD1DFA">
        <w:rPr>
          <w:noProof/>
        </w:rPr>
        <w:t> </w:t>
      </w:r>
      <w:r w:rsidR="00DD1DFA" w:rsidRPr="00DD1DFA">
        <w:rPr>
          <w:noProof/>
        </w:rPr>
        <w:t>prz</w:t>
      </w:r>
      <w:r w:rsidR="004314B3" w:rsidRPr="00DD1DFA">
        <w:rPr>
          <w:noProof/>
        </w:rPr>
        <w:t>ypadku poważnego zagrożenia,</w:t>
      </w:r>
      <w:r w:rsidR="00DD1DFA" w:rsidRPr="00DD1DFA">
        <w:rPr>
          <w:noProof/>
        </w:rPr>
        <w:t xml:space="preserve"> o</w:t>
      </w:r>
      <w:r w:rsidR="00DD1DFA">
        <w:rPr>
          <w:noProof/>
        </w:rPr>
        <w:t> </w:t>
      </w:r>
      <w:r w:rsidR="00DD1DFA" w:rsidRPr="00DD1DFA">
        <w:rPr>
          <w:noProof/>
        </w:rPr>
        <w:t>któ</w:t>
      </w:r>
      <w:r w:rsidR="004314B3" w:rsidRPr="00DD1DFA">
        <w:rPr>
          <w:noProof/>
        </w:rPr>
        <w:t>rym mowa</w:t>
      </w:r>
      <w:r w:rsidR="00DD1DFA" w:rsidRPr="00DD1DFA">
        <w:rPr>
          <w:noProof/>
        </w:rPr>
        <w:t xml:space="preserve"> w</w:t>
      </w:r>
      <w:r w:rsidR="00DD1DFA">
        <w:rPr>
          <w:noProof/>
        </w:rPr>
        <w:t> </w:t>
      </w:r>
      <w:r w:rsidR="00DD1DFA" w:rsidRPr="00DD1DFA">
        <w:rPr>
          <w:noProof/>
        </w:rPr>
        <w:t>art</w:t>
      </w:r>
      <w:r w:rsidR="004314B3" w:rsidRPr="00DD1DFA">
        <w:rPr>
          <w:noProof/>
        </w:rPr>
        <w:t>.</w:t>
      </w:r>
      <w:r w:rsidR="00DD1DFA" w:rsidRPr="00DD1DFA">
        <w:rPr>
          <w:noProof/>
        </w:rPr>
        <w:t> </w:t>
      </w:r>
      <w:r w:rsidR="004314B3" w:rsidRPr="00DD1DFA">
        <w:rPr>
          <w:noProof/>
        </w:rPr>
        <w:t>3 pkt</w:t>
      </w:r>
      <w:r w:rsidR="00DD1DFA" w:rsidRPr="00DD1DFA">
        <w:rPr>
          <w:noProof/>
        </w:rPr>
        <w:t> </w:t>
      </w:r>
      <w:r w:rsidR="004314B3" w:rsidRPr="00DD1DFA">
        <w:rPr>
          <w:noProof/>
        </w:rPr>
        <w:t>71, lub zagrożenia,</w:t>
      </w:r>
      <w:r w:rsidR="00DD1DFA" w:rsidRPr="00DD1DFA">
        <w:rPr>
          <w:noProof/>
        </w:rPr>
        <w:t xml:space="preserve"> o</w:t>
      </w:r>
      <w:r w:rsidR="00DD1DFA">
        <w:rPr>
          <w:noProof/>
        </w:rPr>
        <w:t> </w:t>
      </w:r>
      <w:r w:rsidR="00DD1DFA" w:rsidRPr="00DD1DFA">
        <w:rPr>
          <w:noProof/>
        </w:rPr>
        <w:t>któ</w:t>
      </w:r>
      <w:r w:rsidR="004314B3" w:rsidRPr="00DD1DFA">
        <w:rPr>
          <w:noProof/>
        </w:rPr>
        <w:t>rym mowa</w:t>
      </w:r>
      <w:r w:rsidR="00DD1DFA" w:rsidRPr="00DD1DFA">
        <w:rPr>
          <w:noProof/>
        </w:rPr>
        <w:t xml:space="preserve"> w</w:t>
      </w:r>
      <w:r w:rsidR="00DD1DFA">
        <w:rPr>
          <w:noProof/>
        </w:rPr>
        <w:t> </w:t>
      </w:r>
      <w:r w:rsidR="00DD1DFA" w:rsidRPr="00DD1DFA">
        <w:rPr>
          <w:noProof/>
        </w:rPr>
        <w:t>zda</w:t>
      </w:r>
      <w:r w:rsidR="004314B3" w:rsidRPr="00DD1DFA">
        <w:rPr>
          <w:noProof/>
        </w:rPr>
        <w:t>niu ostatnim art.</w:t>
      </w:r>
      <w:r w:rsidR="00DD1DFA" w:rsidRPr="00DD1DFA">
        <w:rPr>
          <w:noProof/>
        </w:rPr>
        <w:t> </w:t>
      </w:r>
      <w:r w:rsidR="004314B3" w:rsidRPr="00DD1DFA">
        <w:rPr>
          <w:noProof/>
        </w:rPr>
        <w:t>21 ust.</w:t>
      </w:r>
      <w:r w:rsidR="00DD1DFA" w:rsidRPr="00DD1DFA">
        <w:rPr>
          <w:noProof/>
        </w:rPr>
        <w:t> </w:t>
      </w:r>
      <w:r w:rsidR="004314B3" w:rsidRPr="00DD1DFA">
        <w:rPr>
          <w:noProof/>
        </w:rPr>
        <w:t>9, dostawca lub usługodawca informuje również właściwe organy krajowe państw członkowskich,</w:t>
      </w:r>
      <w:r w:rsidR="00DD1DFA" w:rsidRPr="00DD1DFA">
        <w:rPr>
          <w:noProof/>
        </w:rPr>
        <w:t xml:space="preserve"> w</w:t>
      </w:r>
      <w:r w:rsidR="00DD1DFA">
        <w:rPr>
          <w:noProof/>
        </w:rPr>
        <w:t> </w:t>
      </w:r>
      <w:r w:rsidR="00DD1DFA" w:rsidRPr="00DD1DFA">
        <w:rPr>
          <w:noProof/>
        </w:rPr>
        <w:t>któ</w:t>
      </w:r>
      <w:r w:rsidR="004314B3" w:rsidRPr="00DD1DFA">
        <w:rPr>
          <w:noProof/>
        </w:rPr>
        <w:t>rych wyroby zawierające daną część składową lub usługę produkcyjną zostały udostępnione na rynku lub bezpośrednio wbudowane; jeżeli nie może zidentyfikować tych państw członkowskich, informuje wszystkie właściwe organy krajowe.</w:t>
      </w:r>
    </w:p>
    <w:p w14:paraId="0F2F314A" w14:textId="77777777" w:rsidR="00BC1E12" w:rsidRPr="00DD1DFA" w:rsidRDefault="005979EE" w:rsidP="00A23280">
      <w:pPr>
        <w:pStyle w:val="Titrearticle"/>
        <w:rPr>
          <w:noProof/>
        </w:rPr>
      </w:pPr>
      <w:r w:rsidRPr="00DD1DFA">
        <w:rPr>
          <w:noProof/>
        </w:rPr>
        <w:t>Artykuł 31</w:t>
      </w:r>
    </w:p>
    <w:p w14:paraId="2082A586" w14:textId="46BF64BD" w:rsidR="00BC1E12" w:rsidRPr="00DD1DFA" w:rsidRDefault="00BC1E12" w:rsidP="00A23280">
      <w:pPr>
        <w:pStyle w:val="Titrearticle"/>
        <w:rPr>
          <w:b/>
          <w:bCs/>
          <w:noProof/>
        </w:rPr>
      </w:pPr>
      <w:r w:rsidRPr="00DD1DFA">
        <w:rPr>
          <w:b/>
          <w:bCs/>
          <w:noProof/>
        </w:rPr>
        <w:t>Wyroby podwójnego zastosowania</w:t>
      </w:r>
      <w:r w:rsidR="00DD1DFA" w:rsidRPr="00DD1DFA">
        <w:rPr>
          <w:b/>
          <w:bCs/>
          <w:noProof/>
        </w:rPr>
        <w:t xml:space="preserve"> i</w:t>
      </w:r>
      <w:r w:rsidR="00DD1DFA">
        <w:rPr>
          <w:b/>
          <w:bCs/>
          <w:noProof/>
        </w:rPr>
        <w:t> </w:t>
      </w:r>
      <w:r w:rsidR="00DD1DFA" w:rsidRPr="00DD1DFA">
        <w:rPr>
          <w:b/>
          <w:bCs/>
          <w:noProof/>
        </w:rPr>
        <w:t>pse</w:t>
      </w:r>
      <w:r w:rsidRPr="00DD1DFA">
        <w:rPr>
          <w:b/>
          <w:bCs/>
          <w:noProof/>
        </w:rPr>
        <w:t>udo wyroby</w:t>
      </w:r>
    </w:p>
    <w:p w14:paraId="4F14BDA7" w14:textId="55BF48BF" w:rsidR="004314B3" w:rsidRPr="00DD1DFA" w:rsidRDefault="005F7EFA" w:rsidP="005F7EFA">
      <w:pPr>
        <w:pStyle w:val="ManualNumPar1"/>
        <w:rPr>
          <w:rFonts w:eastAsia="Calibri"/>
          <w:noProof/>
          <w:color w:val="00000A"/>
          <w:szCs w:val="24"/>
        </w:rPr>
      </w:pPr>
      <w:r w:rsidRPr="005F7EFA">
        <w:t>1.</w:t>
      </w:r>
      <w:r w:rsidRPr="005F7EFA">
        <w:tab/>
      </w:r>
      <w:r w:rsidR="004314B3" w:rsidRPr="00DD1DFA">
        <w:rPr>
          <w:noProof/>
        </w:rPr>
        <w:t>Producent wyrobów podwójnego zastosowania spełnia zobowiązania wynikające</w:t>
      </w:r>
      <w:r w:rsidR="00DD1DFA" w:rsidRPr="00DD1DFA">
        <w:rPr>
          <w:noProof/>
        </w:rPr>
        <w:t xml:space="preserve"> z</w:t>
      </w:r>
      <w:r w:rsidR="00DD1DFA">
        <w:rPr>
          <w:noProof/>
        </w:rPr>
        <w:t> </w:t>
      </w:r>
      <w:r w:rsidR="00DD1DFA" w:rsidRPr="00DD1DFA">
        <w:rPr>
          <w:noProof/>
        </w:rPr>
        <w:t>nin</w:t>
      </w:r>
      <w:r w:rsidR="004314B3" w:rsidRPr="00DD1DFA">
        <w:rPr>
          <w:noProof/>
        </w:rPr>
        <w:t>iejszego rozporządzenia</w:t>
      </w:r>
      <w:r w:rsidR="00DD1DFA" w:rsidRPr="00DD1DFA">
        <w:rPr>
          <w:noProof/>
        </w:rPr>
        <w:t xml:space="preserve"> w</w:t>
      </w:r>
      <w:r w:rsidR="00DD1DFA">
        <w:rPr>
          <w:noProof/>
        </w:rPr>
        <w:t> </w:t>
      </w:r>
      <w:r w:rsidR="00DD1DFA" w:rsidRPr="00DD1DFA">
        <w:rPr>
          <w:noProof/>
        </w:rPr>
        <w:t>odn</w:t>
      </w:r>
      <w:r w:rsidR="004314B3" w:rsidRPr="00DD1DFA">
        <w:rPr>
          <w:noProof/>
        </w:rPr>
        <w:t>iesieniu do wszystkich elementów danego typu, chyba że są one wyraźnie oznakowane jako „nie do stosowania</w:t>
      </w:r>
      <w:r w:rsidR="00DD1DFA" w:rsidRPr="00DD1DFA">
        <w:rPr>
          <w:noProof/>
        </w:rPr>
        <w:t xml:space="preserve"> w</w:t>
      </w:r>
      <w:r w:rsidR="00DD1DFA">
        <w:rPr>
          <w:noProof/>
        </w:rPr>
        <w:t> </w:t>
      </w:r>
      <w:r w:rsidR="00DD1DFA" w:rsidRPr="00DD1DFA">
        <w:rPr>
          <w:noProof/>
        </w:rPr>
        <w:t>bud</w:t>
      </w:r>
      <w:r w:rsidR="004314B3" w:rsidRPr="00DD1DFA">
        <w:rPr>
          <w:noProof/>
        </w:rPr>
        <w:t>ownictwie”.</w:t>
      </w:r>
    </w:p>
    <w:p w14:paraId="69BC7D71" w14:textId="63FC0100" w:rsidR="004314B3" w:rsidRPr="00DD1DFA" w:rsidRDefault="005F7EFA" w:rsidP="005F7EFA">
      <w:pPr>
        <w:pStyle w:val="ManualNumPar1"/>
        <w:rPr>
          <w:noProof/>
        </w:rPr>
      </w:pPr>
      <w:r w:rsidRPr="005F7EFA">
        <w:t>2.</w:t>
      </w:r>
      <w:r w:rsidRPr="005F7EFA">
        <w:tab/>
      </w:r>
      <w:r w:rsidR="004314B3" w:rsidRPr="00DD1DFA">
        <w:rPr>
          <w:noProof/>
        </w:rPr>
        <w:t>Inne podmioty gospodarcze mające do czynienia</w:t>
      </w:r>
      <w:r w:rsidR="00DD1DFA" w:rsidRPr="00DD1DFA">
        <w:rPr>
          <w:noProof/>
        </w:rPr>
        <w:t xml:space="preserve"> z</w:t>
      </w:r>
      <w:r w:rsidR="00DD1DFA">
        <w:rPr>
          <w:noProof/>
        </w:rPr>
        <w:t> </w:t>
      </w:r>
      <w:r w:rsidR="00DD1DFA" w:rsidRPr="00DD1DFA">
        <w:rPr>
          <w:noProof/>
        </w:rPr>
        <w:t>wyr</w:t>
      </w:r>
      <w:r w:rsidR="004314B3" w:rsidRPr="00DD1DFA">
        <w:rPr>
          <w:noProof/>
        </w:rPr>
        <w:t>obami podwójnego zastosowania wypełniają zobowiązania nałożone na nie na podstawie niniejszego rozporządzenia</w:t>
      </w:r>
      <w:r w:rsidR="00DD1DFA" w:rsidRPr="00DD1DFA">
        <w:rPr>
          <w:noProof/>
        </w:rPr>
        <w:t>. W</w:t>
      </w:r>
      <w:r w:rsidR="00DD1DFA">
        <w:rPr>
          <w:noProof/>
        </w:rPr>
        <w:t> </w:t>
      </w:r>
      <w:r w:rsidR="00DD1DFA" w:rsidRPr="00DD1DFA">
        <w:rPr>
          <w:noProof/>
        </w:rPr>
        <w:t>umo</w:t>
      </w:r>
      <w:r w:rsidR="004314B3" w:rsidRPr="00DD1DFA">
        <w:rPr>
          <w:noProof/>
        </w:rPr>
        <w:t>wach handlowych nakładają na swoich klientów zobowiązanie do przestrzegania tych samych zasad oraz zakaz sprzedawania lub używania elementów budowlanych oznaczonych jako „nie do stosowania</w:t>
      </w:r>
      <w:r w:rsidR="00DD1DFA" w:rsidRPr="00DD1DFA">
        <w:rPr>
          <w:noProof/>
        </w:rPr>
        <w:t xml:space="preserve"> w</w:t>
      </w:r>
      <w:r w:rsidR="00DD1DFA">
        <w:rPr>
          <w:noProof/>
        </w:rPr>
        <w:t> </w:t>
      </w:r>
      <w:r w:rsidR="00DD1DFA" w:rsidRPr="00DD1DFA">
        <w:rPr>
          <w:noProof/>
        </w:rPr>
        <w:t>bud</w:t>
      </w:r>
      <w:r w:rsidR="004314B3" w:rsidRPr="00DD1DFA">
        <w:rPr>
          <w:noProof/>
        </w:rPr>
        <w:t>ownictwie”.</w:t>
      </w:r>
    </w:p>
    <w:p w14:paraId="7F2546B7" w14:textId="44BB641A" w:rsidR="004314B3" w:rsidRPr="00DD1DFA" w:rsidRDefault="005F7EFA" w:rsidP="005F7EFA">
      <w:pPr>
        <w:pStyle w:val="ManualNumPar1"/>
        <w:rPr>
          <w:noProof/>
        </w:rPr>
      </w:pPr>
      <w:r w:rsidRPr="005F7EFA">
        <w:t>3.</w:t>
      </w:r>
      <w:r w:rsidRPr="005F7EFA">
        <w:tab/>
      </w:r>
      <w:r w:rsidR="004314B3" w:rsidRPr="00DD1DFA">
        <w:rPr>
          <w:noProof/>
        </w:rPr>
        <w:t>W przypadku elementów nadających się do stosowania</w:t>
      </w:r>
      <w:r w:rsidR="00DD1DFA" w:rsidRPr="00DD1DFA">
        <w:rPr>
          <w:noProof/>
        </w:rPr>
        <w:t xml:space="preserve"> w</w:t>
      </w:r>
      <w:r w:rsidR="00DD1DFA">
        <w:rPr>
          <w:noProof/>
        </w:rPr>
        <w:t> </w:t>
      </w:r>
      <w:r w:rsidR="00DD1DFA" w:rsidRPr="00DD1DFA">
        <w:rPr>
          <w:noProof/>
        </w:rPr>
        <w:t>bud</w:t>
      </w:r>
      <w:r w:rsidR="004314B3" w:rsidRPr="00DD1DFA">
        <w:rPr>
          <w:noProof/>
        </w:rPr>
        <w:t>ownictwie, dla których producent nigdy nie przewidywał takiego zastosowania</w:t>
      </w:r>
      <w:r w:rsidR="00DD1DFA" w:rsidRPr="00DD1DFA">
        <w:rPr>
          <w:noProof/>
        </w:rPr>
        <w:t xml:space="preserve"> i</w:t>
      </w:r>
      <w:r w:rsidR="00DD1DFA">
        <w:rPr>
          <w:noProof/>
        </w:rPr>
        <w:t> </w:t>
      </w:r>
      <w:r w:rsidR="00DD1DFA" w:rsidRPr="00DD1DFA">
        <w:rPr>
          <w:noProof/>
        </w:rPr>
        <w:t>któ</w:t>
      </w:r>
      <w:r w:rsidR="004314B3" w:rsidRPr="00DD1DFA">
        <w:rPr>
          <w:noProof/>
        </w:rPr>
        <w:t>re</w:t>
      </w:r>
      <w:r w:rsidR="00DD1DFA" w:rsidRPr="00DD1DFA">
        <w:rPr>
          <w:noProof/>
        </w:rPr>
        <w:t xml:space="preserve"> w</w:t>
      </w:r>
      <w:r w:rsidR="00DD1DFA">
        <w:rPr>
          <w:noProof/>
        </w:rPr>
        <w:t> </w:t>
      </w:r>
      <w:r w:rsidR="00DD1DFA" w:rsidRPr="00DD1DFA">
        <w:rPr>
          <w:noProof/>
        </w:rPr>
        <w:t>zwi</w:t>
      </w:r>
      <w:r w:rsidR="004314B3" w:rsidRPr="00DD1DFA">
        <w:rPr>
          <w:noProof/>
        </w:rPr>
        <w:t>ązku</w:t>
      </w:r>
      <w:r w:rsidR="00DD1DFA" w:rsidRPr="00DD1DFA">
        <w:rPr>
          <w:noProof/>
        </w:rPr>
        <w:t xml:space="preserve"> z</w:t>
      </w:r>
      <w:r w:rsidR="00DD1DFA">
        <w:rPr>
          <w:noProof/>
        </w:rPr>
        <w:t> </w:t>
      </w:r>
      <w:r w:rsidR="00DD1DFA" w:rsidRPr="00DD1DFA">
        <w:rPr>
          <w:noProof/>
        </w:rPr>
        <w:t>tym</w:t>
      </w:r>
      <w:r w:rsidR="004314B3" w:rsidRPr="00DD1DFA">
        <w:rPr>
          <w:noProof/>
        </w:rPr>
        <w:t xml:space="preserve"> nie posiadają oznakowania CE („pseudo wyroby”), inne podmioty gospodarcze:</w:t>
      </w:r>
    </w:p>
    <w:p w14:paraId="5416E58C" w14:textId="44AE9590" w:rsidR="004314B3" w:rsidRPr="00DD1DFA" w:rsidRDefault="005A4BBC" w:rsidP="005A4BBC">
      <w:pPr>
        <w:pStyle w:val="Point1"/>
        <w:rPr>
          <w:noProof/>
        </w:rPr>
      </w:pPr>
      <w:r w:rsidRPr="005A4BBC">
        <w:rPr>
          <w:noProof/>
        </w:rPr>
        <w:t>a)</w:t>
      </w:r>
      <w:r w:rsidRPr="005A4BBC">
        <w:rPr>
          <w:noProof/>
        </w:rPr>
        <w:tab/>
      </w:r>
      <w:r w:rsidR="004314B3" w:rsidRPr="00DD1DFA">
        <w:rPr>
          <w:noProof/>
        </w:rPr>
        <w:t>nie nabywają ani nie sprzedają ich jako elementów przeznaczonych do stosowania</w:t>
      </w:r>
      <w:r w:rsidR="00DD1DFA" w:rsidRPr="00DD1DFA">
        <w:rPr>
          <w:noProof/>
        </w:rPr>
        <w:t xml:space="preserve"> w</w:t>
      </w:r>
      <w:r w:rsidR="00DD1DFA">
        <w:rPr>
          <w:noProof/>
        </w:rPr>
        <w:t> </w:t>
      </w:r>
      <w:r w:rsidR="00DD1DFA" w:rsidRPr="00DD1DFA">
        <w:rPr>
          <w:noProof/>
        </w:rPr>
        <w:t>bud</w:t>
      </w:r>
      <w:r w:rsidR="004314B3" w:rsidRPr="00DD1DFA">
        <w:rPr>
          <w:noProof/>
        </w:rPr>
        <w:t>ownictwie bez poddania ich procedurom określonym</w:t>
      </w:r>
      <w:r w:rsidR="00DD1DFA" w:rsidRPr="00DD1DFA">
        <w:rPr>
          <w:noProof/>
        </w:rPr>
        <w:t xml:space="preserve"> w</w:t>
      </w:r>
      <w:r w:rsidR="00DD1DFA">
        <w:rPr>
          <w:noProof/>
        </w:rPr>
        <w:t> </w:t>
      </w:r>
      <w:r w:rsidR="00DD1DFA" w:rsidRPr="00DD1DFA">
        <w:rPr>
          <w:noProof/>
        </w:rPr>
        <w:t>nin</w:t>
      </w:r>
      <w:r w:rsidR="004314B3" w:rsidRPr="00DD1DFA">
        <w:rPr>
          <w:noProof/>
        </w:rPr>
        <w:t>iejszym rozporządzeniu, które muszą być stosowane przez producentów;</w:t>
      </w:r>
    </w:p>
    <w:p w14:paraId="0D710A7F" w14:textId="115F8BC0" w:rsidR="004314B3" w:rsidRPr="00DD1DFA" w:rsidRDefault="005A4BBC" w:rsidP="005A4BBC">
      <w:pPr>
        <w:pStyle w:val="Point1"/>
        <w:rPr>
          <w:noProof/>
        </w:rPr>
      </w:pPr>
      <w:r w:rsidRPr="005A4BBC">
        <w:rPr>
          <w:noProof/>
        </w:rPr>
        <w:t>b)</w:t>
      </w:r>
      <w:r w:rsidRPr="005A4BBC">
        <w:rPr>
          <w:noProof/>
        </w:rPr>
        <w:tab/>
      </w:r>
      <w:r w:rsidR="004314B3" w:rsidRPr="00DD1DFA">
        <w:rPr>
          <w:noProof/>
        </w:rPr>
        <w:t>zapewniają</w:t>
      </w:r>
      <w:r w:rsidR="00DD1DFA" w:rsidRPr="00DD1DFA">
        <w:rPr>
          <w:noProof/>
        </w:rPr>
        <w:t xml:space="preserve"> w</w:t>
      </w:r>
      <w:r w:rsidR="00DD1DFA">
        <w:rPr>
          <w:noProof/>
        </w:rPr>
        <w:t> </w:t>
      </w:r>
      <w:r w:rsidR="00DD1DFA" w:rsidRPr="00DD1DFA">
        <w:rPr>
          <w:noProof/>
        </w:rPr>
        <w:t>dro</w:t>
      </w:r>
      <w:r w:rsidR="004314B3" w:rsidRPr="00DD1DFA">
        <w:rPr>
          <w:noProof/>
        </w:rPr>
        <w:t>dze odpowiedniej prezentacji brak możliwości uznania ich za przeznaczone do stosowania</w:t>
      </w:r>
      <w:r w:rsidR="00DD1DFA" w:rsidRPr="00DD1DFA">
        <w:rPr>
          <w:noProof/>
        </w:rPr>
        <w:t xml:space="preserve"> w</w:t>
      </w:r>
      <w:r w:rsidR="00DD1DFA">
        <w:rPr>
          <w:noProof/>
        </w:rPr>
        <w:t> </w:t>
      </w:r>
      <w:r w:rsidR="00DD1DFA" w:rsidRPr="00DD1DFA">
        <w:rPr>
          <w:noProof/>
        </w:rPr>
        <w:t>bud</w:t>
      </w:r>
      <w:r w:rsidR="004314B3" w:rsidRPr="00DD1DFA">
        <w:rPr>
          <w:noProof/>
        </w:rPr>
        <w:t xml:space="preserve">ownictwie oraz </w:t>
      </w:r>
    </w:p>
    <w:p w14:paraId="44AC6D6C" w14:textId="4B7401F8" w:rsidR="00BC1E12" w:rsidRPr="00DD1DFA" w:rsidRDefault="005A4BBC" w:rsidP="005A4BBC">
      <w:pPr>
        <w:pStyle w:val="Point1"/>
        <w:rPr>
          <w:noProof/>
        </w:rPr>
      </w:pPr>
      <w:r w:rsidRPr="005A4BBC">
        <w:rPr>
          <w:noProof/>
        </w:rPr>
        <w:t>c)</w:t>
      </w:r>
      <w:r w:rsidRPr="005A4BBC">
        <w:rPr>
          <w:noProof/>
        </w:rPr>
        <w:tab/>
      </w:r>
      <w:r w:rsidR="004314B3" w:rsidRPr="00DD1DFA">
        <w:rPr>
          <w:noProof/>
        </w:rPr>
        <w:t>nakładają na swoich klientów zobowiązanie umowne do przestrzegania tych samych zasad</w:t>
      </w:r>
      <w:r w:rsidR="00DD1DFA" w:rsidRPr="00DD1DFA">
        <w:rPr>
          <w:noProof/>
        </w:rPr>
        <w:t xml:space="preserve"> i</w:t>
      </w:r>
      <w:r w:rsidR="00DD1DFA">
        <w:rPr>
          <w:noProof/>
        </w:rPr>
        <w:t> </w:t>
      </w:r>
      <w:r w:rsidR="00DD1DFA" w:rsidRPr="00DD1DFA">
        <w:rPr>
          <w:noProof/>
        </w:rPr>
        <w:t>nie</w:t>
      </w:r>
      <w:r w:rsidR="004314B3" w:rsidRPr="00DD1DFA">
        <w:rPr>
          <w:noProof/>
        </w:rPr>
        <w:t>stosowania tych elementów</w:t>
      </w:r>
      <w:r w:rsidR="00DD1DFA" w:rsidRPr="00DD1DFA">
        <w:rPr>
          <w:noProof/>
        </w:rPr>
        <w:t xml:space="preserve"> w</w:t>
      </w:r>
      <w:r w:rsidR="00DD1DFA">
        <w:rPr>
          <w:noProof/>
        </w:rPr>
        <w:t> </w:t>
      </w:r>
      <w:r w:rsidR="00DD1DFA" w:rsidRPr="00DD1DFA">
        <w:rPr>
          <w:noProof/>
        </w:rPr>
        <w:t>bud</w:t>
      </w:r>
      <w:r w:rsidR="004314B3" w:rsidRPr="00DD1DFA">
        <w:rPr>
          <w:noProof/>
        </w:rPr>
        <w:t>ownictwie.</w:t>
      </w:r>
    </w:p>
    <w:p w14:paraId="25EEA66C" w14:textId="77777777" w:rsidR="00BC1E12" w:rsidRPr="00DD1DFA" w:rsidRDefault="00BC1E12" w:rsidP="00B34901">
      <w:pPr>
        <w:pStyle w:val="Titrearticle"/>
        <w:rPr>
          <w:noProof/>
        </w:rPr>
      </w:pPr>
      <w:r w:rsidRPr="00DD1DFA">
        <w:rPr>
          <w:noProof/>
        </w:rPr>
        <w:t>Artykuł 32</w:t>
      </w:r>
    </w:p>
    <w:p w14:paraId="4F733D13" w14:textId="23250F16" w:rsidR="00BC1E12" w:rsidRPr="00DD1DFA" w:rsidRDefault="00BC1E12" w:rsidP="00B34901">
      <w:pPr>
        <w:pStyle w:val="Titrearticle"/>
        <w:rPr>
          <w:b/>
          <w:noProof/>
        </w:rPr>
      </w:pPr>
      <w:r w:rsidRPr="00DD1DFA">
        <w:rPr>
          <w:b/>
          <w:noProof/>
        </w:rPr>
        <w:t>Sprzedaż online</w:t>
      </w:r>
      <w:r w:rsidR="00DD1DFA" w:rsidRPr="00DD1DFA">
        <w:rPr>
          <w:b/>
          <w:noProof/>
        </w:rPr>
        <w:t xml:space="preserve"> i</w:t>
      </w:r>
      <w:r w:rsidR="00DD1DFA">
        <w:rPr>
          <w:b/>
          <w:noProof/>
        </w:rPr>
        <w:t> </w:t>
      </w:r>
      <w:r w:rsidR="00DD1DFA" w:rsidRPr="00DD1DFA">
        <w:rPr>
          <w:b/>
          <w:noProof/>
        </w:rPr>
        <w:t>inn</w:t>
      </w:r>
      <w:r w:rsidRPr="00DD1DFA">
        <w:rPr>
          <w:b/>
          <w:noProof/>
        </w:rPr>
        <w:t>a sprzedaż na odległość</w:t>
      </w:r>
    </w:p>
    <w:p w14:paraId="12FAD274" w14:textId="442B1B19" w:rsidR="004314B3" w:rsidRPr="00DD1DFA" w:rsidRDefault="005F7EFA" w:rsidP="005F7EFA">
      <w:pPr>
        <w:pStyle w:val="ManualNumPar1"/>
        <w:rPr>
          <w:rFonts w:eastAsia="Calibri"/>
          <w:noProof/>
          <w:color w:val="00000A"/>
          <w:szCs w:val="24"/>
        </w:rPr>
      </w:pPr>
      <w:r w:rsidRPr="005F7EFA">
        <w:t>1.</w:t>
      </w:r>
      <w:r w:rsidRPr="005F7EFA">
        <w:tab/>
      </w:r>
      <w:r w:rsidR="004314B3" w:rsidRPr="00DD1DFA">
        <w:rPr>
          <w:noProof/>
        </w:rPr>
        <w:t>Produkty oferowane do sprzedaży online lub</w:t>
      </w:r>
      <w:r w:rsidR="00DD1DFA" w:rsidRPr="00DD1DFA">
        <w:rPr>
          <w:noProof/>
        </w:rPr>
        <w:t xml:space="preserve"> w</w:t>
      </w:r>
      <w:r w:rsidR="00DD1DFA">
        <w:rPr>
          <w:noProof/>
        </w:rPr>
        <w:t> </w:t>
      </w:r>
      <w:r w:rsidR="00DD1DFA" w:rsidRPr="00DD1DFA">
        <w:rPr>
          <w:noProof/>
        </w:rPr>
        <w:t>inn</w:t>
      </w:r>
      <w:r w:rsidR="004314B3" w:rsidRPr="00DD1DFA">
        <w:rPr>
          <w:noProof/>
        </w:rPr>
        <w:t>y sposób na odległość uważa się za udostępnione na rynku, jeżeli oferta jest skierowana do klientów</w:t>
      </w:r>
      <w:r w:rsidR="00DD1DFA" w:rsidRPr="00DD1DFA">
        <w:rPr>
          <w:noProof/>
        </w:rPr>
        <w:t xml:space="preserve"> w</w:t>
      </w:r>
      <w:r w:rsidR="00DD1DFA">
        <w:rPr>
          <w:noProof/>
        </w:rPr>
        <w:t> </w:t>
      </w:r>
      <w:r w:rsidR="00DD1DFA" w:rsidRPr="00DD1DFA">
        <w:rPr>
          <w:noProof/>
        </w:rPr>
        <w:t>Uni</w:t>
      </w:r>
      <w:r w:rsidR="004314B3" w:rsidRPr="00DD1DFA">
        <w:rPr>
          <w:noProof/>
        </w:rPr>
        <w:t>i. Oferta sprzedaży jest uznawana za skierowaną do klientów</w:t>
      </w:r>
      <w:r w:rsidR="00DD1DFA" w:rsidRPr="00DD1DFA">
        <w:rPr>
          <w:noProof/>
        </w:rPr>
        <w:t xml:space="preserve"> w</w:t>
      </w:r>
      <w:r w:rsidR="00DD1DFA">
        <w:rPr>
          <w:noProof/>
        </w:rPr>
        <w:t> </w:t>
      </w:r>
      <w:r w:rsidR="00DD1DFA" w:rsidRPr="00DD1DFA">
        <w:rPr>
          <w:noProof/>
        </w:rPr>
        <w:t>Uni</w:t>
      </w:r>
      <w:r w:rsidR="004314B3" w:rsidRPr="00DD1DFA">
        <w:rPr>
          <w:noProof/>
        </w:rPr>
        <w:t>i, jeżeli odpowiedni podmiot gospodarczy</w:t>
      </w:r>
      <w:r w:rsidR="00DD1DFA" w:rsidRPr="00DD1DFA">
        <w:rPr>
          <w:noProof/>
        </w:rPr>
        <w:t xml:space="preserve"> w</w:t>
      </w:r>
      <w:r w:rsidR="00DD1DFA">
        <w:rPr>
          <w:noProof/>
        </w:rPr>
        <w:t> </w:t>
      </w:r>
      <w:r w:rsidR="00DD1DFA" w:rsidRPr="00DD1DFA">
        <w:rPr>
          <w:noProof/>
        </w:rPr>
        <w:t>jak</w:t>
      </w:r>
      <w:r w:rsidR="004314B3" w:rsidRPr="00DD1DFA">
        <w:rPr>
          <w:noProof/>
        </w:rPr>
        <w:t>ikolwiek sposób kieruje swoją działalność do państwa członkowskiego. Uznaje się między innymi, że oferta jest skierowana do klientów</w:t>
      </w:r>
      <w:r w:rsidR="00DD1DFA" w:rsidRPr="00DD1DFA">
        <w:rPr>
          <w:noProof/>
        </w:rPr>
        <w:t xml:space="preserve"> w</w:t>
      </w:r>
      <w:r w:rsidR="00DD1DFA">
        <w:rPr>
          <w:noProof/>
        </w:rPr>
        <w:t> </w:t>
      </w:r>
      <w:r w:rsidR="00DD1DFA" w:rsidRPr="00DD1DFA">
        <w:rPr>
          <w:noProof/>
        </w:rPr>
        <w:t>Uni</w:t>
      </w:r>
      <w:r w:rsidR="004314B3" w:rsidRPr="00DD1DFA">
        <w:rPr>
          <w:noProof/>
        </w:rPr>
        <w:t>i, jeżeli:</w:t>
      </w:r>
    </w:p>
    <w:p w14:paraId="3B6869BB" w14:textId="3CC52971" w:rsidR="004314B3" w:rsidRPr="00DD1DFA" w:rsidRDefault="005A4BBC" w:rsidP="005A4BBC">
      <w:pPr>
        <w:pStyle w:val="Point1"/>
        <w:rPr>
          <w:noProof/>
        </w:rPr>
      </w:pPr>
      <w:r w:rsidRPr="005A4BBC">
        <w:rPr>
          <w:noProof/>
        </w:rPr>
        <w:t>a)</w:t>
      </w:r>
      <w:r w:rsidRPr="005A4BBC">
        <w:rPr>
          <w:noProof/>
        </w:rPr>
        <w:tab/>
      </w:r>
      <w:r w:rsidR="004314B3" w:rsidRPr="00DD1DFA">
        <w:rPr>
          <w:noProof/>
        </w:rPr>
        <w:t>podmiot gospodarczy posługuje się językiem urzędowym państwa członkowskiego, chyba że sprzedaż do Unii jest wyraźnie wykluczona za pomocą skutecznych środków;</w:t>
      </w:r>
    </w:p>
    <w:p w14:paraId="2FAD109D" w14:textId="477DB5BC" w:rsidR="004314B3" w:rsidRPr="00DD1DFA" w:rsidRDefault="005A4BBC" w:rsidP="005A4BBC">
      <w:pPr>
        <w:pStyle w:val="Point1"/>
        <w:rPr>
          <w:noProof/>
        </w:rPr>
      </w:pPr>
      <w:r w:rsidRPr="005A4BBC">
        <w:rPr>
          <w:noProof/>
        </w:rPr>
        <w:t>b)</w:t>
      </w:r>
      <w:r w:rsidRPr="005A4BBC">
        <w:rPr>
          <w:noProof/>
        </w:rPr>
        <w:tab/>
      </w:r>
      <w:r w:rsidR="004314B3" w:rsidRPr="00DD1DFA">
        <w:rPr>
          <w:noProof/>
        </w:rPr>
        <w:t>podmiot gospodarczy posługuje się walutą państw członkowskich lub kryptowalutą objętą rozporządzeniem (UE)</w:t>
      </w:r>
      <w:r w:rsidR="004314B3" w:rsidRPr="00DD1DFA">
        <w:rPr>
          <w:noProof/>
          <w:highlight w:val="yellow"/>
        </w:rPr>
        <w:t>[…]</w:t>
      </w:r>
      <w:r w:rsidR="004314B3" w:rsidRPr="00DD1DFA">
        <w:rPr>
          <w:rStyle w:val="Odwoanieprzypisudolnego"/>
          <w:noProof/>
        </w:rPr>
        <w:footnoteReference w:id="47"/>
      </w:r>
      <w:r w:rsidR="004314B3" w:rsidRPr="00DD1DFA">
        <w:rPr>
          <w:noProof/>
        </w:rPr>
        <w:t>, chyba że,</w:t>
      </w:r>
      <w:r w:rsidR="00DD1DFA" w:rsidRPr="00DD1DFA">
        <w:rPr>
          <w:noProof/>
        </w:rPr>
        <w:t xml:space="preserve"> w</w:t>
      </w:r>
      <w:r w:rsidR="00DD1DFA">
        <w:rPr>
          <w:noProof/>
        </w:rPr>
        <w:t> </w:t>
      </w:r>
      <w:r w:rsidR="00DD1DFA" w:rsidRPr="00DD1DFA">
        <w:rPr>
          <w:noProof/>
        </w:rPr>
        <w:t>dru</w:t>
      </w:r>
      <w:r w:rsidR="004314B3" w:rsidRPr="00DD1DFA">
        <w:rPr>
          <w:noProof/>
        </w:rPr>
        <w:t xml:space="preserve">gim przypadku, sprzedaż do Unii jest wyraźnie wykluczona za pomocą skutecznych środków; </w:t>
      </w:r>
    </w:p>
    <w:p w14:paraId="1D631D2C" w14:textId="7635B343" w:rsidR="004314B3" w:rsidRPr="00DD1DFA" w:rsidRDefault="005A4BBC" w:rsidP="005A4BBC">
      <w:pPr>
        <w:pStyle w:val="Point1"/>
        <w:rPr>
          <w:noProof/>
        </w:rPr>
      </w:pPr>
      <w:r w:rsidRPr="005A4BBC">
        <w:rPr>
          <w:noProof/>
        </w:rPr>
        <w:t>c)</w:t>
      </w:r>
      <w:r w:rsidRPr="005A4BBC">
        <w:rPr>
          <w:noProof/>
        </w:rPr>
        <w:tab/>
      </w:r>
      <w:r w:rsidR="004314B3" w:rsidRPr="00DD1DFA">
        <w:rPr>
          <w:noProof/>
        </w:rPr>
        <w:t>użyta przez podmiot gospodarczy nazwa domeny internetowej jest zarejestrowana</w:t>
      </w:r>
      <w:r w:rsidR="00DD1DFA" w:rsidRPr="00DD1DFA">
        <w:rPr>
          <w:noProof/>
        </w:rPr>
        <w:t xml:space="preserve"> w</w:t>
      </w:r>
      <w:r w:rsidR="00DD1DFA">
        <w:rPr>
          <w:noProof/>
        </w:rPr>
        <w:t> </w:t>
      </w:r>
      <w:r w:rsidR="00DD1DFA" w:rsidRPr="00DD1DFA">
        <w:rPr>
          <w:noProof/>
        </w:rPr>
        <w:t>jed</w:t>
      </w:r>
      <w:r w:rsidR="004314B3" w:rsidRPr="00DD1DFA">
        <w:rPr>
          <w:noProof/>
        </w:rPr>
        <w:t>nym</w:t>
      </w:r>
      <w:r w:rsidR="00DD1DFA" w:rsidRPr="00DD1DFA">
        <w:rPr>
          <w:noProof/>
        </w:rPr>
        <w:t xml:space="preserve"> z</w:t>
      </w:r>
      <w:r w:rsidR="00DD1DFA">
        <w:rPr>
          <w:noProof/>
        </w:rPr>
        <w:t> </w:t>
      </w:r>
      <w:r w:rsidR="00DD1DFA" w:rsidRPr="00DD1DFA">
        <w:rPr>
          <w:noProof/>
        </w:rPr>
        <w:t>pań</w:t>
      </w:r>
      <w:r w:rsidR="004314B3" w:rsidRPr="00DD1DFA">
        <w:rPr>
          <w:noProof/>
        </w:rPr>
        <w:t>stw członkowskich lub używa on domeny internetowej, która odnosi się do Unii lub jednego</w:t>
      </w:r>
      <w:r w:rsidR="00DD1DFA" w:rsidRPr="00DD1DFA">
        <w:rPr>
          <w:noProof/>
        </w:rPr>
        <w:t xml:space="preserve"> z</w:t>
      </w:r>
      <w:r w:rsidR="00DD1DFA">
        <w:rPr>
          <w:noProof/>
        </w:rPr>
        <w:t> </w:t>
      </w:r>
      <w:r w:rsidR="00DD1DFA" w:rsidRPr="00DD1DFA">
        <w:rPr>
          <w:noProof/>
        </w:rPr>
        <w:t>pań</w:t>
      </w:r>
      <w:r w:rsidR="004314B3" w:rsidRPr="00DD1DFA">
        <w:rPr>
          <w:noProof/>
        </w:rPr>
        <w:t xml:space="preserve">stw członkowskich lub </w:t>
      </w:r>
    </w:p>
    <w:p w14:paraId="7E62D50E" w14:textId="48CB91F6" w:rsidR="004314B3" w:rsidRPr="00DD1DFA" w:rsidRDefault="005A4BBC" w:rsidP="005A4BBC">
      <w:pPr>
        <w:pStyle w:val="Point1"/>
        <w:rPr>
          <w:noProof/>
        </w:rPr>
      </w:pPr>
      <w:r w:rsidRPr="005A4BBC">
        <w:rPr>
          <w:noProof/>
        </w:rPr>
        <w:t>d)</w:t>
      </w:r>
      <w:r w:rsidRPr="005A4BBC">
        <w:rPr>
          <w:noProof/>
        </w:rPr>
        <w:tab/>
      </w:r>
      <w:r w:rsidR="004314B3" w:rsidRPr="00DD1DFA">
        <w:rPr>
          <w:noProof/>
        </w:rPr>
        <w:t>obszary geograficzne, dla których dostępna jest wysyłka, obejmują państwo członkowskie.</w:t>
      </w:r>
    </w:p>
    <w:p w14:paraId="30948381" w14:textId="30CD044F" w:rsidR="00BC1E12" w:rsidRPr="00DD1DFA" w:rsidRDefault="005F7EFA" w:rsidP="005F7EFA">
      <w:pPr>
        <w:pStyle w:val="ManualNumPar1"/>
        <w:rPr>
          <w:rFonts w:eastAsia="Calibri"/>
          <w:noProof/>
          <w:color w:val="00000A"/>
          <w:szCs w:val="24"/>
        </w:rPr>
      </w:pPr>
      <w:r w:rsidRPr="005F7EFA">
        <w:t>2.</w:t>
      </w:r>
      <w:r w:rsidRPr="005F7EFA">
        <w:tab/>
      </w:r>
      <w:r w:rsidR="004314B3" w:rsidRPr="00DD1DFA">
        <w:rPr>
          <w:noProof/>
        </w:rPr>
        <w:t>Państwa członkowskie wyznaczają jeden scentralizowany organ nadzoru rynku odpowiedzialny za wykrywanie wyrobów oferowanych przez podmioty gospodarcze spoza Unii klientom na ich terytorium online i za pośrednictwem innych metod sprzedaży na odległość.</w:t>
      </w:r>
    </w:p>
    <w:p w14:paraId="4C85CACC" w14:textId="77777777" w:rsidR="00FA131A" w:rsidRPr="00DD1DFA" w:rsidRDefault="00FA131A" w:rsidP="00FA131A">
      <w:pPr>
        <w:pStyle w:val="Titrearticle"/>
        <w:rPr>
          <w:noProof/>
        </w:rPr>
      </w:pPr>
      <w:r w:rsidRPr="00DD1DFA">
        <w:rPr>
          <w:noProof/>
        </w:rPr>
        <w:t>Artykuł 33</w:t>
      </w:r>
    </w:p>
    <w:p w14:paraId="43C1D345" w14:textId="1EB4817E" w:rsidR="00FA131A" w:rsidRPr="00DD1DFA" w:rsidRDefault="00C70FEB" w:rsidP="00FA131A">
      <w:pPr>
        <w:pStyle w:val="Titrearticle"/>
        <w:rPr>
          <w:b/>
          <w:noProof/>
        </w:rPr>
      </w:pPr>
      <w:r w:rsidRPr="00DD1DFA">
        <w:rPr>
          <w:b/>
          <w:noProof/>
        </w:rPr>
        <w:t>Akty wykonawcze dotyczące obowiązków</w:t>
      </w:r>
      <w:r w:rsidR="00DD1DFA" w:rsidRPr="00DD1DFA">
        <w:rPr>
          <w:b/>
          <w:noProof/>
        </w:rPr>
        <w:t xml:space="preserve"> i</w:t>
      </w:r>
      <w:r w:rsidR="00DD1DFA">
        <w:rPr>
          <w:b/>
          <w:noProof/>
        </w:rPr>
        <w:t> </w:t>
      </w:r>
      <w:r w:rsidR="00DD1DFA" w:rsidRPr="00DD1DFA">
        <w:rPr>
          <w:b/>
          <w:noProof/>
        </w:rPr>
        <w:t>pra</w:t>
      </w:r>
      <w:r w:rsidRPr="00DD1DFA">
        <w:rPr>
          <w:b/>
          <w:noProof/>
        </w:rPr>
        <w:t>w podmiotów gospodarczych</w:t>
      </w:r>
    </w:p>
    <w:p w14:paraId="7DD2CBC3" w14:textId="016D9D47" w:rsidR="00C70FEB" w:rsidRPr="00DD1DFA" w:rsidRDefault="00C70FEB" w:rsidP="00C70FEB">
      <w:pPr>
        <w:rPr>
          <w:noProof/>
        </w:rPr>
      </w:pPr>
      <w:r w:rsidRPr="00DD1DFA">
        <w:rPr>
          <w:noProof/>
        </w:rPr>
        <w:t>W przypadku gdy jest to niezbędne do zapewnienia zharmonizowanego stosowania niniejszego rozporządzenia</w:t>
      </w:r>
      <w:r w:rsidR="00DD1DFA" w:rsidRPr="00DD1DFA">
        <w:rPr>
          <w:noProof/>
        </w:rPr>
        <w:t xml:space="preserve"> i</w:t>
      </w:r>
      <w:r w:rsidR="00DD1DFA">
        <w:rPr>
          <w:noProof/>
        </w:rPr>
        <w:t> </w:t>
      </w:r>
      <w:r w:rsidR="00DD1DFA" w:rsidRPr="00DD1DFA">
        <w:rPr>
          <w:noProof/>
        </w:rPr>
        <w:t>wył</w:t>
      </w:r>
      <w:r w:rsidRPr="00DD1DFA">
        <w:rPr>
          <w:noProof/>
        </w:rPr>
        <w:t>ącznie</w:t>
      </w:r>
      <w:r w:rsidR="00DD1DFA" w:rsidRPr="00DD1DFA">
        <w:rPr>
          <w:noProof/>
        </w:rPr>
        <w:t xml:space="preserve"> w</w:t>
      </w:r>
      <w:r w:rsidR="00DD1DFA">
        <w:rPr>
          <w:noProof/>
        </w:rPr>
        <w:t> </w:t>
      </w:r>
      <w:r w:rsidR="00DD1DFA" w:rsidRPr="00DD1DFA">
        <w:rPr>
          <w:noProof/>
        </w:rPr>
        <w:t>zak</w:t>
      </w:r>
      <w:r w:rsidRPr="00DD1DFA">
        <w:rPr>
          <w:noProof/>
        </w:rPr>
        <w:t>resie niezbędnym do zapobiegania rozbieżnym praktykom stwarzającym nierówne warunki działania dla podmiotów gospodarczych, Komisja może przyjąć akty wykonawcze zawierające szczegółowe informacje na temat sposobu wykonywania obowiązków</w:t>
      </w:r>
      <w:r w:rsidR="00DD1DFA" w:rsidRPr="00DD1DFA">
        <w:rPr>
          <w:noProof/>
        </w:rPr>
        <w:t xml:space="preserve"> i</w:t>
      </w:r>
      <w:r w:rsidR="00DD1DFA">
        <w:rPr>
          <w:noProof/>
        </w:rPr>
        <w:t> </w:t>
      </w:r>
      <w:r w:rsidR="00DD1DFA" w:rsidRPr="00DD1DFA">
        <w:rPr>
          <w:noProof/>
        </w:rPr>
        <w:t>pra</w:t>
      </w:r>
      <w:r w:rsidRPr="00DD1DFA">
        <w:rPr>
          <w:noProof/>
        </w:rPr>
        <w:t>w podmiotów gospodarczych określonych</w:t>
      </w:r>
      <w:r w:rsidR="00DD1DFA" w:rsidRPr="00DD1DFA">
        <w:rPr>
          <w:noProof/>
        </w:rPr>
        <w:t xml:space="preserve"> w</w:t>
      </w:r>
      <w:r w:rsidR="00DD1DFA">
        <w:rPr>
          <w:noProof/>
        </w:rPr>
        <w:t> </w:t>
      </w:r>
      <w:r w:rsidR="00DD1DFA" w:rsidRPr="00DD1DFA">
        <w:rPr>
          <w:noProof/>
        </w:rPr>
        <w:t>nin</w:t>
      </w:r>
      <w:r w:rsidRPr="00DD1DFA">
        <w:rPr>
          <w:noProof/>
        </w:rPr>
        <w:t>iejszym rozdziale.</w:t>
      </w:r>
    </w:p>
    <w:p w14:paraId="1AE005E8" w14:textId="4C66430C" w:rsidR="00FA131A" w:rsidRPr="00DD1DFA" w:rsidRDefault="00C70FEB" w:rsidP="00C70FEB">
      <w:pPr>
        <w:rPr>
          <w:noProof/>
        </w:rPr>
      </w:pPr>
      <w:r w:rsidRPr="00DD1DFA">
        <w:rPr>
          <w:noProof/>
        </w:rPr>
        <w:t>Te akty wykonawcze przyjmuje się zgodnie</w:t>
      </w:r>
      <w:r w:rsidR="00DD1DFA" w:rsidRPr="00DD1DFA">
        <w:rPr>
          <w:noProof/>
        </w:rPr>
        <w:t xml:space="preserve"> z</w:t>
      </w:r>
      <w:r w:rsidR="00DD1DFA">
        <w:rPr>
          <w:noProof/>
        </w:rPr>
        <w:t> </w:t>
      </w:r>
      <w:r w:rsidR="00DD1DFA" w:rsidRPr="00DD1DFA">
        <w:rPr>
          <w:noProof/>
        </w:rPr>
        <w:t>pro</w:t>
      </w:r>
      <w:r w:rsidRPr="00DD1DFA">
        <w:rPr>
          <w:noProof/>
        </w:rPr>
        <w:t>cedurą sprawdzającą,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2.</w:t>
      </w:r>
    </w:p>
    <w:p w14:paraId="1F4F57BF" w14:textId="77777777" w:rsidR="00BC1E12" w:rsidRPr="00DD1DFA" w:rsidRDefault="00BC1E12" w:rsidP="006B6A94">
      <w:pPr>
        <w:pStyle w:val="ChapterTitle"/>
        <w:rPr>
          <w:noProof/>
          <w:sz w:val="24"/>
          <w:szCs w:val="24"/>
        </w:rPr>
      </w:pPr>
      <w:r w:rsidRPr="00DD1DFA">
        <w:rPr>
          <w:noProof/>
          <w:sz w:val="24"/>
          <w:szCs w:val="24"/>
        </w:rPr>
        <w:t>ROZDZIAŁ IV</w:t>
      </w:r>
    </w:p>
    <w:p w14:paraId="41E5F249" w14:textId="77777777" w:rsidR="00BC1E12" w:rsidRPr="00DD1DFA" w:rsidRDefault="003C0072" w:rsidP="006B6A94">
      <w:pPr>
        <w:pStyle w:val="ChapterTitle"/>
        <w:rPr>
          <w:noProof/>
          <w:sz w:val="24"/>
          <w:szCs w:val="24"/>
        </w:rPr>
      </w:pPr>
      <w:r w:rsidRPr="00DD1DFA">
        <w:rPr>
          <w:noProof/>
          <w:sz w:val="24"/>
          <w:szCs w:val="24"/>
        </w:rPr>
        <w:t xml:space="preserve">NORMY DOTYCZĄCE WYROBÓW BUDOWLANYCH I EUROPEJSKIE DOKUMENTY OCENY </w:t>
      </w:r>
    </w:p>
    <w:p w14:paraId="2D8CA154" w14:textId="77777777" w:rsidR="00BC1E12" w:rsidRPr="00DD1DFA" w:rsidRDefault="00BC1E12" w:rsidP="006B6A94">
      <w:pPr>
        <w:pStyle w:val="Titrearticle"/>
        <w:rPr>
          <w:noProof/>
        </w:rPr>
      </w:pPr>
      <w:r w:rsidRPr="00DD1DFA">
        <w:rPr>
          <w:noProof/>
        </w:rPr>
        <w:t>Artykuł 34</w:t>
      </w:r>
    </w:p>
    <w:p w14:paraId="0715DFF2" w14:textId="77777777" w:rsidR="00BC1E12" w:rsidRPr="00DD1DFA" w:rsidRDefault="00C70FEB" w:rsidP="006B6A94">
      <w:pPr>
        <w:pStyle w:val="Titrearticle"/>
        <w:rPr>
          <w:b/>
          <w:bCs/>
          <w:noProof/>
        </w:rPr>
      </w:pPr>
      <w:r w:rsidRPr="00DD1DFA">
        <w:rPr>
          <w:b/>
          <w:bCs/>
          <w:noProof/>
        </w:rPr>
        <w:t>Normy dotyczące wyrobów budowlanych</w:t>
      </w:r>
    </w:p>
    <w:p w14:paraId="6D3D04E1" w14:textId="78174C0A" w:rsidR="00577C1C" w:rsidRPr="00DD1DFA" w:rsidRDefault="005F7EFA" w:rsidP="005F7EFA">
      <w:pPr>
        <w:pStyle w:val="ManualNumPar1"/>
        <w:rPr>
          <w:noProof/>
        </w:rPr>
      </w:pPr>
      <w:r w:rsidRPr="005F7EFA">
        <w:t>1.</w:t>
      </w:r>
      <w:r w:rsidRPr="005F7EFA">
        <w:tab/>
      </w:r>
      <w:r w:rsidR="00577C1C" w:rsidRPr="00DD1DFA">
        <w:rPr>
          <w:noProof/>
        </w:rPr>
        <w:t xml:space="preserve">Normy dotyczące wyrobów budowlanych są ustanawiane przez europejskie organizacje normalizacyjne na podstawie zlecenia normalizacji wydanego przez Komisję. </w:t>
      </w:r>
    </w:p>
    <w:p w14:paraId="58F10DE5" w14:textId="7F8A4F76" w:rsidR="00577C1C" w:rsidRPr="00DD1DFA" w:rsidRDefault="005F7EFA" w:rsidP="005F7EFA">
      <w:pPr>
        <w:pStyle w:val="ManualNumPar1"/>
        <w:rPr>
          <w:noProof/>
        </w:rPr>
      </w:pPr>
      <w:r w:rsidRPr="005F7EFA">
        <w:t>2.</w:t>
      </w:r>
      <w:r w:rsidRPr="005F7EFA">
        <w:tab/>
      </w:r>
      <w:r w:rsidR="00577C1C" w:rsidRPr="00DD1DFA">
        <w:rPr>
          <w:noProof/>
        </w:rPr>
        <w:t>Normy dotyczące wyrobów budowlanych opracowane na podstawie art.</w:t>
      </w:r>
      <w:r w:rsidR="00DD1DFA" w:rsidRPr="00DD1DFA">
        <w:rPr>
          <w:noProof/>
        </w:rPr>
        <w:t> </w:t>
      </w:r>
      <w:r w:rsidR="00577C1C" w:rsidRPr="00DD1DFA">
        <w:rPr>
          <w:noProof/>
        </w:rPr>
        <w:t>4 ust.</w:t>
      </w:r>
      <w:r w:rsidR="00DD1DFA" w:rsidRPr="00DD1DFA">
        <w:rPr>
          <w:noProof/>
        </w:rPr>
        <w:t> </w:t>
      </w:r>
      <w:r w:rsidR="00577C1C" w:rsidRPr="00DD1DFA">
        <w:rPr>
          <w:noProof/>
        </w:rPr>
        <w:t>2 mają obowiązkowe zastosowanie do celów niniejszego rozporządzenia po upływie sześciu miesięcy od opublikowania odniesienia do nich</w:t>
      </w:r>
      <w:r w:rsidR="00DD1DFA" w:rsidRPr="00DD1DFA">
        <w:rPr>
          <w:noProof/>
        </w:rPr>
        <w:t xml:space="preserve"> w</w:t>
      </w:r>
      <w:r w:rsidR="00DD1DFA">
        <w:rPr>
          <w:noProof/>
        </w:rPr>
        <w:t> </w:t>
      </w:r>
      <w:r w:rsidR="00DD1DFA" w:rsidRPr="00DD1DFA">
        <w:rPr>
          <w:noProof/>
        </w:rPr>
        <w:t>Dzi</w:t>
      </w:r>
      <w:r w:rsidR="00577C1C" w:rsidRPr="00DD1DFA">
        <w:rPr>
          <w:noProof/>
        </w:rPr>
        <w:t>enniku Urzędowym zgodnie</w:t>
      </w:r>
      <w:r w:rsidR="00DD1DFA" w:rsidRPr="00DD1DFA">
        <w:rPr>
          <w:noProof/>
        </w:rPr>
        <w:t xml:space="preserve"> z</w:t>
      </w:r>
      <w:r w:rsidR="00DD1DFA">
        <w:rPr>
          <w:noProof/>
        </w:rPr>
        <w:t> </w:t>
      </w:r>
      <w:r w:rsidR="00DD1DFA" w:rsidRPr="00DD1DFA">
        <w:rPr>
          <w:noProof/>
        </w:rPr>
        <w:t>ust</w:t>
      </w:r>
      <w:r w:rsidR="00577C1C" w:rsidRPr="00DD1DFA">
        <w:rPr>
          <w:noProof/>
        </w:rPr>
        <w:t>.</w:t>
      </w:r>
      <w:r w:rsidR="00DD1DFA" w:rsidRPr="00DD1DFA">
        <w:rPr>
          <w:noProof/>
        </w:rPr>
        <w:t> </w:t>
      </w:r>
      <w:r w:rsidR="00577C1C" w:rsidRPr="00DD1DFA">
        <w:rPr>
          <w:noProof/>
        </w:rPr>
        <w:t>4, ale na wniosek producenta mogą być stosowane dobrowolnie od dnia tej publikacji. Normy te określają metody</w:t>
      </w:r>
      <w:r w:rsidR="00DD1DFA" w:rsidRPr="00DD1DFA">
        <w:rPr>
          <w:noProof/>
        </w:rPr>
        <w:t xml:space="preserve"> i</w:t>
      </w:r>
      <w:r w:rsidR="00DD1DFA">
        <w:rPr>
          <w:noProof/>
        </w:rPr>
        <w:t> </w:t>
      </w:r>
      <w:r w:rsidR="00DD1DFA" w:rsidRPr="00DD1DFA">
        <w:rPr>
          <w:noProof/>
        </w:rPr>
        <w:t>kry</w:t>
      </w:r>
      <w:r w:rsidR="00577C1C" w:rsidRPr="00DD1DFA">
        <w:rPr>
          <w:noProof/>
        </w:rPr>
        <w:t>teria oceny właściwości użytkowych wyrobów</w:t>
      </w:r>
      <w:r w:rsidR="00DD1DFA" w:rsidRPr="00DD1DFA">
        <w:rPr>
          <w:noProof/>
        </w:rPr>
        <w:t xml:space="preserve"> w</w:t>
      </w:r>
      <w:r w:rsidR="00DD1DFA">
        <w:rPr>
          <w:noProof/>
        </w:rPr>
        <w:t> </w:t>
      </w:r>
      <w:r w:rsidR="00DD1DFA" w:rsidRPr="00DD1DFA">
        <w:rPr>
          <w:noProof/>
        </w:rPr>
        <w:t>odn</w:t>
      </w:r>
      <w:r w:rsidR="00577C1C" w:rsidRPr="00DD1DFA">
        <w:rPr>
          <w:noProof/>
        </w:rPr>
        <w:t>iesieniu do ich zasadniczych charakterystyk. Normy te określają –</w:t>
      </w:r>
      <w:r w:rsidR="00DD1DFA" w:rsidRPr="00DD1DFA">
        <w:rPr>
          <w:noProof/>
        </w:rPr>
        <w:t xml:space="preserve"> w</w:t>
      </w:r>
      <w:r w:rsidR="00DD1DFA">
        <w:rPr>
          <w:noProof/>
        </w:rPr>
        <w:t> </w:t>
      </w:r>
      <w:r w:rsidR="00DD1DFA" w:rsidRPr="00DD1DFA">
        <w:rPr>
          <w:noProof/>
        </w:rPr>
        <w:t>sto</w:t>
      </w:r>
      <w:r w:rsidR="00577C1C" w:rsidRPr="00DD1DFA">
        <w:rPr>
          <w:noProof/>
        </w:rPr>
        <w:t>sownych przypadkach</w:t>
      </w:r>
      <w:r w:rsidR="00DD1DFA" w:rsidRPr="00DD1DFA">
        <w:rPr>
          <w:noProof/>
        </w:rPr>
        <w:t xml:space="preserve"> i</w:t>
      </w:r>
      <w:r w:rsidR="00DD1DFA">
        <w:rPr>
          <w:noProof/>
        </w:rPr>
        <w:t> </w:t>
      </w:r>
      <w:r w:rsidR="00DD1DFA" w:rsidRPr="00DD1DFA">
        <w:rPr>
          <w:noProof/>
        </w:rPr>
        <w:t>nie</w:t>
      </w:r>
      <w:r w:rsidR="00577C1C" w:rsidRPr="00DD1DFA">
        <w:rPr>
          <w:noProof/>
        </w:rPr>
        <w:t xml:space="preserve"> zagrażając dokładności, wiarygodności</w:t>
      </w:r>
      <w:r w:rsidR="00DD1DFA" w:rsidRPr="00DD1DFA">
        <w:rPr>
          <w:noProof/>
        </w:rPr>
        <w:t xml:space="preserve"> i</w:t>
      </w:r>
      <w:r w:rsidR="00DD1DFA">
        <w:rPr>
          <w:noProof/>
        </w:rPr>
        <w:t> </w:t>
      </w:r>
      <w:r w:rsidR="00DD1DFA" w:rsidRPr="00DD1DFA">
        <w:rPr>
          <w:noProof/>
        </w:rPr>
        <w:t>sta</w:t>
      </w:r>
      <w:r w:rsidR="00577C1C" w:rsidRPr="00DD1DFA">
        <w:rPr>
          <w:noProof/>
        </w:rPr>
        <w:t>łości wyników – mniej uciążliwe od badań metody oceny właściwości użytkowych wyrobów</w:t>
      </w:r>
      <w:r w:rsidR="00DD1DFA" w:rsidRPr="00DD1DFA">
        <w:rPr>
          <w:noProof/>
        </w:rPr>
        <w:t xml:space="preserve"> w</w:t>
      </w:r>
      <w:r w:rsidR="00DD1DFA">
        <w:rPr>
          <w:noProof/>
        </w:rPr>
        <w:t> </w:t>
      </w:r>
      <w:r w:rsidR="00DD1DFA" w:rsidRPr="00DD1DFA">
        <w:rPr>
          <w:noProof/>
        </w:rPr>
        <w:t>odn</w:t>
      </w:r>
      <w:r w:rsidR="00577C1C" w:rsidRPr="00DD1DFA">
        <w:rPr>
          <w:noProof/>
        </w:rPr>
        <w:t>iesieniu do ich zasadniczych charakterystyk, klas, wartości progowych lub wymogów dotyczących wyrobów.</w:t>
      </w:r>
    </w:p>
    <w:p w14:paraId="32AEE23C" w14:textId="52ED956D" w:rsidR="00577C1C" w:rsidRPr="00DD1DFA" w:rsidRDefault="005F7EFA" w:rsidP="005F7EFA">
      <w:pPr>
        <w:pStyle w:val="ManualNumPar1"/>
        <w:rPr>
          <w:noProof/>
        </w:rPr>
      </w:pPr>
      <w:r w:rsidRPr="005F7EFA">
        <w:t>3.</w:t>
      </w:r>
      <w:r w:rsidRPr="005F7EFA">
        <w:tab/>
      </w:r>
      <w:r w:rsidR="00577C1C" w:rsidRPr="00DD1DFA">
        <w:rPr>
          <w:noProof/>
        </w:rPr>
        <w:t>Normy dotyczące wyrobów budowlanych opracowane na podstawie art.</w:t>
      </w:r>
      <w:r w:rsidR="00DD1DFA" w:rsidRPr="00DD1DFA">
        <w:rPr>
          <w:noProof/>
        </w:rPr>
        <w:t> </w:t>
      </w:r>
      <w:r w:rsidR="00577C1C" w:rsidRPr="00DD1DFA">
        <w:rPr>
          <w:noProof/>
        </w:rPr>
        <w:t>5 ust.</w:t>
      </w:r>
      <w:r w:rsidR="00DD1DFA" w:rsidRPr="00DD1DFA">
        <w:rPr>
          <w:noProof/>
        </w:rPr>
        <w:t> </w:t>
      </w:r>
      <w:r w:rsidR="00577C1C" w:rsidRPr="00DD1DFA">
        <w:rPr>
          <w:noProof/>
        </w:rPr>
        <w:t>2 zdanie drugie lub art.</w:t>
      </w:r>
      <w:r w:rsidR="00DD1DFA" w:rsidRPr="00DD1DFA">
        <w:rPr>
          <w:noProof/>
        </w:rPr>
        <w:t> </w:t>
      </w:r>
      <w:r w:rsidR="00577C1C" w:rsidRPr="00DD1DFA">
        <w:rPr>
          <w:noProof/>
        </w:rPr>
        <w:t>22 ust.</w:t>
      </w:r>
      <w:r w:rsidR="00DD1DFA" w:rsidRPr="00DD1DFA">
        <w:rPr>
          <w:noProof/>
        </w:rPr>
        <w:t> </w:t>
      </w:r>
      <w:r w:rsidR="00577C1C" w:rsidRPr="00DD1DFA">
        <w:rPr>
          <w:noProof/>
        </w:rPr>
        <w:t>4 zdanie trzecie są dobrowolne. Wyroby spełniające dobrowolne normy przyjęte zgodnie</w:t>
      </w:r>
      <w:r w:rsidR="00DD1DFA" w:rsidRPr="00DD1DFA">
        <w:rPr>
          <w:noProof/>
        </w:rPr>
        <w:t xml:space="preserve"> z</w:t>
      </w:r>
      <w:r w:rsidR="00DD1DFA">
        <w:rPr>
          <w:noProof/>
        </w:rPr>
        <w:t> </w:t>
      </w:r>
      <w:r w:rsidR="00DD1DFA" w:rsidRPr="00DD1DFA">
        <w:rPr>
          <w:noProof/>
        </w:rPr>
        <w:t>art</w:t>
      </w:r>
      <w:r w:rsidR="00577C1C" w:rsidRPr="00DD1DFA">
        <w:rPr>
          <w:noProof/>
        </w:rPr>
        <w:t>.</w:t>
      </w:r>
      <w:r w:rsidR="00DD1DFA" w:rsidRPr="00DD1DFA">
        <w:rPr>
          <w:noProof/>
        </w:rPr>
        <w:t> </w:t>
      </w:r>
      <w:r w:rsidR="00577C1C" w:rsidRPr="00DD1DFA">
        <w:rPr>
          <w:noProof/>
        </w:rPr>
        <w:t>5 ust.</w:t>
      </w:r>
      <w:r w:rsidR="00DD1DFA" w:rsidRPr="00DD1DFA">
        <w:rPr>
          <w:noProof/>
        </w:rPr>
        <w:t> </w:t>
      </w:r>
      <w:r w:rsidR="00577C1C" w:rsidRPr="00DD1DFA">
        <w:rPr>
          <w:noProof/>
        </w:rPr>
        <w:t>2 lub ich części, do których odniesienia opublikowano</w:t>
      </w:r>
      <w:r w:rsidR="00DD1DFA" w:rsidRPr="00DD1DFA">
        <w:rPr>
          <w:noProof/>
        </w:rPr>
        <w:t xml:space="preserve"> w</w:t>
      </w:r>
      <w:r w:rsidR="00DD1DFA">
        <w:rPr>
          <w:noProof/>
        </w:rPr>
        <w:t> </w:t>
      </w:r>
      <w:r w:rsidR="00DD1DFA" w:rsidRPr="00DD1DFA">
        <w:rPr>
          <w:i/>
          <w:iCs/>
          <w:noProof/>
        </w:rPr>
        <w:t>Dzi</w:t>
      </w:r>
      <w:r w:rsidR="00577C1C" w:rsidRPr="00DD1DFA">
        <w:rPr>
          <w:i/>
          <w:iCs/>
          <w:noProof/>
        </w:rPr>
        <w:t>enniku Urzędowym Unii Europejskiej</w:t>
      </w:r>
      <w:r w:rsidR="00577C1C" w:rsidRPr="00DD1DFA">
        <w:rPr>
          <w:noProof/>
        </w:rPr>
        <w:t>, uważa się za spełniające wymagania podane</w:t>
      </w:r>
      <w:r w:rsidR="00DD1DFA" w:rsidRPr="00DD1DFA">
        <w:rPr>
          <w:noProof/>
        </w:rPr>
        <w:t xml:space="preserve"> w</w:t>
      </w:r>
      <w:r w:rsidR="00DD1DFA">
        <w:rPr>
          <w:noProof/>
        </w:rPr>
        <w:t> </w:t>
      </w:r>
      <w:r w:rsidR="00DD1DFA" w:rsidRPr="00DD1DFA">
        <w:rPr>
          <w:noProof/>
        </w:rPr>
        <w:t>zał</w:t>
      </w:r>
      <w:r w:rsidR="00577C1C" w:rsidRPr="00DD1DFA">
        <w:rPr>
          <w:noProof/>
        </w:rPr>
        <w:t>ączniku I część B i C, określone dla odpowiedniej rodziny lub kategorii wyrobów</w:t>
      </w:r>
      <w:r w:rsidR="00DD1DFA" w:rsidRPr="00DD1DFA">
        <w:rPr>
          <w:noProof/>
        </w:rPr>
        <w:t xml:space="preserve"> w</w:t>
      </w:r>
      <w:r w:rsidR="00DD1DFA">
        <w:rPr>
          <w:noProof/>
        </w:rPr>
        <w:t> </w:t>
      </w:r>
      <w:r w:rsidR="00DD1DFA" w:rsidRPr="00DD1DFA">
        <w:rPr>
          <w:noProof/>
        </w:rPr>
        <w:t>zha</w:t>
      </w:r>
      <w:r w:rsidR="00577C1C" w:rsidRPr="00DD1DFA">
        <w:rPr>
          <w:noProof/>
        </w:rPr>
        <w:t>rmonizowanych specyfikacjach technicznych przyjętych na podstawie art.</w:t>
      </w:r>
      <w:r w:rsidR="00DD1DFA" w:rsidRPr="00DD1DFA">
        <w:rPr>
          <w:noProof/>
        </w:rPr>
        <w:t> </w:t>
      </w:r>
      <w:r w:rsidR="00577C1C" w:rsidRPr="00DD1DFA">
        <w:rPr>
          <w:noProof/>
        </w:rPr>
        <w:t>5 ust.</w:t>
      </w:r>
      <w:r w:rsidR="00DD1DFA" w:rsidRPr="00DD1DFA">
        <w:rPr>
          <w:noProof/>
        </w:rPr>
        <w:t> </w:t>
      </w:r>
      <w:r w:rsidR="00577C1C" w:rsidRPr="00DD1DFA">
        <w:rPr>
          <w:noProof/>
        </w:rPr>
        <w:t>2 zdanie drugie,</w:t>
      </w:r>
      <w:r w:rsidR="00DD1DFA" w:rsidRPr="00DD1DFA">
        <w:rPr>
          <w:noProof/>
        </w:rPr>
        <w:t xml:space="preserve"> w</w:t>
      </w:r>
      <w:r w:rsidR="00DD1DFA">
        <w:rPr>
          <w:noProof/>
        </w:rPr>
        <w:t> </w:t>
      </w:r>
      <w:r w:rsidR="00DD1DFA" w:rsidRPr="00DD1DFA">
        <w:rPr>
          <w:noProof/>
        </w:rPr>
        <w:t>sto</w:t>
      </w:r>
      <w:r w:rsidR="00577C1C" w:rsidRPr="00DD1DFA">
        <w:rPr>
          <w:noProof/>
        </w:rPr>
        <w:t>pniu,</w:t>
      </w:r>
      <w:r w:rsidR="00DD1DFA" w:rsidRPr="00DD1DFA">
        <w:rPr>
          <w:noProof/>
        </w:rPr>
        <w:t xml:space="preserve"> w</w:t>
      </w:r>
      <w:r w:rsidR="00DD1DFA">
        <w:rPr>
          <w:noProof/>
        </w:rPr>
        <w:t> </w:t>
      </w:r>
      <w:r w:rsidR="00DD1DFA" w:rsidRPr="00DD1DFA">
        <w:rPr>
          <w:noProof/>
        </w:rPr>
        <w:t>jak</w:t>
      </w:r>
      <w:r w:rsidR="00577C1C" w:rsidRPr="00DD1DFA">
        <w:rPr>
          <w:noProof/>
        </w:rPr>
        <w:t>im wymagania te są objęte takimi normami</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jak</w:t>
      </w:r>
      <w:r w:rsidR="00577C1C" w:rsidRPr="00DD1DFA">
        <w:rPr>
          <w:noProof/>
        </w:rPr>
        <w:t>im ten zakres stosowania został dokładnie określony</w:t>
      </w:r>
      <w:r w:rsidR="00DD1DFA" w:rsidRPr="00DD1DFA">
        <w:rPr>
          <w:noProof/>
        </w:rPr>
        <w:t xml:space="preserve"> w</w:t>
      </w:r>
      <w:r w:rsidR="00DD1DFA">
        <w:rPr>
          <w:noProof/>
        </w:rPr>
        <w:t> </w:t>
      </w:r>
      <w:r w:rsidR="00DD1DFA" w:rsidRPr="00DD1DFA">
        <w:rPr>
          <w:noProof/>
        </w:rPr>
        <w:t>odp</w:t>
      </w:r>
      <w:r w:rsidR="00577C1C" w:rsidRPr="00DD1DFA">
        <w:rPr>
          <w:noProof/>
        </w:rPr>
        <w:t>owiedniej normie zharmonizowanej. Zakłada się, że producenci przestrzegający dobrowolnych norm przyjętych na podstawie art.</w:t>
      </w:r>
      <w:r w:rsidR="00DD1DFA" w:rsidRPr="00DD1DFA">
        <w:rPr>
          <w:noProof/>
        </w:rPr>
        <w:t> </w:t>
      </w:r>
      <w:r w:rsidR="00577C1C" w:rsidRPr="00DD1DFA">
        <w:rPr>
          <w:noProof/>
        </w:rPr>
        <w:t>22 ust.</w:t>
      </w:r>
      <w:r w:rsidR="00DD1DFA" w:rsidRPr="00DD1DFA">
        <w:rPr>
          <w:noProof/>
        </w:rPr>
        <w:t> </w:t>
      </w:r>
      <w:r w:rsidR="00577C1C" w:rsidRPr="00DD1DFA">
        <w:rPr>
          <w:noProof/>
        </w:rPr>
        <w:t>2 lub ich części, do których odniesienia opublikowano</w:t>
      </w:r>
      <w:r w:rsidR="00DD1DFA" w:rsidRPr="00DD1DFA">
        <w:rPr>
          <w:noProof/>
        </w:rPr>
        <w:t xml:space="preserve"> w</w:t>
      </w:r>
      <w:r w:rsidR="00DD1DFA">
        <w:rPr>
          <w:noProof/>
        </w:rPr>
        <w:t> </w:t>
      </w:r>
      <w:r w:rsidR="00DD1DFA" w:rsidRPr="00DD1DFA">
        <w:rPr>
          <w:i/>
          <w:iCs/>
          <w:noProof/>
        </w:rPr>
        <w:t>Dzi</w:t>
      </w:r>
      <w:r w:rsidR="00577C1C" w:rsidRPr="00DD1DFA">
        <w:rPr>
          <w:i/>
          <w:iCs/>
          <w:noProof/>
        </w:rPr>
        <w:t>enniku Urzędowym Unii Europejskiej</w:t>
      </w:r>
      <w:r w:rsidR="00577C1C" w:rsidRPr="00DD1DFA">
        <w:rPr>
          <w:noProof/>
        </w:rPr>
        <w:t>, spełniają obowiązki określone</w:t>
      </w:r>
      <w:r w:rsidR="00DD1DFA" w:rsidRPr="00DD1DFA">
        <w:rPr>
          <w:noProof/>
        </w:rPr>
        <w:t xml:space="preserve"> w</w:t>
      </w:r>
      <w:r w:rsidR="00DD1DFA">
        <w:rPr>
          <w:noProof/>
        </w:rPr>
        <w:t> </w:t>
      </w:r>
      <w:r w:rsidR="00DD1DFA" w:rsidRPr="00DD1DFA">
        <w:rPr>
          <w:noProof/>
        </w:rPr>
        <w:t>art</w:t>
      </w:r>
      <w:r w:rsidR="00577C1C" w:rsidRPr="00DD1DFA">
        <w:rPr>
          <w:noProof/>
        </w:rPr>
        <w:t>.</w:t>
      </w:r>
      <w:r w:rsidR="00DD1DFA" w:rsidRPr="00DD1DFA">
        <w:rPr>
          <w:noProof/>
        </w:rPr>
        <w:t> </w:t>
      </w:r>
      <w:r w:rsidR="00577C1C" w:rsidRPr="00DD1DFA">
        <w:rPr>
          <w:noProof/>
        </w:rPr>
        <w:t>22 ust.</w:t>
      </w:r>
      <w:r w:rsidR="00DD1DFA" w:rsidRPr="00DD1DFA">
        <w:rPr>
          <w:noProof/>
        </w:rPr>
        <w:t> </w:t>
      </w:r>
      <w:r w:rsidR="00577C1C" w:rsidRPr="00DD1DFA">
        <w:rPr>
          <w:noProof/>
        </w:rPr>
        <w:t>2</w:t>
      </w:r>
      <w:r w:rsidR="00DD1DFA" w:rsidRPr="00DD1DFA">
        <w:rPr>
          <w:noProof/>
        </w:rPr>
        <w:t xml:space="preserve"> w</w:t>
      </w:r>
      <w:r w:rsidR="00DD1DFA">
        <w:rPr>
          <w:noProof/>
        </w:rPr>
        <w:t> </w:t>
      </w:r>
      <w:r w:rsidR="00DD1DFA" w:rsidRPr="00DD1DFA">
        <w:rPr>
          <w:noProof/>
        </w:rPr>
        <w:t>sto</w:t>
      </w:r>
      <w:r w:rsidR="00577C1C" w:rsidRPr="00DD1DFA">
        <w:rPr>
          <w:noProof/>
        </w:rPr>
        <w:t>pniu,</w:t>
      </w:r>
      <w:r w:rsidR="00DD1DFA" w:rsidRPr="00DD1DFA">
        <w:rPr>
          <w:noProof/>
        </w:rPr>
        <w:t xml:space="preserve"> w</w:t>
      </w:r>
      <w:r w:rsidR="00DD1DFA">
        <w:rPr>
          <w:noProof/>
        </w:rPr>
        <w:t> </w:t>
      </w:r>
      <w:r w:rsidR="00DD1DFA" w:rsidRPr="00DD1DFA">
        <w:rPr>
          <w:noProof/>
        </w:rPr>
        <w:t>jak</w:t>
      </w:r>
      <w:r w:rsidR="00577C1C" w:rsidRPr="00DD1DFA">
        <w:rPr>
          <w:noProof/>
        </w:rPr>
        <w:t>im obowiązki te są objęte takimi normami</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jak</w:t>
      </w:r>
      <w:r w:rsidR="00577C1C" w:rsidRPr="00DD1DFA">
        <w:rPr>
          <w:noProof/>
        </w:rPr>
        <w:t>im ten zakres stosowania został dokładnie określony</w:t>
      </w:r>
      <w:r w:rsidR="00DD1DFA" w:rsidRPr="00DD1DFA">
        <w:rPr>
          <w:noProof/>
        </w:rPr>
        <w:t xml:space="preserve"> w</w:t>
      </w:r>
      <w:r w:rsidR="00DD1DFA">
        <w:rPr>
          <w:noProof/>
        </w:rPr>
        <w:t> </w:t>
      </w:r>
      <w:r w:rsidR="00DD1DFA" w:rsidRPr="00DD1DFA">
        <w:rPr>
          <w:noProof/>
        </w:rPr>
        <w:t>odp</w:t>
      </w:r>
      <w:r w:rsidR="00577C1C" w:rsidRPr="00DD1DFA">
        <w:rPr>
          <w:noProof/>
        </w:rPr>
        <w:t>owiedniej normie.</w:t>
      </w:r>
    </w:p>
    <w:p w14:paraId="7A29DBAE" w14:textId="2C945E2C" w:rsidR="00577C1C" w:rsidRPr="00DD1DFA" w:rsidRDefault="005F7EFA" w:rsidP="005F7EFA">
      <w:pPr>
        <w:pStyle w:val="ManualNumPar1"/>
        <w:rPr>
          <w:noProof/>
        </w:rPr>
      </w:pPr>
      <w:r w:rsidRPr="005F7EFA">
        <w:t>4.</w:t>
      </w:r>
      <w:r w:rsidRPr="005F7EFA">
        <w:tab/>
      </w:r>
      <w:r w:rsidR="00577C1C" w:rsidRPr="00DD1DFA">
        <w:rPr>
          <w:noProof/>
        </w:rPr>
        <w:t>Komisja ocenia zgodność norm dotyczących wyrobów budowlanych ustanowionych przez europejskie organizacje normalizacyjne</w:t>
      </w:r>
      <w:r w:rsidR="00DD1DFA" w:rsidRPr="00DD1DFA">
        <w:rPr>
          <w:noProof/>
        </w:rPr>
        <w:t xml:space="preserve"> z</w:t>
      </w:r>
      <w:r w:rsidR="00DD1DFA">
        <w:rPr>
          <w:noProof/>
        </w:rPr>
        <w:t> </w:t>
      </w:r>
      <w:r w:rsidR="00DD1DFA" w:rsidRPr="00DD1DFA">
        <w:rPr>
          <w:noProof/>
        </w:rPr>
        <w:t>odp</w:t>
      </w:r>
      <w:r w:rsidR="00577C1C" w:rsidRPr="00DD1DFA">
        <w:rPr>
          <w:noProof/>
        </w:rPr>
        <w:t>owiednimi zleceniami normalizacji, niniejszym rozporządzeniem</w:t>
      </w:r>
      <w:r w:rsidR="00DD1DFA" w:rsidRPr="00DD1DFA">
        <w:rPr>
          <w:noProof/>
        </w:rPr>
        <w:t xml:space="preserve"> i</w:t>
      </w:r>
      <w:r w:rsidR="00DD1DFA">
        <w:rPr>
          <w:noProof/>
        </w:rPr>
        <w:t> </w:t>
      </w:r>
      <w:r w:rsidR="00DD1DFA" w:rsidRPr="00DD1DFA">
        <w:rPr>
          <w:noProof/>
        </w:rPr>
        <w:t>inn</w:t>
      </w:r>
      <w:r w:rsidR="00577C1C" w:rsidRPr="00DD1DFA">
        <w:rPr>
          <w:noProof/>
        </w:rPr>
        <w:t>ymi przepisami prawa Unii. Komisja publikuje lub publikuje</w:t>
      </w:r>
      <w:r w:rsidR="00DD1DFA" w:rsidRPr="00DD1DFA">
        <w:rPr>
          <w:noProof/>
        </w:rPr>
        <w:t xml:space="preserve"> z</w:t>
      </w:r>
      <w:r w:rsidR="00DD1DFA">
        <w:rPr>
          <w:noProof/>
        </w:rPr>
        <w:t> </w:t>
      </w:r>
      <w:r w:rsidR="00DD1DFA" w:rsidRPr="00DD1DFA">
        <w:rPr>
          <w:noProof/>
        </w:rPr>
        <w:t>zas</w:t>
      </w:r>
      <w:r w:rsidR="00577C1C" w:rsidRPr="00DD1DFA">
        <w:rPr>
          <w:noProof/>
        </w:rPr>
        <w:t>trzeżeniami</w:t>
      </w:r>
      <w:r w:rsidR="00DD1DFA" w:rsidRPr="00DD1DFA">
        <w:rPr>
          <w:noProof/>
        </w:rPr>
        <w:t xml:space="preserve"> w</w:t>
      </w:r>
      <w:r w:rsidR="00DD1DFA">
        <w:rPr>
          <w:noProof/>
        </w:rPr>
        <w:t> </w:t>
      </w:r>
      <w:r w:rsidR="00DD1DFA" w:rsidRPr="00DD1DFA">
        <w:rPr>
          <w:i/>
          <w:iCs/>
          <w:noProof/>
        </w:rPr>
        <w:t>Dzi</w:t>
      </w:r>
      <w:r w:rsidR="00577C1C" w:rsidRPr="00DD1DFA">
        <w:rPr>
          <w:i/>
          <w:iCs/>
          <w:noProof/>
        </w:rPr>
        <w:t>enniku Urzędowym Unii Europejskiej</w:t>
      </w:r>
      <w:r w:rsidR="00577C1C" w:rsidRPr="00DD1DFA">
        <w:rPr>
          <w:noProof/>
        </w:rPr>
        <w:t xml:space="preserve"> wykaz odniesień do przyjętych norm dotyczących zgodnych wyrobów budowlanych, które zostały udostępnione po przystępnej cenie</w:t>
      </w:r>
      <w:r w:rsidR="00DD1DFA" w:rsidRPr="00DD1DFA">
        <w:rPr>
          <w:noProof/>
        </w:rPr>
        <w:t>. W</w:t>
      </w:r>
      <w:r w:rsidR="00DD1DFA">
        <w:rPr>
          <w:noProof/>
        </w:rPr>
        <w:t> </w:t>
      </w:r>
      <w:r w:rsidR="00DD1DFA" w:rsidRPr="00DD1DFA">
        <w:rPr>
          <w:noProof/>
        </w:rPr>
        <w:t>prz</w:t>
      </w:r>
      <w:r w:rsidR="00577C1C" w:rsidRPr="00DD1DFA">
        <w:rPr>
          <w:noProof/>
        </w:rPr>
        <w:t>ypadku gdy odniesienia do normy nie można opublikować</w:t>
      </w:r>
      <w:r w:rsidR="00DD1DFA" w:rsidRPr="00DD1DFA">
        <w:rPr>
          <w:noProof/>
        </w:rPr>
        <w:t xml:space="preserve"> w</w:t>
      </w:r>
      <w:r w:rsidR="00DD1DFA">
        <w:rPr>
          <w:noProof/>
        </w:rPr>
        <w:t> </w:t>
      </w:r>
      <w:r w:rsidR="00DD1DFA" w:rsidRPr="00DD1DFA">
        <w:rPr>
          <w:noProof/>
        </w:rPr>
        <w:t>inn</w:t>
      </w:r>
      <w:r w:rsidR="00577C1C" w:rsidRPr="00DD1DFA">
        <w:rPr>
          <w:noProof/>
        </w:rPr>
        <w:t>y sposób</w:t>
      </w:r>
      <w:r w:rsidR="00DD1DFA" w:rsidRPr="00DD1DFA">
        <w:rPr>
          <w:noProof/>
        </w:rPr>
        <w:t xml:space="preserve"> w</w:t>
      </w:r>
      <w:r w:rsidR="00DD1DFA">
        <w:rPr>
          <w:noProof/>
        </w:rPr>
        <w:t> </w:t>
      </w:r>
      <w:r w:rsidR="00DD1DFA" w:rsidRPr="00DD1DFA">
        <w:rPr>
          <w:noProof/>
        </w:rPr>
        <w:t>Dzi</w:t>
      </w:r>
      <w:r w:rsidR="00577C1C" w:rsidRPr="00DD1DFA">
        <w:rPr>
          <w:noProof/>
        </w:rPr>
        <w:t>enniku Urzędowym, Komisja jest uprawniona do uzupełnienia niniejszego rozporządzenia aktami delegowanymi przyjętymi na podstawie art.</w:t>
      </w:r>
      <w:r w:rsidR="00DD1DFA" w:rsidRPr="00DD1DFA">
        <w:rPr>
          <w:noProof/>
        </w:rPr>
        <w:t> </w:t>
      </w:r>
      <w:r w:rsidR="00577C1C" w:rsidRPr="00DD1DFA">
        <w:rPr>
          <w:noProof/>
        </w:rPr>
        <w:t>86</w:t>
      </w:r>
      <w:r w:rsidR="00DD1DFA" w:rsidRPr="00DD1DFA">
        <w:rPr>
          <w:noProof/>
        </w:rPr>
        <w:t xml:space="preserve"> w</w:t>
      </w:r>
      <w:r w:rsidR="00DD1DFA">
        <w:rPr>
          <w:noProof/>
        </w:rPr>
        <w:t> </w:t>
      </w:r>
      <w:r w:rsidR="00DD1DFA" w:rsidRPr="00DD1DFA">
        <w:rPr>
          <w:noProof/>
        </w:rPr>
        <w:t>cel</w:t>
      </w:r>
      <w:r w:rsidR="00577C1C" w:rsidRPr="00DD1DFA">
        <w:rPr>
          <w:noProof/>
        </w:rPr>
        <w:t>u zmiany odpowiednich norm do celów wywołania skutków prawnych na podstawie niniejszego rozporządzenia.</w:t>
      </w:r>
    </w:p>
    <w:p w14:paraId="32DD91C8" w14:textId="77777777" w:rsidR="00BC1E12" w:rsidRPr="00DD1DFA" w:rsidRDefault="00BC1E12" w:rsidP="00BC1E12">
      <w:pPr>
        <w:shd w:val="clear" w:color="auto" w:fill="FFFFFF"/>
        <w:spacing w:before="360" w:line="312" w:lineRule="atLeast"/>
        <w:jc w:val="center"/>
        <w:rPr>
          <w:rFonts w:eastAsia="Times New Roman"/>
          <w:i/>
          <w:iCs/>
          <w:noProof/>
          <w:szCs w:val="24"/>
        </w:rPr>
      </w:pPr>
      <w:r w:rsidRPr="00DD1DFA">
        <w:rPr>
          <w:i/>
          <w:iCs/>
          <w:noProof/>
          <w:szCs w:val="24"/>
        </w:rPr>
        <w:t>Artykuł 35</w:t>
      </w:r>
    </w:p>
    <w:p w14:paraId="792E6AF6" w14:textId="77777777" w:rsidR="00BC1E12" w:rsidRPr="00DD1DFA" w:rsidRDefault="00E50122" w:rsidP="00BC1E12">
      <w:pPr>
        <w:shd w:val="clear" w:color="auto" w:fill="FFFFFF"/>
        <w:spacing w:before="60" w:line="312" w:lineRule="atLeast"/>
        <w:jc w:val="center"/>
        <w:rPr>
          <w:rFonts w:eastAsia="Times New Roman"/>
          <w:b/>
          <w:bCs/>
          <w:i/>
          <w:noProof/>
          <w:szCs w:val="24"/>
        </w:rPr>
      </w:pPr>
      <w:r w:rsidRPr="00DD1DFA">
        <w:rPr>
          <w:b/>
          <w:bCs/>
          <w:i/>
          <w:noProof/>
          <w:szCs w:val="24"/>
        </w:rPr>
        <w:t>Europejski dokument oceny</w:t>
      </w:r>
    </w:p>
    <w:p w14:paraId="04CA603F" w14:textId="35417E3B" w:rsidR="008F3D39" w:rsidRPr="00DD1DFA" w:rsidRDefault="005F7EFA" w:rsidP="005F7EFA">
      <w:pPr>
        <w:pStyle w:val="ManualNumPar1"/>
        <w:rPr>
          <w:noProof/>
          <w:szCs w:val="24"/>
        </w:rPr>
      </w:pPr>
      <w:r w:rsidRPr="005F7EFA">
        <w:t>1.</w:t>
      </w:r>
      <w:r w:rsidRPr="005F7EFA">
        <w:tab/>
      </w:r>
      <w:r w:rsidR="008F3D39" w:rsidRPr="00DD1DFA">
        <w:rPr>
          <w:noProof/>
        </w:rPr>
        <w:t>Art. 4 ust.</w:t>
      </w:r>
      <w:r w:rsidR="00DD1DFA" w:rsidRPr="00DD1DFA">
        <w:rPr>
          <w:noProof/>
        </w:rPr>
        <w:t> </w:t>
      </w:r>
      <w:r w:rsidR="008F3D39" w:rsidRPr="00DD1DFA">
        <w:rPr>
          <w:noProof/>
        </w:rPr>
        <w:t>1</w:t>
      </w:r>
      <w:r w:rsidR="00DD1DFA" w:rsidRPr="00DD1DFA">
        <w:rPr>
          <w:noProof/>
        </w:rPr>
        <w:t xml:space="preserve"> i</w:t>
      </w:r>
      <w:r w:rsidR="00DD1DFA">
        <w:rPr>
          <w:noProof/>
        </w:rPr>
        <w:t> </w:t>
      </w:r>
      <w:r w:rsidR="00DD1DFA" w:rsidRPr="00DD1DFA">
        <w:rPr>
          <w:noProof/>
        </w:rPr>
        <w:t>4</w:t>
      </w:r>
      <w:r w:rsidR="008F3D39" w:rsidRPr="00DD1DFA">
        <w:rPr>
          <w:noProof/>
        </w:rPr>
        <w:t>, art.</w:t>
      </w:r>
      <w:r w:rsidR="00DD1DFA" w:rsidRPr="00DD1DFA">
        <w:rPr>
          <w:noProof/>
        </w:rPr>
        <w:t> </w:t>
      </w:r>
      <w:r w:rsidR="008F3D39" w:rsidRPr="00DD1DFA">
        <w:rPr>
          <w:noProof/>
        </w:rPr>
        <w:t>6, art.</w:t>
      </w:r>
      <w:r w:rsidR="00DD1DFA" w:rsidRPr="00DD1DFA">
        <w:rPr>
          <w:noProof/>
        </w:rPr>
        <w:t> </w:t>
      </w:r>
      <w:r w:rsidR="008F3D39" w:rsidRPr="00DD1DFA">
        <w:rPr>
          <w:noProof/>
        </w:rPr>
        <w:t>9 oraz art.</w:t>
      </w:r>
      <w:r w:rsidR="00DD1DFA" w:rsidRPr="00DD1DFA">
        <w:rPr>
          <w:noProof/>
        </w:rPr>
        <w:t> </w:t>
      </w:r>
      <w:r w:rsidR="008F3D39" w:rsidRPr="00DD1DFA">
        <w:rPr>
          <w:noProof/>
        </w:rPr>
        <w:t>11–17 stosuje się do europejskich dokumentów oceny</w:t>
      </w:r>
      <w:r w:rsidR="00DD1DFA" w:rsidRPr="00DD1DFA">
        <w:rPr>
          <w:noProof/>
        </w:rPr>
        <w:t>. W</w:t>
      </w:r>
      <w:r w:rsidR="00DD1DFA">
        <w:rPr>
          <w:noProof/>
        </w:rPr>
        <w:t> </w:t>
      </w:r>
      <w:r w:rsidR="00DD1DFA" w:rsidRPr="00DD1DFA">
        <w:rPr>
          <w:noProof/>
        </w:rPr>
        <w:t>prz</w:t>
      </w:r>
      <w:r w:rsidR="008F3D39" w:rsidRPr="00DD1DFA">
        <w:rPr>
          <w:noProof/>
        </w:rPr>
        <w:t>ypadku nadania oznakowania CE na podstawie europejskiego dokumentu oceny</w:t>
      </w:r>
      <w:r w:rsidR="00DD1DFA" w:rsidRPr="00DD1DFA">
        <w:rPr>
          <w:noProof/>
        </w:rPr>
        <w:t xml:space="preserve"> i</w:t>
      </w:r>
      <w:r w:rsidR="00DD1DFA">
        <w:rPr>
          <w:noProof/>
        </w:rPr>
        <w:t> </w:t>
      </w:r>
      <w:r w:rsidR="00DD1DFA" w:rsidRPr="00DD1DFA">
        <w:rPr>
          <w:noProof/>
        </w:rPr>
        <w:t>eur</w:t>
      </w:r>
      <w:r w:rsidR="008F3D39" w:rsidRPr="00DD1DFA">
        <w:rPr>
          <w:noProof/>
        </w:rPr>
        <w:t>opejskiej oceny technicznej,</w:t>
      </w:r>
      <w:r w:rsidR="00DD1DFA" w:rsidRPr="00DD1DFA">
        <w:rPr>
          <w:noProof/>
        </w:rPr>
        <w:t xml:space="preserve"> w</w:t>
      </w:r>
      <w:r w:rsidR="00DD1DFA">
        <w:rPr>
          <w:noProof/>
        </w:rPr>
        <w:t> </w:t>
      </w:r>
      <w:r w:rsidR="00DD1DFA" w:rsidRPr="00DD1DFA">
        <w:rPr>
          <w:noProof/>
        </w:rPr>
        <w:t>dek</w:t>
      </w:r>
      <w:r w:rsidR="008F3D39" w:rsidRPr="00DD1DFA">
        <w:rPr>
          <w:noProof/>
        </w:rPr>
        <w:t>laracji właściwości użytkowych</w:t>
      </w:r>
      <w:r w:rsidR="00DD1DFA" w:rsidRPr="00DD1DFA">
        <w:rPr>
          <w:noProof/>
        </w:rPr>
        <w:t xml:space="preserve"> i</w:t>
      </w:r>
      <w:r w:rsidR="00DD1DFA">
        <w:rPr>
          <w:noProof/>
        </w:rPr>
        <w:t> </w:t>
      </w:r>
      <w:r w:rsidR="00DD1DFA" w:rsidRPr="00DD1DFA">
        <w:rPr>
          <w:noProof/>
        </w:rPr>
        <w:t>dek</w:t>
      </w:r>
      <w:r w:rsidR="008F3D39" w:rsidRPr="00DD1DFA">
        <w:rPr>
          <w:noProof/>
        </w:rPr>
        <w:t>laracji zgodności powołuje się na europejski dokument oceny.</w:t>
      </w:r>
    </w:p>
    <w:p w14:paraId="62DB148C" w14:textId="6328F4BA" w:rsidR="008F3D39" w:rsidRPr="00DD1DFA" w:rsidRDefault="005F7EFA" w:rsidP="005F7EFA">
      <w:pPr>
        <w:pStyle w:val="ManualNumPar1"/>
        <w:rPr>
          <w:rFonts w:eastAsia="Times New Roman"/>
          <w:noProof/>
          <w:szCs w:val="24"/>
        </w:rPr>
      </w:pPr>
      <w:r w:rsidRPr="005F7EFA">
        <w:t>2.</w:t>
      </w:r>
      <w:r w:rsidRPr="005F7EFA">
        <w:tab/>
      </w:r>
      <w:r w:rsidR="008F3D39" w:rsidRPr="00DD1DFA">
        <w:rPr>
          <w:noProof/>
        </w:rPr>
        <w:t>W odpowiedzi na wniosek</w:t>
      </w:r>
      <w:r w:rsidR="00DD1DFA" w:rsidRPr="00DD1DFA">
        <w:rPr>
          <w:noProof/>
        </w:rPr>
        <w:t xml:space="preserve"> o</w:t>
      </w:r>
      <w:r w:rsidR="00DD1DFA">
        <w:rPr>
          <w:noProof/>
        </w:rPr>
        <w:t> </w:t>
      </w:r>
      <w:r w:rsidR="00DD1DFA" w:rsidRPr="00DD1DFA">
        <w:rPr>
          <w:noProof/>
        </w:rPr>
        <w:t>wyd</w:t>
      </w:r>
      <w:r w:rsidR="008F3D39" w:rsidRPr="00DD1DFA">
        <w:rPr>
          <w:noProof/>
        </w:rPr>
        <w:t>anie europejskiej oceny technicznej, złożony przez producenta lub grupę producentów, lub</w:t>
      </w:r>
      <w:r w:rsidR="00DD1DFA" w:rsidRPr="00DD1DFA">
        <w:rPr>
          <w:noProof/>
        </w:rPr>
        <w:t xml:space="preserve"> z</w:t>
      </w:r>
      <w:r w:rsidR="00DD1DFA">
        <w:rPr>
          <w:noProof/>
        </w:rPr>
        <w:t> </w:t>
      </w:r>
      <w:r w:rsidR="00DD1DFA" w:rsidRPr="00DD1DFA">
        <w:rPr>
          <w:noProof/>
        </w:rPr>
        <w:t>ini</w:t>
      </w:r>
      <w:r w:rsidR="008F3D39" w:rsidRPr="00DD1DFA">
        <w:rPr>
          <w:noProof/>
        </w:rPr>
        <w:t>cjatywy Komisji, organizacja jednostek ds. oceny technicznej („JOT”)</w:t>
      </w:r>
      <w:r w:rsidR="00DD1DFA" w:rsidRPr="00DD1DFA">
        <w:rPr>
          <w:noProof/>
        </w:rPr>
        <w:t xml:space="preserve"> w</w:t>
      </w:r>
      <w:r w:rsidR="00DD1DFA">
        <w:rPr>
          <w:noProof/>
        </w:rPr>
        <w:t> </w:t>
      </w:r>
      <w:r w:rsidR="00DD1DFA" w:rsidRPr="00DD1DFA">
        <w:rPr>
          <w:noProof/>
        </w:rPr>
        <w:t>por</w:t>
      </w:r>
      <w:r w:rsidR="008F3D39" w:rsidRPr="00DD1DFA">
        <w:rPr>
          <w:noProof/>
        </w:rPr>
        <w:t>ozumieniu</w:t>
      </w:r>
      <w:r w:rsidR="00DD1DFA" w:rsidRPr="00DD1DFA">
        <w:rPr>
          <w:noProof/>
        </w:rPr>
        <w:t xml:space="preserve"> z</w:t>
      </w:r>
      <w:r w:rsidR="00DD1DFA">
        <w:rPr>
          <w:noProof/>
        </w:rPr>
        <w:t> </w:t>
      </w:r>
      <w:r w:rsidR="00DD1DFA" w:rsidRPr="00DD1DFA">
        <w:rPr>
          <w:noProof/>
        </w:rPr>
        <w:t>Kom</w:t>
      </w:r>
      <w:r w:rsidR="008F3D39" w:rsidRPr="00DD1DFA">
        <w:rPr>
          <w:noProof/>
        </w:rPr>
        <w:t>isją może sporządzić</w:t>
      </w:r>
      <w:r w:rsidR="00DD1DFA" w:rsidRPr="00DD1DFA">
        <w:rPr>
          <w:noProof/>
        </w:rPr>
        <w:t xml:space="preserve"> i</w:t>
      </w:r>
      <w:r w:rsidR="00DD1DFA">
        <w:rPr>
          <w:noProof/>
        </w:rPr>
        <w:t> </w:t>
      </w:r>
      <w:r w:rsidR="00DD1DFA" w:rsidRPr="00DD1DFA">
        <w:rPr>
          <w:noProof/>
        </w:rPr>
        <w:t>prz</w:t>
      </w:r>
      <w:r w:rsidR="008F3D39" w:rsidRPr="00DD1DFA">
        <w:rPr>
          <w:noProof/>
        </w:rPr>
        <w:t>yjąć europejski dokument oceny dla każdego wyrobu nieobjętego:</w:t>
      </w:r>
    </w:p>
    <w:p w14:paraId="09B01987" w14:textId="62377462" w:rsidR="008F3D39" w:rsidRPr="00DD1DFA" w:rsidRDefault="005A4BBC" w:rsidP="005A4BBC">
      <w:pPr>
        <w:pStyle w:val="Point1"/>
        <w:rPr>
          <w:noProof/>
        </w:rPr>
      </w:pPr>
      <w:r w:rsidRPr="005A4BBC">
        <w:rPr>
          <w:noProof/>
        </w:rPr>
        <w:t>a)</w:t>
      </w:r>
      <w:r w:rsidRPr="005A4BBC">
        <w:rPr>
          <w:noProof/>
        </w:rPr>
        <w:tab/>
      </w:r>
      <w:r w:rsidR="008F3D39" w:rsidRPr="00DD1DFA">
        <w:rPr>
          <w:noProof/>
        </w:rPr>
        <w:t>zharmonizowaną specyfikacją techniczną;</w:t>
      </w:r>
    </w:p>
    <w:p w14:paraId="43CFFB47" w14:textId="033DCF59" w:rsidR="008F3D39" w:rsidRPr="00DD1DFA" w:rsidRDefault="005A4BBC" w:rsidP="005A4BBC">
      <w:pPr>
        <w:pStyle w:val="Point1"/>
        <w:rPr>
          <w:noProof/>
        </w:rPr>
      </w:pPr>
      <w:r w:rsidRPr="005A4BBC">
        <w:rPr>
          <w:noProof/>
        </w:rPr>
        <w:t>b)</w:t>
      </w:r>
      <w:r w:rsidRPr="005A4BBC">
        <w:rPr>
          <w:noProof/>
        </w:rPr>
        <w:tab/>
      </w:r>
      <w:r w:rsidR="008F3D39" w:rsidRPr="00DD1DFA">
        <w:rPr>
          <w:noProof/>
        </w:rPr>
        <w:t>zharmonizowaną specyfikacją techniczną, która ma zostać przyjęta</w:t>
      </w:r>
      <w:r w:rsidR="00DD1DFA" w:rsidRPr="00DD1DFA">
        <w:rPr>
          <w:noProof/>
        </w:rPr>
        <w:t xml:space="preserve"> w</w:t>
      </w:r>
      <w:r w:rsidR="00DD1DFA">
        <w:rPr>
          <w:noProof/>
        </w:rPr>
        <w:t> </w:t>
      </w:r>
      <w:r w:rsidR="00DD1DFA" w:rsidRPr="00DD1DFA">
        <w:rPr>
          <w:noProof/>
        </w:rPr>
        <w:t>cią</w:t>
      </w:r>
      <w:r w:rsidR="008F3D39" w:rsidRPr="00DD1DFA">
        <w:rPr>
          <w:noProof/>
        </w:rPr>
        <w:t>gu najbliższych dwóch lat od daty weryfikacji przez Komisję;</w:t>
      </w:r>
    </w:p>
    <w:p w14:paraId="1CE7A537" w14:textId="44B77ABE" w:rsidR="008F3D39" w:rsidRPr="00DD1DFA" w:rsidRDefault="005A4BBC" w:rsidP="005A4BBC">
      <w:pPr>
        <w:pStyle w:val="Point1"/>
        <w:rPr>
          <w:noProof/>
        </w:rPr>
      </w:pPr>
      <w:r w:rsidRPr="005A4BBC">
        <w:rPr>
          <w:noProof/>
        </w:rPr>
        <w:t>c)</w:t>
      </w:r>
      <w:r w:rsidRPr="005A4BBC">
        <w:rPr>
          <w:noProof/>
        </w:rPr>
        <w:tab/>
      </w:r>
      <w:r w:rsidR="008F3D39" w:rsidRPr="00DD1DFA">
        <w:rPr>
          <w:noProof/>
        </w:rPr>
        <w:t>innym europejskim dokumentem oceny, przywołanym już</w:t>
      </w:r>
      <w:r w:rsidR="00DD1DFA" w:rsidRPr="00DD1DFA">
        <w:rPr>
          <w:noProof/>
        </w:rPr>
        <w:t xml:space="preserve"> w</w:t>
      </w:r>
      <w:r w:rsidR="00DD1DFA">
        <w:rPr>
          <w:noProof/>
        </w:rPr>
        <w:t> </w:t>
      </w:r>
      <w:r w:rsidR="00DD1DFA" w:rsidRPr="00DD1DFA">
        <w:rPr>
          <w:noProof/>
        </w:rPr>
        <w:t>Dzi</w:t>
      </w:r>
      <w:r w:rsidR="008F3D39" w:rsidRPr="00DD1DFA">
        <w:rPr>
          <w:noProof/>
        </w:rPr>
        <w:t>enniku Urzędowym lub przedłożonym Komisji do przywołania</w:t>
      </w:r>
      <w:r w:rsidR="00DD1DFA" w:rsidRPr="00DD1DFA">
        <w:rPr>
          <w:noProof/>
        </w:rPr>
        <w:t xml:space="preserve"> w</w:t>
      </w:r>
      <w:r w:rsidR="00DD1DFA">
        <w:rPr>
          <w:noProof/>
        </w:rPr>
        <w:t> </w:t>
      </w:r>
      <w:r w:rsidR="00DD1DFA" w:rsidRPr="00DD1DFA">
        <w:rPr>
          <w:noProof/>
        </w:rPr>
        <w:t>tym</w:t>
      </w:r>
      <w:r w:rsidR="008F3D39" w:rsidRPr="00DD1DFA">
        <w:rPr>
          <w:noProof/>
        </w:rPr>
        <w:t xml:space="preserve"> dokumencie.</w:t>
      </w:r>
    </w:p>
    <w:p w14:paraId="7DBA0153" w14:textId="77777777" w:rsidR="008F3D39" w:rsidRPr="00DD1DFA" w:rsidRDefault="008F3D39" w:rsidP="00CD54D6">
      <w:pPr>
        <w:pStyle w:val="Text1"/>
        <w:rPr>
          <w:noProof/>
        </w:rPr>
      </w:pPr>
      <w:r w:rsidRPr="00DD1DFA">
        <w:rPr>
          <w:noProof/>
        </w:rPr>
        <w:t>Wyrobu nie uważa się za objętego zharmonizowaną specyfikacją techniczną, jeżeli:</w:t>
      </w:r>
    </w:p>
    <w:p w14:paraId="63D1BEE4" w14:textId="233C80E1" w:rsidR="008F3D39" w:rsidRPr="00DD1DFA" w:rsidRDefault="005F7EFA" w:rsidP="005F7EFA">
      <w:pPr>
        <w:pStyle w:val="Point1"/>
        <w:rPr>
          <w:noProof/>
        </w:rPr>
      </w:pPr>
      <w:r w:rsidRPr="005F7EFA">
        <w:t>(i)</w:t>
      </w:r>
      <w:r w:rsidRPr="005F7EFA">
        <w:tab/>
      </w:r>
      <w:r w:rsidR="008F3D39" w:rsidRPr="00DD1DFA">
        <w:rPr>
          <w:noProof/>
        </w:rPr>
        <w:t>zamierzone zastosowanie wyrobu jest inne niż zamierzone zastosowanie przewidziane</w:t>
      </w:r>
      <w:r w:rsidR="00DD1DFA" w:rsidRPr="00DD1DFA">
        <w:rPr>
          <w:noProof/>
        </w:rPr>
        <w:t xml:space="preserve"> w</w:t>
      </w:r>
      <w:r w:rsidR="00DD1DFA">
        <w:rPr>
          <w:noProof/>
        </w:rPr>
        <w:t> </w:t>
      </w:r>
      <w:r w:rsidR="00DD1DFA" w:rsidRPr="00DD1DFA">
        <w:rPr>
          <w:noProof/>
        </w:rPr>
        <w:t>dok</w:t>
      </w:r>
      <w:r w:rsidR="008F3D39" w:rsidRPr="00DD1DFA">
        <w:rPr>
          <w:noProof/>
        </w:rPr>
        <w:t>umencie</w:t>
      </w:r>
      <w:r w:rsidR="00074392" w:rsidRPr="00DD1DFA">
        <w:rPr>
          <w:noProof/>
        </w:rPr>
        <w:t>;</w:t>
      </w:r>
    </w:p>
    <w:p w14:paraId="009526D8" w14:textId="1D60BCED" w:rsidR="008F3D39" w:rsidRPr="00DD1DFA" w:rsidRDefault="005F7EFA" w:rsidP="005F7EFA">
      <w:pPr>
        <w:pStyle w:val="Point1"/>
        <w:rPr>
          <w:noProof/>
        </w:rPr>
      </w:pPr>
      <w:r w:rsidRPr="005F7EFA">
        <w:t>(ii)</w:t>
      </w:r>
      <w:r w:rsidRPr="005F7EFA">
        <w:tab/>
      </w:r>
      <w:r w:rsidR="008F3D39" w:rsidRPr="00DD1DFA">
        <w:rPr>
          <w:noProof/>
        </w:rPr>
        <w:t>zastosowane materiały nie są identyczne</w:t>
      </w:r>
      <w:r w:rsidR="00DD1DFA" w:rsidRPr="00DD1DFA">
        <w:rPr>
          <w:noProof/>
        </w:rPr>
        <w:t xml:space="preserve"> z</w:t>
      </w:r>
      <w:r w:rsidR="00DD1DFA">
        <w:rPr>
          <w:noProof/>
        </w:rPr>
        <w:t> </w:t>
      </w:r>
      <w:r w:rsidR="00DD1DFA" w:rsidRPr="00DD1DFA">
        <w:rPr>
          <w:noProof/>
        </w:rPr>
        <w:t>mat</w:t>
      </w:r>
      <w:r w:rsidR="008F3D39" w:rsidRPr="00DD1DFA">
        <w:rPr>
          <w:noProof/>
        </w:rPr>
        <w:t>eriałami przewidzianymi do stosowania</w:t>
      </w:r>
      <w:r w:rsidR="00DD1DFA" w:rsidRPr="00DD1DFA">
        <w:rPr>
          <w:noProof/>
        </w:rPr>
        <w:t xml:space="preserve"> w</w:t>
      </w:r>
      <w:r w:rsidR="00DD1DFA">
        <w:rPr>
          <w:noProof/>
        </w:rPr>
        <w:t> </w:t>
      </w:r>
      <w:r w:rsidR="00DD1DFA" w:rsidRPr="00DD1DFA">
        <w:rPr>
          <w:noProof/>
        </w:rPr>
        <w:t>dok</w:t>
      </w:r>
      <w:r w:rsidR="008F3D39" w:rsidRPr="00DD1DFA">
        <w:rPr>
          <w:noProof/>
        </w:rPr>
        <w:t>umencie</w:t>
      </w:r>
      <w:r w:rsidR="00074392" w:rsidRPr="00DD1DFA">
        <w:rPr>
          <w:noProof/>
        </w:rPr>
        <w:t>;</w:t>
      </w:r>
      <w:r w:rsidR="008F3D39" w:rsidRPr="00DD1DFA">
        <w:rPr>
          <w:noProof/>
        </w:rPr>
        <w:t xml:space="preserve"> lub</w:t>
      </w:r>
    </w:p>
    <w:p w14:paraId="74FFE32A" w14:textId="10BC283F" w:rsidR="008F3D39" w:rsidRPr="00DD1DFA" w:rsidRDefault="005F7EFA" w:rsidP="005F7EFA">
      <w:pPr>
        <w:pStyle w:val="Point1"/>
        <w:rPr>
          <w:noProof/>
        </w:rPr>
      </w:pPr>
      <w:r w:rsidRPr="005F7EFA">
        <w:t>(iii)</w:t>
      </w:r>
      <w:r w:rsidRPr="005F7EFA">
        <w:tab/>
      </w:r>
      <w:r w:rsidR="008F3D39" w:rsidRPr="00DD1DFA">
        <w:rPr>
          <w:noProof/>
        </w:rPr>
        <w:t>metoda oceny określona</w:t>
      </w:r>
      <w:r w:rsidR="00DD1DFA" w:rsidRPr="00DD1DFA">
        <w:rPr>
          <w:noProof/>
        </w:rPr>
        <w:t xml:space="preserve"> w</w:t>
      </w:r>
      <w:r w:rsidR="00DD1DFA">
        <w:rPr>
          <w:noProof/>
        </w:rPr>
        <w:t> </w:t>
      </w:r>
      <w:r w:rsidR="00DD1DFA" w:rsidRPr="00DD1DFA">
        <w:rPr>
          <w:noProof/>
        </w:rPr>
        <w:t>dok</w:t>
      </w:r>
      <w:r w:rsidR="008F3D39" w:rsidRPr="00DD1DFA">
        <w:rPr>
          <w:noProof/>
        </w:rPr>
        <w:t>umencie nie jest właściwa dla tego wyrobu.</w:t>
      </w:r>
    </w:p>
    <w:p w14:paraId="17BAB307" w14:textId="190C87A3" w:rsidR="008F3D39" w:rsidRPr="00DD1DFA" w:rsidRDefault="005F7EFA" w:rsidP="005F7EFA">
      <w:pPr>
        <w:pStyle w:val="ManualNumPar1"/>
        <w:rPr>
          <w:rFonts w:eastAsia="Times New Roman"/>
          <w:noProof/>
          <w:szCs w:val="24"/>
        </w:rPr>
      </w:pPr>
      <w:r w:rsidRPr="005F7EFA">
        <w:t>3.</w:t>
      </w:r>
      <w:r w:rsidRPr="005F7EFA">
        <w:tab/>
      </w:r>
      <w:r w:rsidR="008F3D39" w:rsidRPr="00DD1DFA">
        <w:rPr>
          <w:noProof/>
        </w:rPr>
        <w:t>Organizacja JOT</w:t>
      </w:r>
      <w:r w:rsidR="00DD1DFA" w:rsidRPr="00DD1DFA">
        <w:rPr>
          <w:noProof/>
        </w:rPr>
        <w:t xml:space="preserve"> i</w:t>
      </w:r>
      <w:r w:rsidR="00DD1DFA">
        <w:rPr>
          <w:noProof/>
        </w:rPr>
        <w:t> </w:t>
      </w:r>
      <w:r w:rsidR="00DD1DFA" w:rsidRPr="00DD1DFA">
        <w:rPr>
          <w:noProof/>
        </w:rPr>
        <w:t>Kom</w:t>
      </w:r>
      <w:r w:rsidR="008F3D39" w:rsidRPr="00DD1DFA">
        <w:rPr>
          <w:noProof/>
        </w:rPr>
        <w:t>isja mogą łączyć lub odrzucać wnioski</w:t>
      </w:r>
      <w:r w:rsidR="00DD1DFA" w:rsidRPr="00DD1DFA">
        <w:rPr>
          <w:noProof/>
        </w:rPr>
        <w:t xml:space="preserve"> o</w:t>
      </w:r>
      <w:r w:rsidR="00DD1DFA">
        <w:rPr>
          <w:noProof/>
        </w:rPr>
        <w:t> </w:t>
      </w:r>
      <w:r w:rsidR="00DD1DFA" w:rsidRPr="00DD1DFA">
        <w:rPr>
          <w:noProof/>
        </w:rPr>
        <w:t>opr</w:t>
      </w:r>
      <w:r w:rsidR="008F3D39" w:rsidRPr="00DD1DFA">
        <w:rPr>
          <w:noProof/>
        </w:rPr>
        <w:t>acowanie europejskiego dokumentu oceny. Procedura przyjmowania europejskiego dokumentu oceny przeprowadzana jest</w:t>
      </w:r>
      <w:r w:rsidR="00DD1DFA" w:rsidRPr="00DD1DFA">
        <w:rPr>
          <w:noProof/>
        </w:rPr>
        <w:t xml:space="preserve"> z</w:t>
      </w:r>
      <w:r w:rsidR="00DD1DFA">
        <w:rPr>
          <w:noProof/>
        </w:rPr>
        <w:t> </w:t>
      </w:r>
      <w:r w:rsidR="00DD1DFA" w:rsidRPr="00DD1DFA">
        <w:rPr>
          <w:noProof/>
        </w:rPr>
        <w:t>pos</w:t>
      </w:r>
      <w:r w:rsidR="008F3D39" w:rsidRPr="00DD1DFA">
        <w:rPr>
          <w:noProof/>
        </w:rPr>
        <w:t>zanowaniem art.</w:t>
      </w:r>
      <w:r w:rsidR="00DD1DFA" w:rsidRPr="00DD1DFA">
        <w:rPr>
          <w:noProof/>
        </w:rPr>
        <w:t> </w:t>
      </w:r>
      <w:r w:rsidR="008F3D39" w:rsidRPr="00DD1DFA">
        <w:rPr>
          <w:noProof/>
        </w:rPr>
        <w:t>36</w:t>
      </w:r>
      <w:r w:rsidR="00DD1DFA" w:rsidRPr="00DD1DFA">
        <w:rPr>
          <w:noProof/>
        </w:rPr>
        <w:t xml:space="preserve"> i</w:t>
      </w:r>
      <w:r w:rsidR="00DD1DFA">
        <w:rPr>
          <w:noProof/>
        </w:rPr>
        <w:t> </w:t>
      </w:r>
      <w:r w:rsidR="00DD1DFA" w:rsidRPr="00DD1DFA">
        <w:rPr>
          <w:noProof/>
        </w:rPr>
        <w:t>jes</w:t>
      </w:r>
      <w:r w:rsidR="008F3D39" w:rsidRPr="00DD1DFA">
        <w:rPr>
          <w:noProof/>
        </w:rPr>
        <w:t>t zgodna</w:t>
      </w:r>
      <w:r w:rsidR="00DD1DFA" w:rsidRPr="00DD1DFA">
        <w:rPr>
          <w:noProof/>
        </w:rPr>
        <w:t xml:space="preserve"> z</w:t>
      </w:r>
      <w:r w:rsidR="00DD1DFA">
        <w:rPr>
          <w:noProof/>
        </w:rPr>
        <w:t> </w:t>
      </w:r>
      <w:r w:rsidR="00DD1DFA" w:rsidRPr="00DD1DFA">
        <w:rPr>
          <w:noProof/>
        </w:rPr>
        <w:t>art</w:t>
      </w:r>
      <w:r w:rsidR="008F3D39" w:rsidRPr="00DD1DFA">
        <w:rPr>
          <w:noProof/>
        </w:rPr>
        <w:t>.</w:t>
      </w:r>
      <w:r w:rsidR="00DD1DFA" w:rsidRPr="00DD1DFA">
        <w:rPr>
          <w:noProof/>
        </w:rPr>
        <w:t> </w:t>
      </w:r>
      <w:r w:rsidR="008F3D39" w:rsidRPr="00DD1DFA">
        <w:rPr>
          <w:noProof/>
        </w:rPr>
        <w:t>37</w:t>
      </w:r>
      <w:r w:rsidR="00DD1DFA" w:rsidRPr="00DD1DFA">
        <w:rPr>
          <w:noProof/>
        </w:rPr>
        <w:t xml:space="preserve"> i</w:t>
      </w:r>
      <w:r w:rsidR="00DD1DFA">
        <w:rPr>
          <w:noProof/>
        </w:rPr>
        <w:t> </w:t>
      </w:r>
      <w:r w:rsidR="00DD1DFA" w:rsidRPr="00DD1DFA">
        <w:rPr>
          <w:noProof/>
        </w:rPr>
        <w:t>zał</w:t>
      </w:r>
      <w:r w:rsidR="008F3D39" w:rsidRPr="00DD1DFA">
        <w:rPr>
          <w:noProof/>
        </w:rPr>
        <w:t>ącznikiem III.</w:t>
      </w:r>
    </w:p>
    <w:p w14:paraId="7072E0CB" w14:textId="0676DD18" w:rsidR="00BC1E12" w:rsidRPr="00DD1DFA" w:rsidRDefault="005F7EFA" w:rsidP="005F7EFA">
      <w:pPr>
        <w:pStyle w:val="ManualNumPar1"/>
        <w:rPr>
          <w:rFonts w:eastAsia="Times New Roman"/>
          <w:noProof/>
          <w:szCs w:val="24"/>
        </w:rPr>
      </w:pPr>
      <w:r w:rsidRPr="005F7EFA">
        <w:t>4.</w:t>
      </w:r>
      <w:r w:rsidRPr="005F7EFA">
        <w:tab/>
      </w:r>
      <w:r w:rsidR="008F3D39" w:rsidRPr="00DD1DFA">
        <w:rPr>
          <w:noProof/>
        </w:rPr>
        <w:t>Komisja jest uprawniona do zmiany załącznika III</w:t>
      </w:r>
      <w:r w:rsidR="00DD1DFA" w:rsidRPr="00DD1DFA">
        <w:rPr>
          <w:noProof/>
        </w:rPr>
        <w:t xml:space="preserve"> w</w:t>
      </w:r>
      <w:r w:rsidR="00DD1DFA">
        <w:rPr>
          <w:noProof/>
        </w:rPr>
        <w:t> </w:t>
      </w:r>
      <w:r w:rsidR="00DD1DFA" w:rsidRPr="00DD1DFA">
        <w:rPr>
          <w:noProof/>
        </w:rPr>
        <w:t>dro</w:t>
      </w:r>
      <w:r w:rsidR="008F3D39" w:rsidRPr="00DD1DFA">
        <w:rPr>
          <w:noProof/>
        </w:rPr>
        <w:t>dze aktu delegowanego przyjętego zgodnie</w:t>
      </w:r>
      <w:r w:rsidR="00DD1DFA" w:rsidRPr="00DD1DFA">
        <w:rPr>
          <w:noProof/>
        </w:rPr>
        <w:t xml:space="preserve"> z</w:t>
      </w:r>
      <w:r w:rsidR="00DD1DFA">
        <w:rPr>
          <w:noProof/>
        </w:rPr>
        <w:t> </w:t>
      </w:r>
      <w:r w:rsidR="00DD1DFA" w:rsidRPr="00DD1DFA">
        <w:rPr>
          <w:noProof/>
        </w:rPr>
        <w:t>art</w:t>
      </w:r>
      <w:r w:rsidR="008F3D39" w:rsidRPr="00DD1DFA">
        <w:rPr>
          <w:noProof/>
        </w:rPr>
        <w:t>.</w:t>
      </w:r>
      <w:r w:rsidR="00DD1DFA" w:rsidRPr="00DD1DFA">
        <w:rPr>
          <w:noProof/>
        </w:rPr>
        <w:t> </w:t>
      </w:r>
      <w:r w:rsidR="008F3D39" w:rsidRPr="00DD1DFA">
        <w:rPr>
          <w:noProof/>
        </w:rPr>
        <w:t>87</w:t>
      </w:r>
      <w:r w:rsidR="00DD1DFA" w:rsidRPr="00DD1DFA">
        <w:rPr>
          <w:noProof/>
        </w:rPr>
        <w:t xml:space="preserve"> w</w:t>
      </w:r>
      <w:r w:rsidR="00DD1DFA">
        <w:rPr>
          <w:noProof/>
        </w:rPr>
        <w:t> </w:t>
      </w:r>
      <w:r w:rsidR="00DD1DFA" w:rsidRPr="00DD1DFA">
        <w:rPr>
          <w:noProof/>
        </w:rPr>
        <w:t>cel</w:t>
      </w:r>
      <w:r w:rsidR="008F3D39" w:rsidRPr="00DD1DFA">
        <w:rPr>
          <w:noProof/>
        </w:rPr>
        <w:t>u ustanowienia dodatkowych przepisów proceduralnych dotyczących opracowywania</w:t>
      </w:r>
      <w:r w:rsidR="00DD1DFA" w:rsidRPr="00DD1DFA">
        <w:rPr>
          <w:noProof/>
        </w:rPr>
        <w:t xml:space="preserve"> i</w:t>
      </w:r>
      <w:r w:rsidR="00DD1DFA">
        <w:rPr>
          <w:noProof/>
        </w:rPr>
        <w:t> </w:t>
      </w:r>
      <w:r w:rsidR="00DD1DFA" w:rsidRPr="00DD1DFA">
        <w:rPr>
          <w:noProof/>
        </w:rPr>
        <w:t>prz</w:t>
      </w:r>
      <w:r w:rsidR="008F3D39" w:rsidRPr="00DD1DFA">
        <w:rPr>
          <w:noProof/>
        </w:rPr>
        <w:t>yjmowania europejskiego dokumentu oceny, jeżeli jest to niezbędne do zapewnienia prawidłowego funkcjonowania systemu europejskich dokumentów oceny.</w:t>
      </w:r>
    </w:p>
    <w:p w14:paraId="0226B001" w14:textId="77777777" w:rsidR="00BC1E12" w:rsidRPr="00DD1DFA" w:rsidRDefault="00BC1E12" w:rsidP="00C33023">
      <w:pPr>
        <w:pStyle w:val="Titrearticle"/>
        <w:rPr>
          <w:noProof/>
        </w:rPr>
      </w:pPr>
      <w:r w:rsidRPr="00DD1DFA">
        <w:rPr>
          <w:noProof/>
        </w:rPr>
        <w:t>Artykuł 36</w:t>
      </w:r>
    </w:p>
    <w:p w14:paraId="213ACB57" w14:textId="17600417" w:rsidR="00BC1E12" w:rsidRPr="00DD1DFA" w:rsidRDefault="009851A0" w:rsidP="00C33023">
      <w:pPr>
        <w:pStyle w:val="Titrearticle"/>
        <w:rPr>
          <w:b/>
          <w:bCs/>
          <w:noProof/>
        </w:rPr>
      </w:pPr>
      <w:r w:rsidRPr="00DD1DFA">
        <w:rPr>
          <w:b/>
          <w:bCs/>
          <w:noProof/>
        </w:rPr>
        <w:t>Zasady opracowywania</w:t>
      </w:r>
      <w:r w:rsidR="00DD1DFA" w:rsidRPr="00DD1DFA">
        <w:rPr>
          <w:b/>
          <w:bCs/>
          <w:noProof/>
        </w:rPr>
        <w:t xml:space="preserve"> i</w:t>
      </w:r>
      <w:r w:rsidR="00DD1DFA">
        <w:rPr>
          <w:b/>
          <w:bCs/>
          <w:noProof/>
        </w:rPr>
        <w:t> </w:t>
      </w:r>
      <w:r w:rsidR="00DD1DFA" w:rsidRPr="00DD1DFA">
        <w:rPr>
          <w:b/>
          <w:bCs/>
          <w:noProof/>
        </w:rPr>
        <w:t>prz</w:t>
      </w:r>
      <w:r w:rsidRPr="00DD1DFA">
        <w:rPr>
          <w:b/>
          <w:bCs/>
          <w:noProof/>
        </w:rPr>
        <w:t>yjmowania europejskich dokumentów oceny</w:t>
      </w:r>
    </w:p>
    <w:p w14:paraId="67978C31" w14:textId="08B7990A" w:rsidR="009851A0" w:rsidRPr="00DD1DFA" w:rsidRDefault="005F7EFA" w:rsidP="005F7EFA">
      <w:pPr>
        <w:pStyle w:val="ManualNumPar1"/>
        <w:rPr>
          <w:noProof/>
        </w:rPr>
      </w:pPr>
      <w:r w:rsidRPr="005F7EFA">
        <w:t>1.</w:t>
      </w:r>
      <w:r w:rsidRPr="005F7EFA">
        <w:tab/>
      </w:r>
      <w:r w:rsidR="009851A0" w:rsidRPr="00DD1DFA">
        <w:rPr>
          <w:noProof/>
        </w:rPr>
        <w:t>Procedura opracowywania</w:t>
      </w:r>
      <w:r w:rsidR="00DD1DFA" w:rsidRPr="00DD1DFA">
        <w:rPr>
          <w:noProof/>
        </w:rPr>
        <w:t xml:space="preserve"> i</w:t>
      </w:r>
      <w:r w:rsidR="00DD1DFA">
        <w:rPr>
          <w:noProof/>
        </w:rPr>
        <w:t> </w:t>
      </w:r>
      <w:r w:rsidR="00DD1DFA" w:rsidRPr="00DD1DFA">
        <w:rPr>
          <w:noProof/>
        </w:rPr>
        <w:t>prz</w:t>
      </w:r>
      <w:r w:rsidR="009851A0" w:rsidRPr="00DD1DFA">
        <w:rPr>
          <w:noProof/>
        </w:rPr>
        <w:t>yjmowania europejskich dokumentów oceny jest zgodna</w:t>
      </w:r>
      <w:r w:rsidR="00DD1DFA" w:rsidRPr="00DD1DFA">
        <w:rPr>
          <w:noProof/>
        </w:rPr>
        <w:t xml:space="preserve"> z</w:t>
      </w:r>
      <w:r w:rsidR="00DD1DFA">
        <w:rPr>
          <w:noProof/>
        </w:rPr>
        <w:t> </w:t>
      </w:r>
      <w:r w:rsidR="00DD1DFA" w:rsidRPr="00DD1DFA">
        <w:rPr>
          <w:noProof/>
        </w:rPr>
        <w:t>nas</w:t>
      </w:r>
      <w:r w:rsidR="009851A0" w:rsidRPr="00DD1DFA">
        <w:rPr>
          <w:noProof/>
        </w:rPr>
        <w:t>tępującymi zasadami:</w:t>
      </w:r>
    </w:p>
    <w:p w14:paraId="3BEA1E80" w14:textId="64F41145" w:rsidR="009851A0" w:rsidRPr="00DD1DFA" w:rsidRDefault="005A4BBC" w:rsidP="005A4BBC">
      <w:pPr>
        <w:pStyle w:val="Point1"/>
        <w:rPr>
          <w:noProof/>
        </w:rPr>
      </w:pPr>
      <w:r w:rsidRPr="005A4BBC">
        <w:rPr>
          <w:noProof/>
        </w:rPr>
        <w:t>a)</w:t>
      </w:r>
      <w:r w:rsidRPr="005A4BBC">
        <w:rPr>
          <w:noProof/>
        </w:rPr>
        <w:tab/>
      </w:r>
      <w:r w:rsidR="009851A0" w:rsidRPr="00DD1DFA">
        <w:rPr>
          <w:noProof/>
        </w:rPr>
        <w:t>jest przejrzysta dla państw członkowskich, zainteresowanego producenta oraz innych producentów lub zainteresowanych stron, którzy zwrócą się</w:t>
      </w:r>
      <w:r w:rsidR="00DD1DFA" w:rsidRPr="00DD1DFA">
        <w:rPr>
          <w:noProof/>
        </w:rPr>
        <w:t xml:space="preserve"> o</w:t>
      </w:r>
      <w:r w:rsidR="00DD1DFA">
        <w:rPr>
          <w:noProof/>
        </w:rPr>
        <w:t> </w:t>
      </w:r>
      <w:r w:rsidR="00DD1DFA" w:rsidRPr="00DD1DFA">
        <w:rPr>
          <w:noProof/>
        </w:rPr>
        <w:t>inf</w:t>
      </w:r>
      <w:r w:rsidR="009851A0" w:rsidRPr="00DD1DFA">
        <w:rPr>
          <w:noProof/>
        </w:rPr>
        <w:t>ormację;</w:t>
      </w:r>
    </w:p>
    <w:p w14:paraId="1FA0E127" w14:textId="26DAB2BF" w:rsidR="009851A0" w:rsidRPr="00DD1DFA" w:rsidRDefault="005A4BBC" w:rsidP="005A4BBC">
      <w:pPr>
        <w:pStyle w:val="Point1"/>
        <w:rPr>
          <w:noProof/>
        </w:rPr>
      </w:pPr>
      <w:r w:rsidRPr="005A4BBC">
        <w:rPr>
          <w:noProof/>
        </w:rPr>
        <w:t>b)</w:t>
      </w:r>
      <w:r w:rsidRPr="005A4BBC">
        <w:rPr>
          <w:noProof/>
        </w:rPr>
        <w:tab/>
      </w:r>
      <w:r w:rsidR="009851A0" w:rsidRPr="00DD1DFA">
        <w:rPr>
          <w:noProof/>
        </w:rPr>
        <w:t>zawiera jak najmniejszą ilość informacji chronionych prawami własności intelektualnej oraz zapewnia ochronę tajemnicy handlowej</w:t>
      </w:r>
      <w:r w:rsidR="00DD1DFA" w:rsidRPr="00DD1DFA">
        <w:rPr>
          <w:noProof/>
        </w:rPr>
        <w:t xml:space="preserve"> i</w:t>
      </w:r>
      <w:r w:rsidR="00DD1DFA">
        <w:rPr>
          <w:noProof/>
        </w:rPr>
        <w:t> </w:t>
      </w:r>
      <w:r w:rsidR="00DD1DFA" w:rsidRPr="00DD1DFA">
        <w:rPr>
          <w:noProof/>
        </w:rPr>
        <w:t>pou</w:t>
      </w:r>
      <w:r w:rsidR="009851A0" w:rsidRPr="00DD1DFA">
        <w:rPr>
          <w:noProof/>
        </w:rPr>
        <w:t>fności;</w:t>
      </w:r>
    </w:p>
    <w:p w14:paraId="79EA6809" w14:textId="366BEAA1" w:rsidR="009851A0" w:rsidRPr="00DD1DFA" w:rsidRDefault="005A4BBC" w:rsidP="005A4BBC">
      <w:pPr>
        <w:pStyle w:val="Point1"/>
        <w:rPr>
          <w:noProof/>
        </w:rPr>
      </w:pPr>
      <w:r w:rsidRPr="005A4BBC">
        <w:rPr>
          <w:noProof/>
        </w:rPr>
        <w:t>c)</w:t>
      </w:r>
      <w:r w:rsidRPr="005A4BBC">
        <w:rPr>
          <w:noProof/>
        </w:rPr>
        <w:tab/>
      </w:r>
      <w:r w:rsidR="009851A0" w:rsidRPr="00DD1DFA">
        <w:rPr>
          <w:noProof/>
        </w:rPr>
        <w:t>określa właściwe obowiązkowe terminy, by uniknąć nieuzasadnionych opóźnień;</w:t>
      </w:r>
    </w:p>
    <w:p w14:paraId="30A61D6D" w14:textId="56FBC5FF" w:rsidR="009851A0" w:rsidRPr="00DD1DFA" w:rsidRDefault="005A4BBC" w:rsidP="005A4BBC">
      <w:pPr>
        <w:pStyle w:val="Point1"/>
        <w:rPr>
          <w:noProof/>
        </w:rPr>
      </w:pPr>
      <w:r w:rsidRPr="005A4BBC">
        <w:rPr>
          <w:noProof/>
        </w:rPr>
        <w:t>d)</w:t>
      </w:r>
      <w:r w:rsidRPr="005A4BBC">
        <w:rPr>
          <w:noProof/>
        </w:rPr>
        <w:tab/>
      </w:r>
      <w:r w:rsidR="009851A0" w:rsidRPr="00DD1DFA">
        <w:rPr>
          <w:noProof/>
        </w:rPr>
        <w:t>umożliwia odpowiedni udział państw członkowskich</w:t>
      </w:r>
      <w:r w:rsidR="00DD1DFA" w:rsidRPr="00DD1DFA">
        <w:rPr>
          <w:noProof/>
        </w:rPr>
        <w:t xml:space="preserve"> i</w:t>
      </w:r>
      <w:r w:rsidR="00DD1DFA">
        <w:rPr>
          <w:noProof/>
        </w:rPr>
        <w:t> </w:t>
      </w:r>
      <w:r w:rsidR="00DD1DFA" w:rsidRPr="00DD1DFA">
        <w:rPr>
          <w:noProof/>
        </w:rPr>
        <w:t>Kom</w:t>
      </w:r>
      <w:r w:rsidR="009851A0" w:rsidRPr="00DD1DFA">
        <w:rPr>
          <w:noProof/>
        </w:rPr>
        <w:t>isji na wszystkich etapach;</w:t>
      </w:r>
    </w:p>
    <w:p w14:paraId="6FC3B7AF" w14:textId="6AD36131" w:rsidR="009851A0" w:rsidRPr="00DD1DFA" w:rsidRDefault="005A4BBC" w:rsidP="005A4BBC">
      <w:pPr>
        <w:pStyle w:val="Point1"/>
        <w:rPr>
          <w:noProof/>
        </w:rPr>
      </w:pPr>
      <w:r w:rsidRPr="005A4BBC">
        <w:rPr>
          <w:noProof/>
        </w:rPr>
        <w:t>e)</w:t>
      </w:r>
      <w:r w:rsidRPr="005A4BBC">
        <w:rPr>
          <w:noProof/>
        </w:rPr>
        <w:tab/>
      </w:r>
      <w:r w:rsidR="009851A0" w:rsidRPr="00DD1DFA">
        <w:rPr>
          <w:noProof/>
        </w:rPr>
        <w:t>jest opłacalna dla producenta; oraz</w:t>
      </w:r>
    </w:p>
    <w:p w14:paraId="426AB3A7" w14:textId="6DE4B7F4" w:rsidR="009851A0" w:rsidRPr="00DD1DFA" w:rsidRDefault="005A4BBC" w:rsidP="005A4BBC">
      <w:pPr>
        <w:pStyle w:val="Point1"/>
        <w:rPr>
          <w:noProof/>
        </w:rPr>
      </w:pPr>
      <w:r w:rsidRPr="005A4BBC">
        <w:rPr>
          <w:noProof/>
        </w:rPr>
        <w:t>f)</w:t>
      </w:r>
      <w:r w:rsidRPr="005A4BBC">
        <w:rPr>
          <w:noProof/>
        </w:rPr>
        <w:tab/>
      </w:r>
      <w:r w:rsidR="009851A0" w:rsidRPr="00DD1DFA">
        <w:rPr>
          <w:noProof/>
        </w:rPr>
        <w:t>zapewnia wystarczającą kolegialność</w:t>
      </w:r>
      <w:r w:rsidR="00DD1DFA" w:rsidRPr="00DD1DFA">
        <w:rPr>
          <w:noProof/>
        </w:rPr>
        <w:t xml:space="preserve"> i</w:t>
      </w:r>
      <w:r w:rsidR="00DD1DFA">
        <w:rPr>
          <w:noProof/>
        </w:rPr>
        <w:t> </w:t>
      </w:r>
      <w:r w:rsidR="00DD1DFA" w:rsidRPr="00DD1DFA">
        <w:rPr>
          <w:noProof/>
        </w:rPr>
        <w:t>koo</w:t>
      </w:r>
      <w:r w:rsidR="009851A0" w:rsidRPr="00DD1DFA">
        <w:rPr>
          <w:noProof/>
        </w:rPr>
        <w:t>rdynację między JOT wyznaczonymi dla danego wyrobu.</w:t>
      </w:r>
    </w:p>
    <w:p w14:paraId="127AE9E8" w14:textId="1CCF1C63" w:rsidR="009851A0" w:rsidRPr="00DD1DFA" w:rsidRDefault="009851A0" w:rsidP="00CD54D6">
      <w:pPr>
        <w:pStyle w:val="Text1"/>
        <w:rPr>
          <w:noProof/>
        </w:rPr>
      </w:pPr>
      <w:r w:rsidRPr="00DD1DFA">
        <w:rPr>
          <w:noProof/>
        </w:rPr>
        <w:t>Równoważenie zasad określonych</w:t>
      </w:r>
      <w:r w:rsidR="00DD1DFA" w:rsidRPr="00DD1DFA">
        <w:rPr>
          <w:noProof/>
        </w:rPr>
        <w:t xml:space="preserve"> w</w:t>
      </w:r>
      <w:r w:rsidR="00DD1DFA">
        <w:rPr>
          <w:noProof/>
        </w:rPr>
        <w:t> </w:t>
      </w:r>
      <w:r w:rsidR="00DD1DFA" w:rsidRPr="00DD1DFA">
        <w:rPr>
          <w:noProof/>
        </w:rPr>
        <w:t>lit</w:t>
      </w:r>
      <w:r w:rsidRPr="00DD1DFA">
        <w:rPr>
          <w:noProof/>
        </w:rPr>
        <w:t>.</w:t>
      </w:r>
      <w:r w:rsidR="00DD1DFA" w:rsidRPr="00DD1DFA">
        <w:rPr>
          <w:noProof/>
        </w:rPr>
        <w:t> </w:t>
      </w:r>
      <w:r w:rsidRPr="00DD1DFA">
        <w:rPr>
          <w:noProof/>
        </w:rPr>
        <w:t>a) i b) umożliwia co najmniej ujawnienie nazwy wyrobu na etapie zatwierdzania</w:t>
      </w:r>
      <w:r w:rsidR="00DD1DFA" w:rsidRPr="00DD1DFA">
        <w:rPr>
          <w:noProof/>
        </w:rPr>
        <w:t xml:space="preserve"> i</w:t>
      </w:r>
      <w:r w:rsidR="00DD1DFA">
        <w:rPr>
          <w:noProof/>
        </w:rPr>
        <w:t> </w:t>
      </w:r>
      <w:r w:rsidR="00DD1DFA" w:rsidRPr="00DD1DFA">
        <w:rPr>
          <w:noProof/>
        </w:rPr>
        <w:t>prz</w:t>
      </w:r>
      <w:r w:rsidRPr="00DD1DFA">
        <w:rPr>
          <w:noProof/>
        </w:rPr>
        <w:t>ekazywanie informacji</w:t>
      </w:r>
      <w:r w:rsidR="00DD1DFA" w:rsidRPr="00DD1DFA">
        <w:rPr>
          <w:noProof/>
        </w:rPr>
        <w:t xml:space="preserve"> o</w:t>
      </w:r>
      <w:r w:rsidR="00DD1DFA">
        <w:rPr>
          <w:noProof/>
        </w:rPr>
        <w:t> </w:t>
      </w:r>
      <w:r w:rsidR="00DD1DFA" w:rsidRPr="00DD1DFA">
        <w:rPr>
          <w:noProof/>
        </w:rPr>
        <w:t>pro</w:t>
      </w:r>
      <w:r w:rsidRPr="00DD1DFA">
        <w:rPr>
          <w:noProof/>
        </w:rPr>
        <w:t>gramie prac, jak określono</w:t>
      </w:r>
      <w:r w:rsidR="00DD1DFA" w:rsidRPr="00DD1DFA">
        <w:rPr>
          <w:noProof/>
        </w:rPr>
        <w:t xml:space="preserve"> w</w:t>
      </w:r>
      <w:r w:rsidR="00DD1DFA">
        <w:rPr>
          <w:noProof/>
        </w:rPr>
        <w:t> </w:t>
      </w:r>
      <w:r w:rsidR="00DD1DFA" w:rsidRPr="00DD1DFA">
        <w:rPr>
          <w:noProof/>
        </w:rPr>
        <w:t>zał</w:t>
      </w:r>
      <w:r w:rsidRPr="00DD1DFA">
        <w:rPr>
          <w:noProof/>
        </w:rPr>
        <w:t>ączniku III pkt</w:t>
      </w:r>
      <w:r w:rsidR="00DD1DFA" w:rsidRPr="00DD1DFA">
        <w:rPr>
          <w:noProof/>
        </w:rPr>
        <w:t> </w:t>
      </w:r>
      <w:r w:rsidRPr="00DD1DFA">
        <w:rPr>
          <w:noProof/>
        </w:rPr>
        <w:t>3, oraz szczegółowej treści projektu europejskiego dokumentu oceny, jak określono</w:t>
      </w:r>
      <w:r w:rsidR="00DD1DFA" w:rsidRPr="00DD1DFA">
        <w:rPr>
          <w:noProof/>
        </w:rPr>
        <w:t xml:space="preserve"> w</w:t>
      </w:r>
      <w:r w:rsidR="00DD1DFA">
        <w:rPr>
          <w:noProof/>
        </w:rPr>
        <w:t> </w:t>
      </w:r>
      <w:r w:rsidR="00DD1DFA" w:rsidRPr="00DD1DFA">
        <w:rPr>
          <w:noProof/>
        </w:rPr>
        <w:t>zał</w:t>
      </w:r>
      <w:r w:rsidRPr="00DD1DFA">
        <w:rPr>
          <w:noProof/>
        </w:rPr>
        <w:t>ączniku III pkt</w:t>
      </w:r>
      <w:r w:rsidR="00DD1DFA" w:rsidRPr="00DD1DFA">
        <w:rPr>
          <w:noProof/>
        </w:rPr>
        <w:t> </w:t>
      </w:r>
      <w:r w:rsidRPr="00DD1DFA">
        <w:rPr>
          <w:noProof/>
        </w:rPr>
        <w:t>7.</w:t>
      </w:r>
    </w:p>
    <w:p w14:paraId="106C33C3" w14:textId="0B243FFE" w:rsidR="009851A0" w:rsidRPr="00DD1DFA" w:rsidRDefault="005F7EFA" w:rsidP="005F7EFA">
      <w:pPr>
        <w:pStyle w:val="ManualNumPar1"/>
        <w:rPr>
          <w:noProof/>
        </w:rPr>
      </w:pPr>
      <w:r w:rsidRPr="005F7EFA">
        <w:t>2.</w:t>
      </w:r>
      <w:r w:rsidRPr="005F7EFA">
        <w:tab/>
      </w:r>
      <w:r w:rsidR="009851A0" w:rsidRPr="00DD1DFA">
        <w:rPr>
          <w:noProof/>
        </w:rPr>
        <w:t>JOT, wraz</w:t>
      </w:r>
      <w:r w:rsidR="00DD1DFA" w:rsidRPr="00DD1DFA">
        <w:rPr>
          <w:noProof/>
        </w:rPr>
        <w:t xml:space="preserve"> z</w:t>
      </w:r>
      <w:r w:rsidR="00DD1DFA">
        <w:rPr>
          <w:noProof/>
        </w:rPr>
        <w:t> </w:t>
      </w:r>
      <w:r w:rsidR="00DD1DFA" w:rsidRPr="00DD1DFA">
        <w:rPr>
          <w:noProof/>
        </w:rPr>
        <w:t>org</w:t>
      </w:r>
      <w:r w:rsidR="009851A0" w:rsidRPr="00DD1DFA">
        <w:rPr>
          <w:noProof/>
        </w:rPr>
        <w:t>anizacją JOT, ponoszą całkowite koszty opracowywania</w:t>
      </w:r>
      <w:r w:rsidR="00DD1DFA" w:rsidRPr="00DD1DFA">
        <w:rPr>
          <w:noProof/>
        </w:rPr>
        <w:t xml:space="preserve"> i</w:t>
      </w:r>
      <w:r w:rsidR="00DD1DFA">
        <w:rPr>
          <w:noProof/>
        </w:rPr>
        <w:t> </w:t>
      </w:r>
      <w:r w:rsidR="00DD1DFA" w:rsidRPr="00DD1DFA">
        <w:rPr>
          <w:noProof/>
        </w:rPr>
        <w:t>prz</w:t>
      </w:r>
      <w:r w:rsidR="009851A0" w:rsidRPr="00DD1DFA">
        <w:rPr>
          <w:noProof/>
        </w:rPr>
        <w:t>yjmowania europejskich dokumentów oceny, chyba że działania te są podejmowane</w:t>
      </w:r>
      <w:r w:rsidR="00DD1DFA" w:rsidRPr="00DD1DFA">
        <w:rPr>
          <w:noProof/>
        </w:rPr>
        <w:t xml:space="preserve"> z</w:t>
      </w:r>
      <w:r w:rsidR="00DD1DFA">
        <w:rPr>
          <w:noProof/>
        </w:rPr>
        <w:t> </w:t>
      </w:r>
      <w:r w:rsidR="00DD1DFA" w:rsidRPr="00DD1DFA">
        <w:rPr>
          <w:noProof/>
        </w:rPr>
        <w:t>ini</w:t>
      </w:r>
      <w:r w:rsidR="009851A0" w:rsidRPr="00DD1DFA">
        <w:rPr>
          <w:noProof/>
        </w:rPr>
        <w:t>cjatywy Komisji.</w:t>
      </w:r>
    </w:p>
    <w:p w14:paraId="220A8873" w14:textId="68D9EB49" w:rsidR="009851A0" w:rsidRPr="00DD1DFA" w:rsidRDefault="005F7EFA" w:rsidP="005F7EFA">
      <w:pPr>
        <w:pStyle w:val="ManualNumPar1"/>
        <w:rPr>
          <w:noProof/>
        </w:rPr>
      </w:pPr>
      <w:r w:rsidRPr="005F7EFA">
        <w:t>3.</w:t>
      </w:r>
      <w:r w:rsidRPr="005F7EFA">
        <w:tab/>
      </w:r>
      <w:r w:rsidR="009851A0" w:rsidRPr="00DD1DFA">
        <w:rPr>
          <w:noProof/>
        </w:rPr>
        <w:t>JOT</w:t>
      </w:r>
      <w:r w:rsidR="00DD1DFA" w:rsidRPr="00DD1DFA">
        <w:rPr>
          <w:noProof/>
        </w:rPr>
        <w:t xml:space="preserve"> i</w:t>
      </w:r>
      <w:r w:rsidR="00DD1DFA">
        <w:rPr>
          <w:noProof/>
        </w:rPr>
        <w:t> </w:t>
      </w:r>
      <w:r w:rsidR="00DD1DFA" w:rsidRPr="00DD1DFA">
        <w:rPr>
          <w:noProof/>
        </w:rPr>
        <w:t>org</w:t>
      </w:r>
      <w:r w:rsidR="009851A0" w:rsidRPr="00DD1DFA">
        <w:rPr>
          <w:noProof/>
        </w:rPr>
        <w:t>anizacja JOT unikają rozpowszechniania europejskich dokumentów oceny</w:t>
      </w:r>
      <w:r w:rsidR="00DD1DFA" w:rsidRPr="00DD1DFA">
        <w:rPr>
          <w:noProof/>
        </w:rPr>
        <w:t xml:space="preserve"> w</w:t>
      </w:r>
      <w:r w:rsidR="00DD1DFA">
        <w:rPr>
          <w:noProof/>
        </w:rPr>
        <w:t> </w:t>
      </w:r>
      <w:r w:rsidR="00DD1DFA" w:rsidRPr="00DD1DFA">
        <w:rPr>
          <w:noProof/>
        </w:rPr>
        <w:t>syt</w:t>
      </w:r>
      <w:r w:rsidR="009851A0" w:rsidRPr="00DD1DFA">
        <w:rPr>
          <w:noProof/>
        </w:rPr>
        <w:t>uacji, gdy nie ma technicznego uzasadnienia dla rozróżniania wyrobów,</w:t>
      </w:r>
      <w:r w:rsidR="00DD1DFA" w:rsidRPr="00DD1DFA">
        <w:rPr>
          <w:noProof/>
        </w:rPr>
        <w:t xml:space="preserve"> a</w:t>
      </w:r>
      <w:r w:rsidR="00DD1DFA">
        <w:rPr>
          <w:noProof/>
        </w:rPr>
        <w:t> </w:t>
      </w:r>
      <w:r w:rsidR="00DD1DFA" w:rsidRPr="00DD1DFA">
        <w:rPr>
          <w:noProof/>
        </w:rPr>
        <w:t>zat</w:t>
      </w:r>
      <w:r w:rsidR="009851A0" w:rsidRPr="00DD1DFA">
        <w:rPr>
          <w:noProof/>
        </w:rPr>
        <w:t>em</w:t>
      </w:r>
      <w:r w:rsidR="00DD1DFA" w:rsidRPr="00DD1DFA">
        <w:rPr>
          <w:noProof/>
        </w:rPr>
        <w:t xml:space="preserve"> w</w:t>
      </w:r>
      <w:r w:rsidR="00DD1DFA">
        <w:rPr>
          <w:noProof/>
        </w:rPr>
        <w:t> </w:t>
      </w:r>
      <w:r w:rsidR="00DD1DFA" w:rsidRPr="00DD1DFA">
        <w:rPr>
          <w:noProof/>
        </w:rPr>
        <w:t>szc</w:t>
      </w:r>
      <w:r w:rsidR="009851A0" w:rsidRPr="00DD1DFA">
        <w:rPr>
          <w:noProof/>
        </w:rPr>
        <w:t>zególności traktują priorytetowo rozszerzenie zakresu istniejącego europejskiego dokumentu oceny.</w:t>
      </w:r>
    </w:p>
    <w:p w14:paraId="092157A2" w14:textId="3CD8EBC6" w:rsidR="00BC1E12" w:rsidRPr="00DD1DFA" w:rsidRDefault="005F7EFA" w:rsidP="005F7EFA">
      <w:pPr>
        <w:pStyle w:val="ManualNumPar1"/>
        <w:rPr>
          <w:rFonts w:eastAsia="Times New Roman"/>
          <w:noProof/>
          <w:szCs w:val="24"/>
        </w:rPr>
      </w:pPr>
      <w:r w:rsidRPr="005F7EFA">
        <w:t>4.</w:t>
      </w:r>
      <w:r w:rsidRPr="005F7EFA">
        <w:tab/>
      </w:r>
      <w:r w:rsidR="009851A0" w:rsidRPr="00DD1DFA">
        <w:rPr>
          <w:noProof/>
        </w:rPr>
        <w:t>JOT</w:t>
      </w:r>
      <w:r w:rsidR="00DD1DFA" w:rsidRPr="00DD1DFA">
        <w:rPr>
          <w:noProof/>
        </w:rPr>
        <w:t xml:space="preserve"> i</w:t>
      </w:r>
      <w:r w:rsidR="00DD1DFA">
        <w:rPr>
          <w:noProof/>
        </w:rPr>
        <w:t> </w:t>
      </w:r>
      <w:r w:rsidR="00DD1DFA" w:rsidRPr="00DD1DFA">
        <w:rPr>
          <w:noProof/>
        </w:rPr>
        <w:t>org</w:t>
      </w:r>
      <w:r w:rsidR="009851A0" w:rsidRPr="00DD1DFA">
        <w:rPr>
          <w:noProof/>
        </w:rPr>
        <w:t>anizacja JOT odstępują od opracowywania europejskich dokumentów oceny, jeżeli istnieje duże prawdopodobieństwo powielenia zharmonizowanych specyfikacji technicznych lub wcześniej istniejących europejskich dokumentów oceny,</w:t>
      </w:r>
      <w:r w:rsidR="00DD1DFA" w:rsidRPr="00DD1DFA">
        <w:rPr>
          <w:noProof/>
        </w:rPr>
        <w:t xml:space="preserve"> i</w:t>
      </w:r>
      <w:r w:rsidR="00DD1DFA">
        <w:rPr>
          <w:noProof/>
        </w:rPr>
        <w:t> </w:t>
      </w:r>
      <w:r w:rsidR="00DD1DFA" w:rsidRPr="00DD1DFA">
        <w:rPr>
          <w:noProof/>
        </w:rPr>
        <w:t>wyc</w:t>
      </w:r>
      <w:r w:rsidR="009851A0" w:rsidRPr="00DD1DFA">
        <w:rPr>
          <w:noProof/>
        </w:rPr>
        <w:t>ofują powielające się europejskie dokumenty oceny.</w:t>
      </w:r>
    </w:p>
    <w:p w14:paraId="5F2B89A3" w14:textId="77777777" w:rsidR="00BC1E12" w:rsidRPr="00DD1DFA" w:rsidRDefault="00BC1E12" w:rsidP="00C33023">
      <w:pPr>
        <w:pStyle w:val="Titrearticle"/>
        <w:rPr>
          <w:noProof/>
        </w:rPr>
      </w:pPr>
      <w:r w:rsidRPr="00DD1DFA">
        <w:rPr>
          <w:noProof/>
        </w:rPr>
        <w:t>Artykuł 37</w:t>
      </w:r>
    </w:p>
    <w:p w14:paraId="244C1D5D" w14:textId="77777777" w:rsidR="00BC1E12" w:rsidRPr="00DD1DFA" w:rsidRDefault="009851A0" w:rsidP="00C33023">
      <w:pPr>
        <w:pStyle w:val="Titrearticle"/>
        <w:rPr>
          <w:b/>
          <w:bCs/>
          <w:noProof/>
        </w:rPr>
      </w:pPr>
      <w:r w:rsidRPr="00DD1DFA">
        <w:rPr>
          <w:b/>
          <w:bCs/>
          <w:noProof/>
        </w:rPr>
        <w:t>Obowiązki JOT otrzymującej wniosek dotyczący europejskiej oceny technicznej</w:t>
      </w:r>
    </w:p>
    <w:p w14:paraId="170F48E3" w14:textId="2FF3F3B3" w:rsidR="00D679A8" w:rsidRPr="00DD1DFA" w:rsidRDefault="005F7EFA" w:rsidP="005F7EFA">
      <w:pPr>
        <w:pStyle w:val="ManualNumPar1"/>
        <w:rPr>
          <w:noProof/>
        </w:rPr>
      </w:pPr>
      <w:r w:rsidRPr="005F7EFA">
        <w:t>1.</w:t>
      </w:r>
      <w:r w:rsidRPr="005F7EFA">
        <w:tab/>
      </w:r>
      <w:r w:rsidR="00D679A8" w:rsidRPr="00DD1DFA">
        <w:rPr>
          <w:noProof/>
        </w:rPr>
        <w:t>JOT otrzymująca wniosek</w:t>
      </w:r>
      <w:r w:rsidR="00DD1DFA" w:rsidRPr="00DD1DFA">
        <w:rPr>
          <w:noProof/>
        </w:rPr>
        <w:t xml:space="preserve"> o</w:t>
      </w:r>
      <w:r w:rsidR="00DD1DFA">
        <w:rPr>
          <w:noProof/>
        </w:rPr>
        <w:t> </w:t>
      </w:r>
      <w:r w:rsidR="00DD1DFA" w:rsidRPr="00DD1DFA">
        <w:rPr>
          <w:noProof/>
        </w:rPr>
        <w:t>wyd</w:t>
      </w:r>
      <w:r w:rsidR="00D679A8" w:rsidRPr="00DD1DFA">
        <w:rPr>
          <w:noProof/>
        </w:rPr>
        <w:t xml:space="preserve">anie europejskiej </w:t>
      </w:r>
      <w:r w:rsidR="00D679A8" w:rsidRPr="00DD1DFA">
        <w:rPr>
          <w:noProof/>
          <w:szCs w:val="24"/>
        </w:rPr>
        <w:t>oceny technicznej od</w:t>
      </w:r>
      <w:r w:rsidR="00D679A8" w:rsidRPr="00DD1DFA">
        <w:rPr>
          <w:noProof/>
        </w:rPr>
        <w:t xml:space="preserve"> producenta, grupy producentów lub stowarzyszenia producentów, informuje wnioskodawcę, jeżeli dany wyrób jest</w:t>
      </w:r>
      <w:r w:rsidR="00DD1DFA" w:rsidRPr="00DD1DFA">
        <w:rPr>
          <w:noProof/>
        </w:rPr>
        <w:t xml:space="preserve"> w</w:t>
      </w:r>
      <w:r w:rsidR="00DD1DFA">
        <w:rPr>
          <w:noProof/>
        </w:rPr>
        <w:t> </w:t>
      </w:r>
      <w:r w:rsidR="00DD1DFA" w:rsidRPr="00DD1DFA">
        <w:rPr>
          <w:noProof/>
        </w:rPr>
        <w:t>cał</w:t>
      </w:r>
      <w:r w:rsidR="00D679A8" w:rsidRPr="00DD1DFA">
        <w:rPr>
          <w:noProof/>
        </w:rPr>
        <w:t>ości lub</w:t>
      </w:r>
      <w:r w:rsidR="00DD1DFA" w:rsidRPr="00DD1DFA">
        <w:rPr>
          <w:noProof/>
        </w:rPr>
        <w:t xml:space="preserve"> w</w:t>
      </w:r>
      <w:r w:rsidR="00DD1DFA">
        <w:rPr>
          <w:noProof/>
        </w:rPr>
        <w:t> </w:t>
      </w:r>
      <w:r w:rsidR="00DD1DFA" w:rsidRPr="00DD1DFA">
        <w:rPr>
          <w:noProof/>
        </w:rPr>
        <w:t>czę</w:t>
      </w:r>
      <w:r w:rsidR="00D679A8" w:rsidRPr="00DD1DFA">
        <w:rPr>
          <w:noProof/>
        </w:rPr>
        <w:t>ści objęty zharmonizowaną specyfikacją techniczną lub europejskim dokumentem oceny</w:t>
      </w:r>
      <w:r w:rsidR="00DD1DFA" w:rsidRPr="00DD1DFA">
        <w:rPr>
          <w:noProof/>
        </w:rPr>
        <w:t xml:space="preserve"> w</w:t>
      </w:r>
      <w:r w:rsidR="00DD1DFA">
        <w:rPr>
          <w:noProof/>
        </w:rPr>
        <w:t> </w:t>
      </w:r>
      <w:r w:rsidR="00DD1DFA" w:rsidRPr="00DD1DFA">
        <w:rPr>
          <w:noProof/>
        </w:rPr>
        <w:t>nas</w:t>
      </w:r>
      <w:r w:rsidR="00D679A8" w:rsidRPr="00DD1DFA">
        <w:rPr>
          <w:noProof/>
        </w:rPr>
        <w:t>tępujący sposób:</w:t>
      </w:r>
    </w:p>
    <w:p w14:paraId="406BE69C" w14:textId="7DA59ADA" w:rsidR="00D679A8" w:rsidRPr="00DD1DFA" w:rsidRDefault="005A4BBC" w:rsidP="005A4BBC">
      <w:pPr>
        <w:pStyle w:val="Point1"/>
        <w:rPr>
          <w:noProof/>
        </w:rPr>
      </w:pPr>
      <w:r w:rsidRPr="005A4BBC">
        <w:rPr>
          <w:noProof/>
        </w:rPr>
        <w:t>a)</w:t>
      </w:r>
      <w:r w:rsidRPr="005A4BBC">
        <w:rPr>
          <w:noProof/>
        </w:rPr>
        <w:tab/>
      </w:r>
      <w:r w:rsidR="00D679A8" w:rsidRPr="00DD1DFA">
        <w:rPr>
          <w:noProof/>
        </w:rPr>
        <w:t>jeżeli wyrób jest</w:t>
      </w:r>
      <w:r w:rsidR="00DD1DFA" w:rsidRPr="00DD1DFA">
        <w:rPr>
          <w:noProof/>
        </w:rPr>
        <w:t xml:space="preserve"> w</w:t>
      </w:r>
      <w:r w:rsidR="00DD1DFA">
        <w:rPr>
          <w:noProof/>
        </w:rPr>
        <w:t> </w:t>
      </w:r>
      <w:r w:rsidR="00DD1DFA" w:rsidRPr="00DD1DFA">
        <w:rPr>
          <w:noProof/>
        </w:rPr>
        <w:t>peł</w:t>
      </w:r>
      <w:r w:rsidR="00D679A8" w:rsidRPr="00DD1DFA">
        <w:rPr>
          <w:noProof/>
        </w:rPr>
        <w:t>ni objęty zharmonizowaną specyfikacją techniczną, JOT informuje producenta, grupę producentów lub stowarzyszenie producentów, że zgodnie</w:t>
      </w:r>
      <w:r w:rsidR="00DD1DFA" w:rsidRPr="00DD1DFA">
        <w:rPr>
          <w:noProof/>
        </w:rPr>
        <w:t xml:space="preserve"> z</w:t>
      </w:r>
      <w:r w:rsidR="00DD1DFA">
        <w:rPr>
          <w:noProof/>
        </w:rPr>
        <w:t> </w:t>
      </w:r>
      <w:r w:rsidR="00DD1DFA" w:rsidRPr="00DD1DFA">
        <w:rPr>
          <w:noProof/>
        </w:rPr>
        <w:t>art</w:t>
      </w:r>
      <w:r w:rsidR="00D679A8" w:rsidRPr="00DD1DFA">
        <w:rPr>
          <w:noProof/>
        </w:rPr>
        <w:t>.</w:t>
      </w:r>
      <w:r w:rsidR="00DD1DFA" w:rsidRPr="00DD1DFA">
        <w:rPr>
          <w:noProof/>
        </w:rPr>
        <w:t> </w:t>
      </w:r>
      <w:r w:rsidR="00D679A8" w:rsidRPr="00DD1DFA">
        <w:rPr>
          <w:noProof/>
        </w:rPr>
        <w:t>35 ust.</w:t>
      </w:r>
      <w:r w:rsidR="00DD1DFA" w:rsidRPr="00DD1DFA">
        <w:rPr>
          <w:noProof/>
        </w:rPr>
        <w:t> </w:t>
      </w:r>
      <w:r w:rsidR="00D679A8" w:rsidRPr="00DD1DFA">
        <w:rPr>
          <w:noProof/>
        </w:rPr>
        <w:t>2 europejska ocena techniczna nie może być wydana dla tego wyrobu;</w:t>
      </w:r>
    </w:p>
    <w:p w14:paraId="067AC6B7" w14:textId="22A28270" w:rsidR="00D679A8" w:rsidRPr="00DD1DFA" w:rsidRDefault="005A4BBC" w:rsidP="005A4BBC">
      <w:pPr>
        <w:pStyle w:val="Point1"/>
        <w:rPr>
          <w:noProof/>
        </w:rPr>
      </w:pPr>
      <w:r w:rsidRPr="005A4BBC">
        <w:rPr>
          <w:noProof/>
        </w:rPr>
        <w:t>b)</w:t>
      </w:r>
      <w:r w:rsidRPr="005A4BBC">
        <w:rPr>
          <w:noProof/>
        </w:rPr>
        <w:tab/>
      </w:r>
      <w:r w:rsidR="00D679A8" w:rsidRPr="00DD1DFA">
        <w:rPr>
          <w:noProof/>
        </w:rPr>
        <w:t>jeżeli wyrób jest</w:t>
      </w:r>
      <w:r w:rsidR="00DD1DFA" w:rsidRPr="00DD1DFA">
        <w:rPr>
          <w:noProof/>
        </w:rPr>
        <w:t xml:space="preserve"> w</w:t>
      </w:r>
      <w:r w:rsidR="00DD1DFA">
        <w:rPr>
          <w:noProof/>
        </w:rPr>
        <w:t> </w:t>
      </w:r>
      <w:r w:rsidR="00DD1DFA" w:rsidRPr="00DD1DFA">
        <w:rPr>
          <w:noProof/>
        </w:rPr>
        <w:t>peł</w:t>
      </w:r>
      <w:r w:rsidR="00D679A8" w:rsidRPr="00DD1DFA">
        <w:rPr>
          <w:noProof/>
        </w:rPr>
        <w:t>ni objęty europejskim dokumentem oceny, odniesienie do którego przywołano</w:t>
      </w:r>
      <w:r w:rsidR="00DD1DFA" w:rsidRPr="00DD1DFA">
        <w:rPr>
          <w:noProof/>
        </w:rPr>
        <w:t xml:space="preserve"> w</w:t>
      </w:r>
      <w:r w:rsidR="00DD1DFA">
        <w:rPr>
          <w:noProof/>
        </w:rPr>
        <w:t> </w:t>
      </w:r>
      <w:r w:rsidR="00DD1DFA" w:rsidRPr="00DD1DFA">
        <w:rPr>
          <w:noProof/>
        </w:rPr>
        <w:t>Dzi</w:t>
      </w:r>
      <w:r w:rsidR="00D679A8" w:rsidRPr="00DD1DFA">
        <w:rPr>
          <w:noProof/>
        </w:rPr>
        <w:t>enniku Urzędowym, JOT informuje producenta, grupę producentów lub stowarzyszenie producentów, że ten dokument będzie służył jako podstawa europejskiej oceny technicznej, która ma zostać wydana;</w:t>
      </w:r>
    </w:p>
    <w:p w14:paraId="2F261E5E" w14:textId="0194C717" w:rsidR="00D679A8" w:rsidRPr="00DD1DFA" w:rsidRDefault="005A4BBC" w:rsidP="005A4BBC">
      <w:pPr>
        <w:pStyle w:val="Point1"/>
        <w:rPr>
          <w:noProof/>
        </w:rPr>
      </w:pPr>
      <w:r w:rsidRPr="005A4BBC">
        <w:rPr>
          <w:noProof/>
        </w:rPr>
        <w:t>c)</w:t>
      </w:r>
      <w:r w:rsidRPr="005A4BBC">
        <w:rPr>
          <w:noProof/>
        </w:rPr>
        <w:tab/>
      </w:r>
      <w:r w:rsidR="00D679A8" w:rsidRPr="00DD1DFA">
        <w:rPr>
          <w:noProof/>
        </w:rPr>
        <w:t>jeżeli wyrób nie jest objęty zharmonizowaną specyfikacją techniczną ani europejskim dokumentem oceny</w:t>
      </w:r>
      <w:r w:rsidR="00DD1DFA" w:rsidRPr="00DD1DFA">
        <w:rPr>
          <w:noProof/>
        </w:rPr>
        <w:t xml:space="preserve"> i</w:t>
      </w:r>
      <w:r w:rsidR="00DD1DFA">
        <w:rPr>
          <w:noProof/>
        </w:rPr>
        <w:t> </w:t>
      </w:r>
      <w:r w:rsidR="00DD1DFA" w:rsidRPr="00DD1DFA">
        <w:rPr>
          <w:noProof/>
        </w:rPr>
        <w:t>jeż</w:t>
      </w:r>
      <w:r w:rsidR="00D679A8" w:rsidRPr="00DD1DFA">
        <w:rPr>
          <w:noProof/>
        </w:rPr>
        <w:t>eli nie jest planowane przyjęcie takiej zharmonizowanej specyfikacji technicznej lub europejskiego dokumentu oceny</w:t>
      </w:r>
      <w:r w:rsidR="00DD1DFA" w:rsidRPr="00DD1DFA">
        <w:rPr>
          <w:noProof/>
        </w:rPr>
        <w:t xml:space="preserve"> w</w:t>
      </w:r>
      <w:r w:rsidR="00DD1DFA">
        <w:rPr>
          <w:noProof/>
        </w:rPr>
        <w:t> </w:t>
      </w:r>
      <w:r w:rsidR="00DD1DFA" w:rsidRPr="00DD1DFA">
        <w:rPr>
          <w:noProof/>
        </w:rPr>
        <w:t>cią</w:t>
      </w:r>
      <w:r w:rsidR="00D679A8" w:rsidRPr="00DD1DFA">
        <w:rPr>
          <w:noProof/>
        </w:rPr>
        <w:t>gu najbliższych dwóch lat, ani też taki dokument lub europejski dokument oceny nie jest już opracowywany zgodnie</w:t>
      </w:r>
      <w:r w:rsidR="00DD1DFA" w:rsidRPr="00DD1DFA">
        <w:rPr>
          <w:noProof/>
        </w:rPr>
        <w:t xml:space="preserve"> z</w:t>
      </w:r>
      <w:r w:rsidR="00DD1DFA">
        <w:rPr>
          <w:noProof/>
        </w:rPr>
        <w:t> </w:t>
      </w:r>
      <w:r w:rsidR="00DD1DFA" w:rsidRPr="00DD1DFA">
        <w:rPr>
          <w:noProof/>
        </w:rPr>
        <w:t>zał</w:t>
      </w:r>
      <w:r w:rsidR="00D679A8" w:rsidRPr="00DD1DFA">
        <w:rPr>
          <w:noProof/>
        </w:rPr>
        <w:t>ącznikiem III, JOT stosuje procedury określone</w:t>
      </w:r>
      <w:r w:rsidR="00DD1DFA" w:rsidRPr="00DD1DFA">
        <w:rPr>
          <w:noProof/>
        </w:rPr>
        <w:t xml:space="preserve"> w</w:t>
      </w:r>
      <w:r w:rsidR="00DD1DFA">
        <w:rPr>
          <w:noProof/>
        </w:rPr>
        <w:t> </w:t>
      </w:r>
      <w:r w:rsidR="00DD1DFA" w:rsidRPr="00DD1DFA">
        <w:rPr>
          <w:noProof/>
        </w:rPr>
        <w:t>zał</w:t>
      </w:r>
      <w:r w:rsidR="00D679A8" w:rsidRPr="00DD1DFA">
        <w:rPr>
          <w:noProof/>
        </w:rPr>
        <w:t>ączniku III lub ustanowione na podstawie art.</w:t>
      </w:r>
      <w:r w:rsidR="00DD1DFA" w:rsidRPr="00DD1DFA">
        <w:rPr>
          <w:noProof/>
        </w:rPr>
        <w:t> </w:t>
      </w:r>
      <w:r w:rsidR="00D679A8" w:rsidRPr="00DD1DFA">
        <w:rPr>
          <w:noProof/>
        </w:rPr>
        <w:t>35 ust.</w:t>
      </w:r>
      <w:r w:rsidR="00DD1DFA" w:rsidRPr="00DD1DFA">
        <w:rPr>
          <w:noProof/>
        </w:rPr>
        <w:t> </w:t>
      </w:r>
      <w:r w:rsidR="00D679A8" w:rsidRPr="00DD1DFA">
        <w:rPr>
          <w:noProof/>
        </w:rPr>
        <w:t>4.</w:t>
      </w:r>
    </w:p>
    <w:p w14:paraId="6467C55A" w14:textId="6DB0BA9C" w:rsidR="00D679A8" w:rsidRPr="00DD1DFA" w:rsidRDefault="005F7EFA" w:rsidP="005F7EFA">
      <w:pPr>
        <w:pStyle w:val="ManualNumPar1"/>
        <w:rPr>
          <w:noProof/>
        </w:rPr>
      </w:pPr>
      <w:r w:rsidRPr="005F7EFA">
        <w:t>2.</w:t>
      </w:r>
      <w:r w:rsidRPr="005F7EFA">
        <w:tab/>
      </w:r>
      <w:r w:rsidR="00D679A8" w:rsidRPr="00DD1DFA">
        <w:rPr>
          <w:noProof/>
        </w:rPr>
        <w:t>W przypadkach,</w:t>
      </w:r>
      <w:r w:rsidR="00DD1DFA" w:rsidRPr="00DD1DFA">
        <w:rPr>
          <w:noProof/>
        </w:rPr>
        <w:t xml:space="preserve"> o</w:t>
      </w:r>
      <w:r w:rsidR="00DD1DFA">
        <w:rPr>
          <w:noProof/>
        </w:rPr>
        <w:t> </w:t>
      </w:r>
      <w:r w:rsidR="00DD1DFA" w:rsidRPr="00DD1DFA">
        <w:rPr>
          <w:noProof/>
        </w:rPr>
        <w:t>któ</w:t>
      </w:r>
      <w:r w:rsidR="00D679A8" w:rsidRPr="00DD1DFA">
        <w:rPr>
          <w:noProof/>
        </w:rPr>
        <w:t>rych mowa</w:t>
      </w:r>
      <w:r w:rsidR="00DD1DFA" w:rsidRPr="00DD1DFA">
        <w:rPr>
          <w:noProof/>
        </w:rPr>
        <w:t xml:space="preserve"> w</w:t>
      </w:r>
      <w:r w:rsidR="00DD1DFA">
        <w:rPr>
          <w:noProof/>
        </w:rPr>
        <w:t> </w:t>
      </w:r>
      <w:r w:rsidR="00DD1DFA" w:rsidRPr="00DD1DFA">
        <w:rPr>
          <w:noProof/>
        </w:rPr>
        <w:t>ust</w:t>
      </w:r>
      <w:r w:rsidR="00D679A8" w:rsidRPr="00DD1DFA">
        <w:rPr>
          <w:noProof/>
        </w:rPr>
        <w:t>.</w:t>
      </w:r>
      <w:r w:rsidR="00DD1DFA" w:rsidRPr="00DD1DFA">
        <w:rPr>
          <w:noProof/>
        </w:rPr>
        <w:t> </w:t>
      </w:r>
      <w:r w:rsidR="00D679A8" w:rsidRPr="00DD1DFA">
        <w:rPr>
          <w:noProof/>
        </w:rPr>
        <w:t>1 lit.</w:t>
      </w:r>
      <w:r w:rsidR="00DD1DFA" w:rsidRPr="00DD1DFA">
        <w:rPr>
          <w:noProof/>
        </w:rPr>
        <w:t> </w:t>
      </w:r>
      <w:r w:rsidR="00D679A8" w:rsidRPr="00DD1DFA">
        <w:rPr>
          <w:noProof/>
        </w:rPr>
        <w:t>b) i c), JOT informuje organizację JOT oraz Komisję</w:t>
      </w:r>
      <w:r w:rsidR="00DD1DFA" w:rsidRPr="00DD1DFA">
        <w:rPr>
          <w:noProof/>
        </w:rPr>
        <w:t xml:space="preserve"> o</w:t>
      </w:r>
      <w:r w:rsidR="00DD1DFA">
        <w:rPr>
          <w:noProof/>
        </w:rPr>
        <w:t> </w:t>
      </w:r>
      <w:r w:rsidR="00DD1DFA" w:rsidRPr="00DD1DFA">
        <w:rPr>
          <w:noProof/>
        </w:rPr>
        <w:t>zaw</w:t>
      </w:r>
      <w:r w:rsidR="00D679A8" w:rsidRPr="00DD1DFA">
        <w:rPr>
          <w:noProof/>
        </w:rPr>
        <w:t>artości wniosku oraz odniesieniu do stosownego aktu Komisji określającego system oceny</w:t>
      </w:r>
      <w:r w:rsidR="00DD1DFA" w:rsidRPr="00DD1DFA">
        <w:rPr>
          <w:noProof/>
        </w:rPr>
        <w:t xml:space="preserve"> i</w:t>
      </w:r>
      <w:r w:rsidR="00DD1DFA">
        <w:rPr>
          <w:noProof/>
        </w:rPr>
        <w:t> </w:t>
      </w:r>
      <w:r w:rsidR="00DD1DFA" w:rsidRPr="00DD1DFA">
        <w:rPr>
          <w:noProof/>
        </w:rPr>
        <w:t>wer</w:t>
      </w:r>
      <w:r w:rsidR="00D679A8" w:rsidRPr="00DD1DFA">
        <w:rPr>
          <w:noProof/>
        </w:rPr>
        <w:t>yfikacji, który JOT zamierza zastosować do tego wyrobu, lub też</w:t>
      </w:r>
      <w:r w:rsidR="00DD1DFA" w:rsidRPr="00DD1DFA">
        <w:rPr>
          <w:noProof/>
        </w:rPr>
        <w:t xml:space="preserve"> o</w:t>
      </w:r>
      <w:r w:rsidR="00DD1DFA">
        <w:rPr>
          <w:noProof/>
        </w:rPr>
        <w:t> </w:t>
      </w:r>
      <w:r w:rsidR="00DD1DFA" w:rsidRPr="00DD1DFA">
        <w:rPr>
          <w:noProof/>
        </w:rPr>
        <w:t>bra</w:t>
      </w:r>
      <w:r w:rsidR="00D679A8" w:rsidRPr="00DD1DFA">
        <w:rPr>
          <w:noProof/>
        </w:rPr>
        <w:t>ku takiej decyzji Komisji.</w:t>
      </w:r>
    </w:p>
    <w:p w14:paraId="7C0AF94A" w14:textId="4B8FFB83" w:rsidR="00BC1E12" w:rsidRPr="00DD1DFA" w:rsidRDefault="005F7EFA" w:rsidP="005F7EFA">
      <w:pPr>
        <w:pStyle w:val="ManualNumPar1"/>
        <w:rPr>
          <w:noProof/>
        </w:rPr>
      </w:pPr>
      <w:r w:rsidRPr="005F7EFA">
        <w:t>3.</w:t>
      </w:r>
      <w:r w:rsidRPr="005F7EFA">
        <w:tab/>
      </w:r>
      <w:r w:rsidR="00D679A8" w:rsidRPr="00DD1DFA">
        <w:rPr>
          <w:noProof/>
        </w:rPr>
        <w:t>Jeżeli Komisja uzna, że</w:t>
      </w:r>
      <w:r w:rsidR="00DD1DFA" w:rsidRPr="00DD1DFA">
        <w:rPr>
          <w:noProof/>
        </w:rPr>
        <w:t xml:space="preserve"> w</w:t>
      </w:r>
      <w:r w:rsidR="00DD1DFA">
        <w:rPr>
          <w:noProof/>
        </w:rPr>
        <w:t> </w:t>
      </w:r>
      <w:r w:rsidR="00DD1DFA" w:rsidRPr="00DD1DFA">
        <w:rPr>
          <w:noProof/>
        </w:rPr>
        <w:t>odn</w:t>
      </w:r>
      <w:r w:rsidR="00D679A8" w:rsidRPr="00DD1DFA">
        <w:rPr>
          <w:noProof/>
        </w:rPr>
        <w:t>iesieniu do danego wyrobu nie istnieje odpowiedni akt prawny Komisji określający system oceny</w:t>
      </w:r>
      <w:r w:rsidR="00DD1DFA" w:rsidRPr="00DD1DFA">
        <w:rPr>
          <w:noProof/>
        </w:rPr>
        <w:t xml:space="preserve"> i</w:t>
      </w:r>
      <w:r w:rsidR="00DD1DFA">
        <w:rPr>
          <w:noProof/>
        </w:rPr>
        <w:t> </w:t>
      </w:r>
      <w:r w:rsidR="00DD1DFA" w:rsidRPr="00DD1DFA">
        <w:rPr>
          <w:noProof/>
        </w:rPr>
        <w:t>wer</w:t>
      </w:r>
      <w:r w:rsidR="00D679A8" w:rsidRPr="00DD1DFA">
        <w:rPr>
          <w:noProof/>
        </w:rPr>
        <w:t>yfikacji, może przyjąć taki akt na podstawie art.</w:t>
      </w:r>
      <w:r w:rsidR="00DD1DFA" w:rsidRPr="00DD1DFA">
        <w:rPr>
          <w:noProof/>
        </w:rPr>
        <w:t> </w:t>
      </w:r>
      <w:r w:rsidR="00D679A8" w:rsidRPr="00DD1DFA">
        <w:rPr>
          <w:noProof/>
        </w:rPr>
        <w:t>6 ust.</w:t>
      </w:r>
      <w:r w:rsidR="00DD1DFA" w:rsidRPr="00DD1DFA">
        <w:rPr>
          <w:noProof/>
        </w:rPr>
        <w:t> </w:t>
      </w:r>
      <w:r w:rsidR="00D679A8" w:rsidRPr="00DD1DFA">
        <w:rPr>
          <w:noProof/>
        </w:rPr>
        <w:t>1.</w:t>
      </w:r>
    </w:p>
    <w:p w14:paraId="4C0A85CA" w14:textId="77777777" w:rsidR="00BC1E12" w:rsidRPr="00DD1DFA" w:rsidRDefault="00BC1E12" w:rsidP="00C33023">
      <w:pPr>
        <w:pStyle w:val="Titrearticle"/>
        <w:rPr>
          <w:noProof/>
        </w:rPr>
      </w:pPr>
      <w:r w:rsidRPr="00DD1DFA">
        <w:rPr>
          <w:noProof/>
        </w:rPr>
        <w:t>Artykuł 38</w:t>
      </w:r>
    </w:p>
    <w:p w14:paraId="4ABB849A" w14:textId="77777777" w:rsidR="00BC1E12" w:rsidRPr="00DD1DFA" w:rsidRDefault="00BC1E12" w:rsidP="00C33023">
      <w:pPr>
        <w:pStyle w:val="Titrearticle"/>
        <w:rPr>
          <w:b/>
          <w:bCs/>
          <w:noProof/>
        </w:rPr>
      </w:pPr>
      <w:r w:rsidRPr="00DD1DFA">
        <w:rPr>
          <w:b/>
          <w:bCs/>
          <w:noProof/>
        </w:rPr>
        <w:t>Publikacja odniesień</w:t>
      </w:r>
    </w:p>
    <w:p w14:paraId="16DAE934" w14:textId="7ED1A410" w:rsidR="00D679A8" w:rsidRPr="00DD1DFA" w:rsidRDefault="005F7EFA" w:rsidP="005F7EFA">
      <w:pPr>
        <w:pStyle w:val="ManualNumPar1"/>
        <w:rPr>
          <w:rFonts w:eastAsia="Times New Roman"/>
          <w:noProof/>
        </w:rPr>
      </w:pPr>
      <w:r w:rsidRPr="005F7EFA">
        <w:t>1.</w:t>
      </w:r>
      <w:r w:rsidRPr="005F7EFA">
        <w:tab/>
      </w:r>
      <w:r w:rsidR="00D679A8" w:rsidRPr="00DD1DFA">
        <w:rPr>
          <w:noProof/>
        </w:rPr>
        <w:t>Komisja ocenia zgodność europejskich dokumentów oceny ze zharmonizowanymi specyfikacjami technicznymi,</w:t>
      </w:r>
      <w:r w:rsidR="00DD1DFA" w:rsidRPr="00DD1DFA">
        <w:rPr>
          <w:noProof/>
        </w:rPr>
        <w:t xml:space="preserve"> z</w:t>
      </w:r>
      <w:r w:rsidR="00DD1DFA">
        <w:rPr>
          <w:noProof/>
        </w:rPr>
        <w:t> </w:t>
      </w:r>
      <w:r w:rsidR="00DD1DFA" w:rsidRPr="00DD1DFA">
        <w:rPr>
          <w:noProof/>
        </w:rPr>
        <w:t>nin</w:t>
      </w:r>
      <w:r w:rsidR="00D679A8" w:rsidRPr="00DD1DFA">
        <w:rPr>
          <w:noProof/>
        </w:rPr>
        <w:t>iejszym rozporządzeniem</w:t>
      </w:r>
      <w:r w:rsidR="00DD1DFA" w:rsidRPr="00DD1DFA">
        <w:rPr>
          <w:noProof/>
        </w:rPr>
        <w:t xml:space="preserve"> i</w:t>
      </w:r>
      <w:r w:rsidR="00DD1DFA">
        <w:rPr>
          <w:noProof/>
        </w:rPr>
        <w:t> </w:t>
      </w:r>
      <w:r w:rsidR="00DD1DFA" w:rsidRPr="00DD1DFA">
        <w:rPr>
          <w:noProof/>
        </w:rPr>
        <w:t>inn</w:t>
      </w:r>
      <w:r w:rsidR="00D679A8" w:rsidRPr="00DD1DFA">
        <w:rPr>
          <w:noProof/>
        </w:rPr>
        <w:t>ymi przepisami prawa Unii. Komisja publikuje lub publikuje</w:t>
      </w:r>
      <w:r w:rsidR="00DD1DFA" w:rsidRPr="00DD1DFA">
        <w:rPr>
          <w:noProof/>
        </w:rPr>
        <w:t xml:space="preserve"> z</w:t>
      </w:r>
      <w:r w:rsidR="00DD1DFA">
        <w:rPr>
          <w:noProof/>
        </w:rPr>
        <w:t> </w:t>
      </w:r>
      <w:r w:rsidR="00DD1DFA" w:rsidRPr="00DD1DFA">
        <w:rPr>
          <w:noProof/>
        </w:rPr>
        <w:t>zas</w:t>
      </w:r>
      <w:r w:rsidR="00D679A8" w:rsidRPr="00DD1DFA">
        <w:rPr>
          <w:noProof/>
        </w:rPr>
        <w:t>trzeżeniami</w:t>
      </w:r>
      <w:r w:rsidR="00DD1DFA" w:rsidRPr="00DD1DFA">
        <w:rPr>
          <w:noProof/>
        </w:rPr>
        <w:t xml:space="preserve"> w</w:t>
      </w:r>
      <w:r w:rsidR="00DD1DFA">
        <w:rPr>
          <w:noProof/>
        </w:rPr>
        <w:t> </w:t>
      </w:r>
      <w:r w:rsidR="00DD1DFA" w:rsidRPr="00DD1DFA">
        <w:rPr>
          <w:i/>
          <w:iCs/>
          <w:noProof/>
        </w:rPr>
        <w:t>Dzi</w:t>
      </w:r>
      <w:r w:rsidR="00D679A8" w:rsidRPr="00DD1DFA">
        <w:rPr>
          <w:i/>
          <w:iCs/>
          <w:noProof/>
        </w:rPr>
        <w:t>enniku Urzędowym Unii Europejskiej</w:t>
      </w:r>
      <w:r w:rsidR="00D679A8" w:rsidRPr="00DD1DFA">
        <w:rPr>
          <w:noProof/>
        </w:rPr>
        <w:t xml:space="preserve"> wykaz odniesień do przyjętych europejskich dokumentów oceny zgodnych</w:t>
      </w:r>
      <w:r w:rsidR="00DD1DFA" w:rsidRPr="00DD1DFA">
        <w:rPr>
          <w:noProof/>
        </w:rPr>
        <w:t xml:space="preserve"> z</w:t>
      </w:r>
      <w:r w:rsidR="00DD1DFA">
        <w:rPr>
          <w:noProof/>
        </w:rPr>
        <w:t> </w:t>
      </w:r>
      <w:r w:rsidR="00DD1DFA" w:rsidRPr="00DD1DFA">
        <w:rPr>
          <w:noProof/>
        </w:rPr>
        <w:t>wym</w:t>
      </w:r>
      <w:r w:rsidR="00D679A8" w:rsidRPr="00DD1DFA">
        <w:rPr>
          <w:noProof/>
        </w:rPr>
        <w:t>aganiami. Komisja publikuje aktualizacje tego wykazu.</w:t>
      </w:r>
    </w:p>
    <w:p w14:paraId="673140E3" w14:textId="7DDC12FE" w:rsidR="00BC1E12" w:rsidRPr="00DD1DFA" w:rsidRDefault="005F7EFA" w:rsidP="005F7EFA">
      <w:pPr>
        <w:pStyle w:val="ManualNumPar1"/>
        <w:rPr>
          <w:noProof/>
        </w:rPr>
      </w:pPr>
      <w:r w:rsidRPr="005F7EFA">
        <w:t>2.</w:t>
      </w:r>
      <w:r w:rsidRPr="005F7EFA">
        <w:tab/>
      </w:r>
      <w:r w:rsidR="00D679A8" w:rsidRPr="00DD1DFA">
        <w:rPr>
          <w:noProof/>
        </w:rPr>
        <w:t>Jedynie europejskie dokumenty oceny wymienione</w:t>
      </w:r>
      <w:r w:rsidR="00DD1DFA" w:rsidRPr="00DD1DFA">
        <w:rPr>
          <w:noProof/>
        </w:rPr>
        <w:t xml:space="preserve"> w</w:t>
      </w:r>
      <w:r w:rsidR="00DD1DFA">
        <w:rPr>
          <w:noProof/>
        </w:rPr>
        <w:t> </w:t>
      </w:r>
      <w:r w:rsidR="00DD1DFA" w:rsidRPr="00DD1DFA">
        <w:rPr>
          <w:noProof/>
        </w:rPr>
        <w:t>tym</w:t>
      </w:r>
      <w:r w:rsidR="00D679A8" w:rsidRPr="00DD1DFA">
        <w:rPr>
          <w:noProof/>
        </w:rPr>
        <w:t xml:space="preserve"> wykazie</w:t>
      </w:r>
      <w:r w:rsidR="00DD1DFA" w:rsidRPr="00DD1DFA">
        <w:rPr>
          <w:noProof/>
        </w:rPr>
        <w:t xml:space="preserve"> i</w:t>
      </w:r>
      <w:r w:rsidR="00DD1DFA">
        <w:rPr>
          <w:noProof/>
        </w:rPr>
        <w:t> </w:t>
      </w:r>
      <w:r w:rsidR="00DD1DFA" w:rsidRPr="00DD1DFA">
        <w:rPr>
          <w:noProof/>
        </w:rPr>
        <w:t>opu</w:t>
      </w:r>
      <w:r w:rsidR="00D679A8" w:rsidRPr="00DD1DFA">
        <w:rPr>
          <w:noProof/>
        </w:rPr>
        <w:t>blikowane w co najmniej jednym języku Unii przez Komisję albo przez organizację JOT upoważniają do wydawania europejskich ocen technicznych na podstawie art.</w:t>
      </w:r>
      <w:r w:rsidR="00DD1DFA" w:rsidRPr="00DD1DFA">
        <w:rPr>
          <w:noProof/>
        </w:rPr>
        <w:t> </w:t>
      </w:r>
      <w:r w:rsidR="00D679A8" w:rsidRPr="00DD1DFA">
        <w:rPr>
          <w:noProof/>
        </w:rPr>
        <w:t>42</w:t>
      </w:r>
      <w:r w:rsidR="00DD1DFA" w:rsidRPr="00DD1DFA">
        <w:rPr>
          <w:noProof/>
        </w:rPr>
        <w:t xml:space="preserve"> i</w:t>
      </w:r>
      <w:r w:rsidR="00DD1DFA">
        <w:rPr>
          <w:noProof/>
        </w:rPr>
        <w:t> </w:t>
      </w:r>
      <w:r w:rsidR="00DD1DFA" w:rsidRPr="00DD1DFA">
        <w:rPr>
          <w:noProof/>
        </w:rPr>
        <w:t>wyw</w:t>
      </w:r>
      <w:r w:rsidR="00D679A8" w:rsidRPr="00DD1DFA">
        <w:rPr>
          <w:noProof/>
        </w:rPr>
        <w:t>ołują skutki prawne określone</w:t>
      </w:r>
      <w:r w:rsidR="00DD1DFA" w:rsidRPr="00DD1DFA">
        <w:rPr>
          <w:noProof/>
        </w:rPr>
        <w:t xml:space="preserve"> w</w:t>
      </w:r>
      <w:r w:rsidR="00DD1DFA">
        <w:rPr>
          <w:noProof/>
        </w:rPr>
        <w:t> </w:t>
      </w:r>
      <w:r w:rsidR="00DD1DFA" w:rsidRPr="00DD1DFA">
        <w:rPr>
          <w:noProof/>
        </w:rPr>
        <w:t>art</w:t>
      </w:r>
      <w:r w:rsidR="00D679A8" w:rsidRPr="00DD1DFA">
        <w:rPr>
          <w:noProof/>
        </w:rPr>
        <w:t>.</w:t>
      </w:r>
      <w:r w:rsidR="00DD1DFA" w:rsidRPr="00DD1DFA">
        <w:rPr>
          <w:noProof/>
        </w:rPr>
        <w:t> </w:t>
      </w:r>
      <w:r w:rsidR="00D679A8" w:rsidRPr="00DD1DFA">
        <w:rPr>
          <w:noProof/>
        </w:rPr>
        <w:t>42 ust.</w:t>
      </w:r>
      <w:r w:rsidR="00DD1DFA" w:rsidRPr="00DD1DFA">
        <w:rPr>
          <w:noProof/>
        </w:rPr>
        <w:t> </w:t>
      </w:r>
      <w:r w:rsidR="00D679A8" w:rsidRPr="00DD1DFA">
        <w:rPr>
          <w:noProof/>
        </w:rPr>
        <w:t>5,</w:t>
      </w:r>
      <w:r w:rsidR="00DD1DFA" w:rsidRPr="00DD1DFA">
        <w:rPr>
          <w:noProof/>
        </w:rPr>
        <w:t xml:space="preserve"> w</w:t>
      </w:r>
      <w:r w:rsidR="00DD1DFA">
        <w:rPr>
          <w:noProof/>
        </w:rPr>
        <w:t> </w:t>
      </w:r>
      <w:r w:rsidR="00DD1DFA" w:rsidRPr="00DD1DFA">
        <w:rPr>
          <w:noProof/>
        </w:rPr>
        <w:t>tym w</w:t>
      </w:r>
      <w:r w:rsidR="00DD1DFA">
        <w:rPr>
          <w:noProof/>
        </w:rPr>
        <w:t> </w:t>
      </w:r>
      <w:r w:rsidR="00DD1DFA" w:rsidRPr="00DD1DFA">
        <w:rPr>
          <w:noProof/>
        </w:rPr>
        <w:t>odn</w:t>
      </w:r>
      <w:r w:rsidR="00D679A8" w:rsidRPr="00DD1DFA">
        <w:rPr>
          <w:noProof/>
        </w:rPr>
        <w:t>iesieniu do producenta, który wystąpił</w:t>
      </w:r>
      <w:r w:rsidR="00DD1DFA" w:rsidRPr="00DD1DFA">
        <w:rPr>
          <w:noProof/>
        </w:rPr>
        <w:t xml:space="preserve"> z</w:t>
      </w:r>
      <w:r w:rsidR="00DD1DFA">
        <w:rPr>
          <w:noProof/>
        </w:rPr>
        <w:t> </w:t>
      </w:r>
      <w:r w:rsidR="00DD1DFA" w:rsidRPr="00DD1DFA">
        <w:rPr>
          <w:noProof/>
        </w:rPr>
        <w:t>wni</w:t>
      </w:r>
      <w:r w:rsidR="00D679A8" w:rsidRPr="00DD1DFA">
        <w:rPr>
          <w:noProof/>
        </w:rPr>
        <w:t>oskiem</w:t>
      </w:r>
      <w:r w:rsidR="00DD1DFA" w:rsidRPr="00DD1DFA">
        <w:rPr>
          <w:noProof/>
        </w:rPr>
        <w:t xml:space="preserve"> o</w:t>
      </w:r>
      <w:r w:rsidR="00DD1DFA">
        <w:rPr>
          <w:noProof/>
        </w:rPr>
        <w:t> </w:t>
      </w:r>
      <w:r w:rsidR="00DD1DFA" w:rsidRPr="00DD1DFA">
        <w:rPr>
          <w:noProof/>
        </w:rPr>
        <w:t>opr</w:t>
      </w:r>
      <w:r w:rsidR="00D679A8" w:rsidRPr="00DD1DFA">
        <w:rPr>
          <w:noProof/>
        </w:rPr>
        <w:t>acowanie europejskiego dokumentu oceny. Ten skutek prawny europejskich dokumentów oceny wygasa po upływie dziesięciu lat od ich pierwszego przywołania</w:t>
      </w:r>
      <w:r w:rsidR="00DD1DFA" w:rsidRPr="00DD1DFA">
        <w:rPr>
          <w:noProof/>
        </w:rPr>
        <w:t xml:space="preserve"> w</w:t>
      </w:r>
      <w:r w:rsidR="00DD1DFA">
        <w:rPr>
          <w:noProof/>
        </w:rPr>
        <w:t> </w:t>
      </w:r>
      <w:r w:rsidR="00DD1DFA" w:rsidRPr="00DD1DFA">
        <w:rPr>
          <w:i/>
          <w:iCs/>
          <w:noProof/>
        </w:rPr>
        <w:t>Dzi</w:t>
      </w:r>
      <w:r w:rsidR="00D679A8" w:rsidRPr="00DD1DFA">
        <w:rPr>
          <w:i/>
          <w:iCs/>
          <w:noProof/>
        </w:rPr>
        <w:t>enniku Urzędowym Unii Europejskiej</w:t>
      </w:r>
      <w:r w:rsidR="00D679A8" w:rsidRPr="00DD1DFA">
        <w:rPr>
          <w:noProof/>
        </w:rPr>
        <w:t>, chyba że ich ważność została przedłużona</w:t>
      </w:r>
      <w:r w:rsidR="00DD1DFA" w:rsidRPr="00DD1DFA">
        <w:rPr>
          <w:noProof/>
        </w:rPr>
        <w:t xml:space="preserve"> w</w:t>
      </w:r>
      <w:r w:rsidR="00DD1DFA">
        <w:rPr>
          <w:noProof/>
        </w:rPr>
        <w:t> </w:t>
      </w:r>
      <w:r w:rsidR="00DD1DFA" w:rsidRPr="00DD1DFA">
        <w:rPr>
          <w:noProof/>
        </w:rPr>
        <w:t>ost</w:t>
      </w:r>
      <w:r w:rsidR="00D679A8" w:rsidRPr="00DD1DFA">
        <w:rPr>
          <w:noProof/>
        </w:rPr>
        <w:t>atnim roku przed wygaśnięciem,</w:t>
      </w:r>
      <w:r w:rsidR="00DD1DFA" w:rsidRPr="00DD1DFA">
        <w:rPr>
          <w:noProof/>
        </w:rPr>
        <w:t xml:space="preserve"> a</w:t>
      </w:r>
      <w:r w:rsidR="00DD1DFA">
        <w:rPr>
          <w:noProof/>
        </w:rPr>
        <w:t> </w:t>
      </w:r>
      <w:r w:rsidR="00DD1DFA" w:rsidRPr="00DD1DFA">
        <w:rPr>
          <w:noProof/>
        </w:rPr>
        <w:t>Kom</w:t>
      </w:r>
      <w:r w:rsidR="00D679A8" w:rsidRPr="00DD1DFA">
        <w:rPr>
          <w:noProof/>
        </w:rPr>
        <w:t>isja postanowi utrzymać je</w:t>
      </w:r>
      <w:r w:rsidR="00DD1DFA" w:rsidRPr="00DD1DFA">
        <w:rPr>
          <w:noProof/>
        </w:rPr>
        <w:t xml:space="preserve"> w</w:t>
      </w:r>
      <w:r w:rsidR="00DD1DFA">
        <w:rPr>
          <w:noProof/>
        </w:rPr>
        <w:t> </w:t>
      </w:r>
      <w:r w:rsidR="00DD1DFA" w:rsidRPr="00DD1DFA">
        <w:rPr>
          <w:noProof/>
        </w:rPr>
        <w:t>wyk</w:t>
      </w:r>
      <w:r w:rsidR="00D679A8" w:rsidRPr="00DD1DFA">
        <w:rPr>
          <w:noProof/>
        </w:rPr>
        <w:t>azie.</w:t>
      </w:r>
    </w:p>
    <w:p w14:paraId="67932BDD" w14:textId="77777777" w:rsidR="00BC1E12" w:rsidRPr="00DD1DFA" w:rsidRDefault="00BC1E12" w:rsidP="00163944">
      <w:pPr>
        <w:pStyle w:val="Titrearticle"/>
        <w:rPr>
          <w:noProof/>
        </w:rPr>
      </w:pPr>
      <w:r w:rsidRPr="00DD1DFA">
        <w:rPr>
          <w:noProof/>
        </w:rPr>
        <w:t>Artykuł 39</w:t>
      </w:r>
    </w:p>
    <w:p w14:paraId="1406B09A" w14:textId="77777777" w:rsidR="00BC1E12" w:rsidRPr="00DD1DFA" w:rsidRDefault="00B12EBD" w:rsidP="00163944">
      <w:pPr>
        <w:pStyle w:val="Titrearticle"/>
        <w:rPr>
          <w:b/>
          <w:noProof/>
        </w:rPr>
      </w:pPr>
      <w:r w:rsidRPr="00DD1DFA">
        <w:rPr>
          <w:b/>
          <w:noProof/>
        </w:rPr>
        <w:t>Rozstrzyganie sporów między JOT</w:t>
      </w:r>
    </w:p>
    <w:p w14:paraId="5FB1CC53" w14:textId="15B58323" w:rsidR="00BC1E12" w:rsidRPr="00DD1DFA" w:rsidRDefault="00B12EBD" w:rsidP="00BC1E12">
      <w:pPr>
        <w:overflowPunct w:val="0"/>
        <w:spacing w:after="0"/>
        <w:rPr>
          <w:rFonts w:eastAsia="Times New Roman"/>
          <w:noProof/>
          <w:color w:val="000000"/>
          <w:szCs w:val="24"/>
        </w:rPr>
      </w:pPr>
      <w:r w:rsidRPr="00DD1DFA">
        <w:rPr>
          <w:noProof/>
          <w:color w:val="000000"/>
        </w:rPr>
        <w:t>Jeśli JOT nie uzgodnią europejskiego dokumentu oceny</w:t>
      </w:r>
      <w:r w:rsidR="00DD1DFA" w:rsidRPr="00DD1DFA">
        <w:rPr>
          <w:noProof/>
          <w:color w:val="000000"/>
        </w:rPr>
        <w:t xml:space="preserve"> w</w:t>
      </w:r>
      <w:r w:rsidR="00DD1DFA">
        <w:rPr>
          <w:noProof/>
          <w:color w:val="000000"/>
        </w:rPr>
        <w:t> </w:t>
      </w:r>
      <w:r w:rsidR="00DD1DFA" w:rsidRPr="00DD1DFA">
        <w:rPr>
          <w:noProof/>
          <w:color w:val="000000"/>
        </w:rPr>
        <w:t>prz</w:t>
      </w:r>
      <w:r w:rsidRPr="00DD1DFA">
        <w:rPr>
          <w:noProof/>
          <w:color w:val="000000"/>
        </w:rPr>
        <w:t>ewidzianym terminie, organizacja JOT przekazuje sprawę Komisji</w:t>
      </w:r>
      <w:r w:rsidR="00DD1DFA" w:rsidRPr="00DD1DFA">
        <w:rPr>
          <w:noProof/>
          <w:color w:val="000000"/>
        </w:rPr>
        <w:t xml:space="preserve"> w</w:t>
      </w:r>
      <w:r w:rsidR="00DD1DFA">
        <w:rPr>
          <w:noProof/>
          <w:color w:val="000000"/>
        </w:rPr>
        <w:t> </w:t>
      </w:r>
      <w:r w:rsidR="00DD1DFA" w:rsidRPr="00DD1DFA">
        <w:rPr>
          <w:noProof/>
          <w:color w:val="000000"/>
        </w:rPr>
        <w:t>cel</w:t>
      </w:r>
      <w:r w:rsidRPr="00DD1DFA">
        <w:rPr>
          <w:noProof/>
          <w:color w:val="000000"/>
        </w:rPr>
        <w:t>u jej właściwego rozstrzygnięcia,</w:t>
      </w:r>
      <w:r w:rsidR="00DD1DFA" w:rsidRPr="00DD1DFA">
        <w:rPr>
          <w:noProof/>
          <w:color w:val="000000"/>
        </w:rPr>
        <w:t xml:space="preserve"> w</w:t>
      </w:r>
      <w:r w:rsidR="00DD1DFA">
        <w:rPr>
          <w:noProof/>
          <w:color w:val="000000"/>
        </w:rPr>
        <w:t> </w:t>
      </w:r>
      <w:r w:rsidR="00DD1DFA" w:rsidRPr="00DD1DFA">
        <w:rPr>
          <w:noProof/>
          <w:color w:val="000000"/>
        </w:rPr>
        <w:t>tym</w:t>
      </w:r>
      <w:r w:rsidRPr="00DD1DFA">
        <w:rPr>
          <w:noProof/>
          <w:color w:val="000000"/>
        </w:rPr>
        <w:t xml:space="preserve"> udzielenia tej organizacji instrukcji co do sposobu zakończenia</w:t>
      </w:r>
      <w:r w:rsidR="00DD1DFA" w:rsidRPr="00DD1DFA">
        <w:rPr>
          <w:noProof/>
          <w:color w:val="000000"/>
        </w:rPr>
        <w:t xml:space="preserve"> </w:t>
      </w:r>
      <w:r w:rsidRPr="00DD1DFA">
        <w:rPr>
          <w:noProof/>
          <w:color w:val="000000"/>
        </w:rPr>
        <w:t>prac.</w:t>
      </w:r>
    </w:p>
    <w:p w14:paraId="42F877D3" w14:textId="77777777" w:rsidR="00BC1E12" w:rsidRPr="00DD1DFA" w:rsidRDefault="00BC1E12" w:rsidP="00163944">
      <w:pPr>
        <w:pStyle w:val="Titrearticle"/>
        <w:rPr>
          <w:noProof/>
        </w:rPr>
      </w:pPr>
      <w:r w:rsidRPr="00DD1DFA">
        <w:rPr>
          <w:noProof/>
        </w:rPr>
        <w:t>Artykuł 40</w:t>
      </w:r>
    </w:p>
    <w:p w14:paraId="5119B42A" w14:textId="77777777" w:rsidR="00BC1E12" w:rsidRPr="00DD1DFA" w:rsidRDefault="00BC1E12" w:rsidP="00163944">
      <w:pPr>
        <w:pStyle w:val="Titrearticle"/>
        <w:rPr>
          <w:b/>
          <w:noProof/>
        </w:rPr>
      </w:pPr>
      <w:r w:rsidRPr="00DD1DFA">
        <w:rPr>
          <w:b/>
          <w:noProof/>
        </w:rPr>
        <w:t>Zawartość europejskiego dokumentu oceny</w:t>
      </w:r>
    </w:p>
    <w:p w14:paraId="62219948" w14:textId="36A54886" w:rsidR="00B12EBD" w:rsidRPr="00DD1DFA" w:rsidRDefault="005F7EFA" w:rsidP="005F7EFA">
      <w:pPr>
        <w:pStyle w:val="ManualNumPar1"/>
        <w:rPr>
          <w:noProof/>
        </w:rPr>
      </w:pPr>
      <w:r w:rsidRPr="005F7EFA">
        <w:t>1.</w:t>
      </w:r>
      <w:r w:rsidRPr="005F7EFA">
        <w:tab/>
      </w:r>
      <w:r w:rsidR="00B12EBD" w:rsidRPr="00DD1DFA">
        <w:rPr>
          <w:noProof/>
        </w:rPr>
        <w:t xml:space="preserve">Europejski dokument oceny musi zawierać następujące informacje: </w:t>
      </w:r>
    </w:p>
    <w:p w14:paraId="3E0239D2" w14:textId="0A91C576" w:rsidR="00B12EBD" w:rsidRPr="00DD1DFA" w:rsidRDefault="005A4BBC" w:rsidP="005A4BBC">
      <w:pPr>
        <w:pStyle w:val="Point1"/>
        <w:rPr>
          <w:noProof/>
        </w:rPr>
      </w:pPr>
      <w:r w:rsidRPr="005A4BBC">
        <w:rPr>
          <w:noProof/>
        </w:rPr>
        <w:t>a)</w:t>
      </w:r>
      <w:r w:rsidRPr="005A4BBC">
        <w:rPr>
          <w:noProof/>
        </w:rPr>
        <w:tab/>
      </w:r>
      <w:r w:rsidR="00B12EBD" w:rsidRPr="00DD1DFA">
        <w:rPr>
          <w:noProof/>
        </w:rPr>
        <w:t xml:space="preserve">opis objętego produktu; oraz </w:t>
      </w:r>
    </w:p>
    <w:p w14:paraId="7670FEE2" w14:textId="6AF8EF65" w:rsidR="00B12EBD" w:rsidRPr="00DD1DFA" w:rsidRDefault="005A4BBC" w:rsidP="005A4BBC">
      <w:pPr>
        <w:pStyle w:val="Point1"/>
        <w:rPr>
          <w:noProof/>
        </w:rPr>
      </w:pPr>
      <w:r w:rsidRPr="005A4BBC">
        <w:rPr>
          <w:noProof/>
        </w:rPr>
        <w:t>b)</w:t>
      </w:r>
      <w:r w:rsidRPr="005A4BBC">
        <w:rPr>
          <w:noProof/>
        </w:rPr>
        <w:tab/>
      </w:r>
      <w:r w:rsidR="00B12EBD" w:rsidRPr="00DD1DFA">
        <w:rPr>
          <w:noProof/>
        </w:rPr>
        <w:t>wykaz zasadniczych charakterystyk istotnych</w:t>
      </w:r>
      <w:r w:rsidR="00DD1DFA" w:rsidRPr="00DD1DFA">
        <w:rPr>
          <w:noProof/>
        </w:rPr>
        <w:t xml:space="preserve"> z</w:t>
      </w:r>
      <w:r w:rsidR="00DD1DFA">
        <w:rPr>
          <w:noProof/>
        </w:rPr>
        <w:t> </w:t>
      </w:r>
      <w:r w:rsidR="00DD1DFA" w:rsidRPr="00DD1DFA">
        <w:rPr>
          <w:noProof/>
        </w:rPr>
        <w:t>uwa</w:t>
      </w:r>
      <w:r w:rsidR="00B12EBD" w:rsidRPr="00DD1DFA">
        <w:rPr>
          <w:noProof/>
        </w:rPr>
        <w:t>gi na zamierzone zastosowanie wyrobu określone przez producenta</w:t>
      </w:r>
      <w:r w:rsidR="00DD1DFA" w:rsidRPr="00DD1DFA">
        <w:rPr>
          <w:noProof/>
        </w:rPr>
        <w:t xml:space="preserve"> i</w:t>
      </w:r>
      <w:r w:rsidR="00DD1DFA">
        <w:rPr>
          <w:noProof/>
        </w:rPr>
        <w:t> </w:t>
      </w:r>
      <w:r w:rsidR="00DD1DFA" w:rsidRPr="00DD1DFA">
        <w:rPr>
          <w:noProof/>
        </w:rPr>
        <w:t>uzg</w:t>
      </w:r>
      <w:r w:rsidR="00B12EBD" w:rsidRPr="00DD1DFA">
        <w:rPr>
          <w:noProof/>
        </w:rPr>
        <w:t>odnione między producentem</w:t>
      </w:r>
      <w:r w:rsidR="00DD1DFA" w:rsidRPr="00DD1DFA">
        <w:rPr>
          <w:noProof/>
        </w:rPr>
        <w:t xml:space="preserve"> i</w:t>
      </w:r>
      <w:r w:rsidR="00DD1DFA">
        <w:rPr>
          <w:noProof/>
        </w:rPr>
        <w:t> </w:t>
      </w:r>
      <w:r w:rsidR="00DD1DFA" w:rsidRPr="00DD1DFA">
        <w:rPr>
          <w:noProof/>
        </w:rPr>
        <w:t>org</w:t>
      </w:r>
      <w:r w:rsidR="00B12EBD" w:rsidRPr="00DD1DFA">
        <w:rPr>
          <w:noProof/>
        </w:rPr>
        <w:t>anizacją JOT oraz metody</w:t>
      </w:r>
      <w:r w:rsidR="00DD1DFA" w:rsidRPr="00DD1DFA">
        <w:rPr>
          <w:noProof/>
        </w:rPr>
        <w:t xml:space="preserve"> i</w:t>
      </w:r>
      <w:r w:rsidR="00DD1DFA">
        <w:rPr>
          <w:noProof/>
        </w:rPr>
        <w:t> </w:t>
      </w:r>
      <w:r w:rsidR="00DD1DFA" w:rsidRPr="00DD1DFA">
        <w:rPr>
          <w:noProof/>
        </w:rPr>
        <w:t>kry</w:t>
      </w:r>
      <w:r w:rsidR="00B12EBD" w:rsidRPr="00DD1DFA">
        <w:rPr>
          <w:noProof/>
        </w:rPr>
        <w:t>teria oceny właściwości użytkowych wyrobu</w:t>
      </w:r>
      <w:r w:rsidR="00DD1DFA" w:rsidRPr="00DD1DFA">
        <w:rPr>
          <w:noProof/>
        </w:rPr>
        <w:t xml:space="preserve"> w</w:t>
      </w:r>
      <w:r w:rsidR="00DD1DFA">
        <w:rPr>
          <w:noProof/>
        </w:rPr>
        <w:t> </w:t>
      </w:r>
      <w:r w:rsidR="00DD1DFA" w:rsidRPr="00DD1DFA">
        <w:rPr>
          <w:noProof/>
        </w:rPr>
        <w:t>odn</w:t>
      </w:r>
      <w:r w:rsidR="00B12EBD" w:rsidRPr="00DD1DFA">
        <w:rPr>
          <w:noProof/>
        </w:rPr>
        <w:t>iesieniu do tych zasadniczych charakterystyk.</w:t>
      </w:r>
    </w:p>
    <w:p w14:paraId="67EF1CE2" w14:textId="09665A5D" w:rsidR="00B12EBD" w:rsidRPr="00DD1DFA" w:rsidRDefault="005F7EFA" w:rsidP="005F7EFA">
      <w:pPr>
        <w:pStyle w:val="ManualNumPar1"/>
        <w:rPr>
          <w:noProof/>
        </w:rPr>
      </w:pPr>
      <w:r w:rsidRPr="005F7EFA">
        <w:t>2.</w:t>
      </w:r>
      <w:r w:rsidRPr="005F7EFA">
        <w:tab/>
      </w:r>
      <w:r w:rsidR="00B12EBD" w:rsidRPr="00DD1DFA">
        <w:rPr>
          <w:noProof/>
        </w:rPr>
        <w:t>Europejski dokument oceny zawiera zasady zakładowej kontroli produkcji, która ma być stosowana,</w:t>
      </w:r>
      <w:r w:rsidR="00DD1DFA" w:rsidRPr="00DD1DFA">
        <w:rPr>
          <w:noProof/>
        </w:rPr>
        <w:t xml:space="preserve"> z</w:t>
      </w:r>
      <w:r w:rsidR="00DD1DFA">
        <w:rPr>
          <w:noProof/>
        </w:rPr>
        <w:t> </w:t>
      </w:r>
      <w:r w:rsidR="00DD1DFA" w:rsidRPr="00DD1DFA">
        <w:rPr>
          <w:noProof/>
        </w:rPr>
        <w:t>uwz</w:t>
      </w:r>
      <w:r w:rsidR="00B12EBD" w:rsidRPr="00DD1DFA">
        <w:rPr>
          <w:noProof/>
        </w:rPr>
        <w:t>ględnieniem warunków procesu produkcyjnego danego wyrobu.</w:t>
      </w:r>
    </w:p>
    <w:p w14:paraId="5B3402CF" w14:textId="12816758" w:rsidR="00BC1E12" w:rsidRPr="00DD1DFA" w:rsidRDefault="005F7EFA" w:rsidP="005F7EFA">
      <w:pPr>
        <w:pStyle w:val="ManualNumPar1"/>
        <w:rPr>
          <w:noProof/>
        </w:rPr>
      </w:pPr>
      <w:r w:rsidRPr="005F7EFA">
        <w:t>3.</w:t>
      </w:r>
      <w:r w:rsidRPr="005F7EFA">
        <w:tab/>
      </w:r>
      <w:r w:rsidR="00B12EBD" w:rsidRPr="00DD1DFA">
        <w:rPr>
          <w:noProof/>
        </w:rPr>
        <w:t>W przypadku gdy właściwości użytkowe odnoszące się do niektórych zasadniczych charakterystyk wyrobu mogą zostać właściwie ocenione</w:t>
      </w:r>
      <w:r w:rsidR="00DD1DFA" w:rsidRPr="00DD1DFA">
        <w:rPr>
          <w:noProof/>
        </w:rPr>
        <w:t xml:space="preserve"> z</w:t>
      </w:r>
      <w:r w:rsidR="00DD1DFA">
        <w:rPr>
          <w:noProof/>
        </w:rPr>
        <w:t> </w:t>
      </w:r>
      <w:r w:rsidR="00DD1DFA" w:rsidRPr="00DD1DFA">
        <w:rPr>
          <w:noProof/>
        </w:rPr>
        <w:t>wyk</w:t>
      </w:r>
      <w:r w:rsidR="00B12EBD" w:rsidRPr="00DD1DFA">
        <w:rPr>
          <w:noProof/>
        </w:rPr>
        <w:t>orzystaniem metod</w:t>
      </w:r>
      <w:r w:rsidR="00DD1DFA" w:rsidRPr="00DD1DFA">
        <w:rPr>
          <w:noProof/>
        </w:rPr>
        <w:t xml:space="preserve"> i</w:t>
      </w:r>
      <w:r w:rsidR="00DD1DFA">
        <w:rPr>
          <w:noProof/>
        </w:rPr>
        <w:t> </w:t>
      </w:r>
      <w:r w:rsidR="00DD1DFA" w:rsidRPr="00DD1DFA">
        <w:rPr>
          <w:noProof/>
        </w:rPr>
        <w:t>kry</w:t>
      </w:r>
      <w:r w:rsidR="00B12EBD" w:rsidRPr="00DD1DFA">
        <w:rPr>
          <w:noProof/>
        </w:rPr>
        <w:t>teriów ustanowionych</w:t>
      </w:r>
      <w:r w:rsidR="00DD1DFA" w:rsidRPr="00DD1DFA">
        <w:rPr>
          <w:noProof/>
        </w:rPr>
        <w:t xml:space="preserve"> w</w:t>
      </w:r>
      <w:r w:rsidR="00DD1DFA">
        <w:rPr>
          <w:noProof/>
        </w:rPr>
        <w:t> </w:t>
      </w:r>
      <w:r w:rsidR="00DD1DFA" w:rsidRPr="00DD1DFA">
        <w:rPr>
          <w:noProof/>
        </w:rPr>
        <w:t>zha</w:t>
      </w:r>
      <w:r w:rsidR="00B12EBD" w:rsidRPr="00DD1DFA">
        <w:rPr>
          <w:noProof/>
        </w:rPr>
        <w:t>rmonizowanych specyfikacjach technicznych lub europejskich dokumentach oceny, te istniejące metody</w:t>
      </w:r>
      <w:r w:rsidR="00DD1DFA" w:rsidRPr="00DD1DFA">
        <w:rPr>
          <w:noProof/>
        </w:rPr>
        <w:t xml:space="preserve"> i</w:t>
      </w:r>
      <w:r w:rsidR="00DD1DFA">
        <w:rPr>
          <w:noProof/>
        </w:rPr>
        <w:t> </w:t>
      </w:r>
      <w:r w:rsidR="00DD1DFA" w:rsidRPr="00DD1DFA">
        <w:rPr>
          <w:noProof/>
        </w:rPr>
        <w:t>kry</w:t>
      </w:r>
      <w:r w:rsidR="00B12EBD" w:rsidRPr="00DD1DFA">
        <w:rPr>
          <w:noProof/>
        </w:rPr>
        <w:t>teria włącza się do europejskiego dokumentu oceny jako jego części, chyba że istnieją uzasadnione powody odstąpienia od tej zasady.</w:t>
      </w:r>
    </w:p>
    <w:p w14:paraId="755CB0F0" w14:textId="77777777" w:rsidR="00BC1E12" w:rsidRPr="00DD1DFA" w:rsidRDefault="00BC1E12" w:rsidP="00274D09">
      <w:pPr>
        <w:pStyle w:val="Titrearticle"/>
        <w:rPr>
          <w:noProof/>
        </w:rPr>
      </w:pPr>
      <w:r w:rsidRPr="00DD1DFA">
        <w:rPr>
          <w:noProof/>
        </w:rPr>
        <w:t>Artykuł 41</w:t>
      </w:r>
    </w:p>
    <w:p w14:paraId="7FFCDD0C" w14:textId="77777777" w:rsidR="00BC1E12" w:rsidRPr="00DD1DFA" w:rsidRDefault="00BC1E12" w:rsidP="00274D09">
      <w:pPr>
        <w:pStyle w:val="Titrearticle"/>
        <w:rPr>
          <w:b/>
          <w:noProof/>
        </w:rPr>
      </w:pPr>
      <w:r w:rsidRPr="00DD1DFA">
        <w:rPr>
          <w:b/>
          <w:noProof/>
        </w:rPr>
        <w:t>Formalny sprzeciw wobec europejskich dokumentów oceny</w:t>
      </w:r>
    </w:p>
    <w:p w14:paraId="22B90AED" w14:textId="1E1B25AF" w:rsidR="000A3E89" w:rsidRPr="00DD1DFA" w:rsidRDefault="005F7EFA" w:rsidP="005F7EFA">
      <w:pPr>
        <w:pStyle w:val="ManualNumPar1"/>
        <w:rPr>
          <w:noProof/>
        </w:rPr>
      </w:pPr>
      <w:r w:rsidRPr="005F7EFA">
        <w:t>1.</w:t>
      </w:r>
      <w:r w:rsidRPr="005F7EFA">
        <w:tab/>
      </w:r>
      <w:r w:rsidR="009C6250" w:rsidRPr="00DD1DFA">
        <w:rPr>
          <w:noProof/>
        </w:rPr>
        <w:t>Państwo członkowskie informuje Komisję jeśli uzna, że:</w:t>
      </w:r>
    </w:p>
    <w:p w14:paraId="2FE4D96D" w14:textId="22D97E55" w:rsidR="000A3E89" w:rsidRPr="00DD1DFA" w:rsidRDefault="005A4BBC" w:rsidP="005A4BBC">
      <w:pPr>
        <w:pStyle w:val="Point1"/>
        <w:rPr>
          <w:noProof/>
        </w:rPr>
      </w:pPr>
      <w:r w:rsidRPr="005A4BBC">
        <w:rPr>
          <w:noProof/>
        </w:rPr>
        <w:t>a)</w:t>
      </w:r>
      <w:r w:rsidRPr="005A4BBC">
        <w:rPr>
          <w:noProof/>
        </w:rPr>
        <w:tab/>
      </w:r>
      <w:r w:rsidR="009C6250" w:rsidRPr="00DD1DFA">
        <w:rPr>
          <w:noProof/>
        </w:rPr>
        <w:t>europejski dokument oceny nie spełnia całkowicie obowiązujących wymogów prawnych lub wymogów, które mają zostać spełnione</w:t>
      </w:r>
      <w:r w:rsidR="00DD1DFA" w:rsidRPr="00DD1DFA">
        <w:rPr>
          <w:noProof/>
        </w:rPr>
        <w:t xml:space="preserve"> w</w:t>
      </w:r>
      <w:r w:rsidR="00DD1DFA">
        <w:rPr>
          <w:noProof/>
        </w:rPr>
        <w:t> </w:t>
      </w:r>
      <w:r w:rsidR="00DD1DFA" w:rsidRPr="00DD1DFA">
        <w:rPr>
          <w:noProof/>
        </w:rPr>
        <w:t>odn</w:t>
      </w:r>
      <w:r w:rsidR="009C6250" w:rsidRPr="00DD1DFA">
        <w:rPr>
          <w:noProof/>
        </w:rPr>
        <w:t>iesieniu do podstawowych wymagań dotyczących obiektów budowlanych lub wymogów dotyczących wyrobów określonych</w:t>
      </w:r>
      <w:r w:rsidR="00DD1DFA" w:rsidRPr="00DD1DFA">
        <w:rPr>
          <w:noProof/>
        </w:rPr>
        <w:t xml:space="preserve"> w</w:t>
      </w:r>
      <w:r w:rsidR="00DD1DFA">
        <w:rPr>
          <w:noProof/>
        </w:rPr>
        <w:t> </w:t>
      </w:r>
      <w:r w:rsidR="00DD1DFA" w:rsidRPr="00DD1DFA">
        <w:rPr>
          <w:noProof/>
        </w:rPr>
        <w:t>zał</w:t>
      </w:r>
      <w:r w:rsidR="009C6250" w:rsidRPr="00DD1DFA">
        <w:rPr>
          <w:noProof/>
        </w:rPr>
        <w:t xml:space="preserve">ączniku I; </w:t>
      </w:r>
    </w:p>
    <w:p w14:paraId="7975EE54" w14:textId="0BA85E8D" w:rsidR="000A3E89" w:rsidRPr="00DD1DFA" w:rsidRDefault="005A4BBC" w:rsidP="005A4BBC">
      <w:pPr>
        <w:pStyle w:val="Point1"/>
        <w:rPr>
          <w:noProof/>
        </w:rPr>
      </w:pPr>
      <w:r w:rsidRPr="005A4BBC">
        <w:rPr>
          <w:noProof/>
        </w:rPr>
        <w:t>b)</w:t>
      </w:r>
      <w:r w:rsidRPr="005A4BBC">
        <w:rPr>
          <w:noProof/>
        </w:rPr>
        <w:tab/>
      </w:r>
      <w:r w:rsidR="009C6250" w:rsidRPr="00DD1DFA">
        <w:rPr>
          <w:noProof/>
        </w:rPr>
        <w:t>europejski dokument oceny budzi istotne obawy dotyczące zdrowia</w:t>
      </w:r>
      <w:r w:rsidR="00DD1DFA" w:rsidRPr="00DD1DFA">
        <w:rPr>
          <w:noProof/>
        </w:rPr>
        <w:t xml:space="preserve"> i</w:t>
      </w:r>
      <w:r w:rsidR="00DD1DFA">
        <w:rPr>
          <w:noProof/>
        </w:rPr>
        <w:t> </w:t>
      </w:r>
      <w:r w:rsidR="00DD1DFA" w:rsidRPr="00DD1DFA">
        <w:rPr>
          <w:noProof/>
        </w:rPr>
        <w:t>bez</w:t>
      </w:r>
      <w:r w:rsidR="009C6250" w:rsidRPr="00DD1DFA">
        <w:rPr>
          <w:noProof/>
        </w:rPr>
        <w:t xml:space="preserve">pieczeństwa ludzi, ochrony środowiska lub ochrony konsumentów; </w:t>
      </w:r>
    </w:p>
    <w:p w14:paraId="3C451483" w14:textId="327F3B91" w:rsidR="000A3E89" w:rsidRPr="00DD1DFA" w:rsidRDefault="005A4BBC" w:rsidP="005A4BBC">
      <w:pPr>
        <w:pStyle w:val="Point1"/>
        <w:rPr>
          <w:noProof/>
        </w:rPr>
      </w:pPr>
      <w:r w:rsidRPr="005A4BBC">
        <w:rPr>
          <w:noProof/>
        </w:rPr>
        <w:t>c)</w:t>
      </w:r>
      <w:r w:rsidRPr="005A4BBC">
        <w:rPr>
          <w:noProof/>
        </w:rPr>
        <w:tab/>
      </w:r>
      <w:r w:rsidR="009C6250" w:rsidRPr="00DD1DFA">
        <w:rPr>
          <w:noProof/>
        </w:rPr>
        <w:t>europejski dokument oceny nie spełnia wymogów określonych</w:t>
      </w:r>
      <w:r w:rsidR="00DD1DFA" w:rsidRPr="00DD1DFA">
        <w:rPr>
          <w:noProof/>
        </w:rPr>
        <w:t xml:space="preserve"> w</w:t>
      </w:r>
      <w:r w:rsidR="00DD1DFA">
        <w:rPr>
          <w:noProof/>
        </w:rPr>
        <w:t> </w:t>
      </w:r>
      <w:r w:rsidR="00DD1DFA" w:rsidRPr="00DD1DFA">
        <w:rPr>
          <w:noProof/>
        </w:rPr>
        <w:t>art</w:t>
      </w:r>
      <w:r w:rsidR="009C6250" w:rsidRPr="00DD1DFA">
        <w:rPr>
          <w:noProof/>
        </w:rPr>
        <w:t>.</w:t>
      </w:r>
      <w:r w:rsidR="00DD1DFA" w:rsidRPr="00DD1DFA">
        <w:rPr>
          <w:noProof/>
        </w:rPr>
        <w:t> </w:t>
      </w:r>
      <w:r w:rsidR="009C6250" w:rsidRPr="00DD1DFA">
        <w:rPr>
          <w:noProof/>
        </w:rPr>
        <w:t>35 ust.</w:t>
      </w:r>
      <w:r w:rsidR="00DD1DFA" w:rsidRPr="00DD1DFA">
        <w:rPr>
          <w:noProof/>
        </w:rPr>
        <w:t> </w:t>
      </w:r>
      <w:r w:rsidR="009C6250" w:rsidRPr="00DD1DFA">
        <w:rPr>
          <w:noProof/>
        </w:rPr>
        <w:t>2</w:t>
      </w:r>
      <w:r w:rsidR="00074392" w:rsidRPr="00DD1DFA">
        <w:rPr>
          <w:noProof/>
        </w:rPr>
        <w:t>.</w:t>
      </w:r>
    </w:p>
    <w:p w14:paraId="4130B324" w14:textId="7A0A832B" w:rsidR="000A3E89" w:rsidRPr="00DD1DFA" w:rsidRDefault="009C6250" w:rsidP="000A3E89">
      <w:pPr>
        <w:pStyle w:val="Text1"/>
        <w:rPr>
          <w:noProof/>
        </w:rPr>
      </w:pPr>
      <w:r w:rsidRPr="00DD1DFA">
        <w:rPr>
          <w:noProof/>
        </w:rPr>
        <w:t>Zainteresowane państwo członkowskie uzasadnia swój punkt widzenia. Komisja konsultuje się</w:t>
      </w:r>
      <w:r w:rsidR="00DD1DFA" w:rsidRPr="00DD1DFA">
        <w:rPr>
          <w:noProof/>
        </w:rPr>
        <w:t xml:space="preserve"> z</w:t>
      </w:r>
      <w:r w:rsidR="00DD1DFA">
        <w:rPr>
          <w:noProof/>
        </w:rPr>
        <w:t> </w:t>
      </w:r>
      <w:r w:rsidR="00DD1DFA" w:rsidRPr="00DD1DFA">
        <w:rPr>
          <w:noProof/>
        </w:rPr>
        <w:t>inn</w:t>
      </w:r>
      <w:r w:rsidRPr="00DD1DFA">
        <w:rPr>
          <w:noProof/>
        </w:rPr>
        <w:t>ymi państwami członkowskimi</w:t>
      </w:r>
      <w:r w:rsidR="00DD1DFA" w:rsidRPr="00DD1DFA">
        <w:rPr>
          <w:noProof/>
        </w:rPr>
        <w:t xml:space="preserve"> w</w:t>
      </w:r>
      <w:r w:rsidR="00DD1DFA">
        <w:rPr>
          <w:noProof/>
        </w:rPr>
        <w:t> </w:t>
      </w:r>
      <w:r w:rsidR="00DD1DFA" w:rsidRPr="00DD1DFA">
        <w:rPr>
          <w:noProof/>
        </w:rPr>
        <w:t>spr</w:t>
      </w:r>
      <w:r w:rsidRPr="00DD1DFA">
        <w:rPr>
          <w:noProof/>
        </w:rPr>
        <w:t>awach poruszonych przez zainteresowane państwo członkowskie.</w:t>
      </w:r>
    </w:p>
    <w:p w14:paraId="045545D9" w14:textId="7F208855" w:rsidR="000A3E89" w:rsidRPr="00DD1DFA" w:rsidRDefault="005F7EFA" w:rsidP="005F7EFA">
      <w:pPr>
        <w:pStyle w:val="ManualNumPar1"/>
        <w:rPr>
          <w:noProof/>
        </w:rPr>
      </w:pPr>
      <w:r w:rsidRPr="005F7EFA">
        <w:t>2.</w:t>
      </w:r>
      <w:r w:rsidRPr="005F7EFA">
        <w:tab/>
      </w:r>
      <w:r w:rsidR="000A3E89" w:rsidRPr="00DD1DFA">
        <w:rPr>
          <w:noProof/>
        </w:rPr>
        <w:t>W świetle opinii wszystkich państw członkowskich Komisja podejmuje decyzję</w:t>
      </w:r>
      <w:r w:rsidR="00DD1DFA" w:rsidRPr="00DD1DFA">
        <w:rPr>
          <w:noProof/>
        </w:rPr>
        <w:t xml:space="preserve"> o</w:t>
      </w:r>
      <w:r w:rsidR="00DD1DFA">
        <w:rPr>
          <w:noProof/>
        </w:rPr>
        <w:t> </w:t>
      </w:r>
      <w:r w:rsidR="00DD1DFA" w:rsidRPr="00DD1DFA">
        <w:rPr>
          <w:noProof/>
        </w:rPr>
        <w:t>opu</w:t>
      </w:r>
      <w:r w:rsidR="000A3E89" w:rsidRPr="00DD1DFA">
        <w:rPr>
          <w:noProof/>
        </w:rPr>
        <w:t>blikowaniu odniesień do danych europejskich dokumentów oceny</w:t>
      </w:r>
      <w:r w:rsidR="00DD1DFA" w:rsidRPr="00DD1DFA">
        <w:rPr>
          <w:noProof/>
        </w:rPr>
        <w:t xml:space="preserve"> w</w:t>
      </w:r>
      <w:r w:rsidR="00DD1DFA">
        <w:rPr>
          <w:noProof/>
        </w:rPr>
        <w:t> </w:t>
      </w:r>
      <w:r w:rsidR="00DD1DFA" w:rsidRPr="00DD1DFA">
        <w:rPr>
          <w:noProof/>
        </w:rPr>
        <w:t>Dzi</w:t>
      </w:r>
      <w:r w:rsidR="000A3E89" w:rsidRPr="00DD1DFA">
        <w:rPr>
          <w:noProof/>
        </w:rPr>
        <w:t>enniku Urzędowym Unii Europejskiej, ich niepublikowaniu, opublikowaniu ich</w:t>
      </w:r>
      <w:r w:rsidR="00DD1DFA" w:rsidRPr="00DD1DFA">
        <w:rPr>
          <w:noProof/>
        </w:rPr>
        <w:t xml:space="preserve"> z</w:t>
      </w:r>
      <w:r w:rsidR="00DD1DFA">
        <w:rPr>
          <w:noProof/>
        </w:rPr>
        <w:t> </w:t>
      </w:r>
      <w:r w:rsidR="00DD1DFA" w:rsidRPr="00DD1DFA">
        <w:rPr>
          <w:noProof/>
        </w:rPr>
        <w:t>zas</w:t>
      </w:r>
      <w:r w:rsidR="000A3E89" w:rsidRPr="00DD1DFA">
        <w:rPr>
          <w:noProof/>
        </w:rPr>
        <w:t>trzeżeniami, utrzymaniu, utrzymaniu</w:t>
      </w:r>
      <w:r w:rsidR="00DD1DFA" w:rsidRPr="00DD1DFA">
        <w:rPr>
          <w:noProof/>
        </w:rPr>
        <w:t xml:space="preserve"> z</w:t>
      </w:r>
      <w:r w:rsidR="00DD1DFA">
        <w:rPr>
          <w:noProof/>
        </w:rPr>
        <w:t> </w:t>
      </w:r>
      <w:r w:rsidR="00DD1DFA" w:rsidRPr="00DD1DFA">
        <w:rPr>
          <w:noProof/>
        </w:rPr>
        <w:t>zas</w:t>
      </w:r>
      <w:r w:rsidR="000A3E89" w:rsidRPr="00DD1DFA">
        <w:rPr>
          <w:noProof/>
        </w:rPr>
        <w:t xml:space="preserve">trzeżeniami lub wycofaniu. </w:t>
      </w:r>
    </w:p>
    <w:p w14:paraId="56653A2C" w14:textId="6143BFC3" w:rsidR="00BC1E12" w:rsidRPr="00DD1DFA" w:rsidRDefault="005F7EFA" w:rsidP="005F7EFA">
      <w:pPr>
        <w:pStyle w:val="ManualNumPar1"/>
        <w:rPr>
          <w:noProof/>
        </w:rPr>
      </w:pPr>
      <w:r w:rsidRPr="005F7EFA">
        <w:t>3.</w:t>
      </w:r>
      <w:r w:rsidRPr="005F7EFA">
        <w:tab/>
      </w:r>
      <w:r w:rsidR="000A3E89" w:rsidRPr="00DD1DFA">
        <w:rPr>
          <w:noProof/>
        </w:rPr>
        <w:t>Komisja informuje organizację JOT</w:t>
      </w:r>
      <w:r w:rsidR="00DD1DFA" w:rsidRPr="00DD1DFA">
        <w:rPr>
          <w:noProof/>
        </w:rPr>
        <w:t xml:space="preserve"> o</w:t>
      </w:r>
      <w:r w:rsidR="00DD1DFA">
        <w:rPr>
          <w:noProof/>
        </w:rPr>
        <w:t> </w:t>
      </w:r>
      <w:r w:rsidR="00DD1DFA" w:rsidRPr="00DD1DFA">
        <w:rPr>
          <w:noProof/>
        </w:rPr>
        <w:t>swo</w:t>
      </w:r>
      <w:r w:rsidR="000A3E89" w:rsidRPr="00DD1DFA">
        <w:rPr>
          <w:noProof/>
        </w:rPr>
        <w:t>jej decyzji,</w:t>
      </w:r>
      <w:r w:rsidR="00DD1DFA" w:rsidRPr="00DD1DFA">
        <w:rPr>
          <w:noProof/>
        </w:rPr>
        <w:t xml:space="preserve"> o</w:t>
      </w:r>
      <w:r w:rsidR="00DD1DFA">
        <w:rPr>
          <w:noProof/>
        </w:rPr>
        <w:t> </w:t>
      </w:r>
      <w:r w:rsidR="00DD1DFA" w:rsidRPr="00DD1DFA">
        <w:rPr>
          <w:noProof/>
        </w:rPr>
        <w:t>któ</w:t>
      </w:r>
      <w:r w:rsidR="000A3E89" w:rsidRPr="00DD1DFA">
        <w:rPr>
          <w:noProof/>
        </w:rPr>
        <w:t>rej mowa</w:t>
      </w:r>
      <w:r w:rsidR="00DD1DFA" w:rsidRPr="00DD1DFA">
        <w:rPr>
          <w:noProof/>
        </w:rPr>
        <w:t xml:space="preserve"> w</w:t>
      </w:r>
      <w:r w:rsidR="00DD1DFA">
        <w:rPr>
          <w:noProof/>
        </w:rPr>
        <w:t> </w:t>
      </w:r>
      <w:r w:rsidR="00DD1DFA" w:rsidRPr="00DD1DFA">
        <w:rPr>
          <w:noProof/>
        </w:rPr>
        <w:t>ust</w:t>
      </w:r>
      <w:r w:rsidR="000A3E89" w:rsidRPr="00DD1DFA">
        <w:rPr>
          <w:noProof/>
        </w:rPr>
        <w:t>.</w:t>
      </w:r>
      <w:r w:rsidR="00DD1DFA" w:rsidRPr="00DD1DFA">
        <w:rPr>
          <w:noProof/>
        </w:rPr>
        <w:t> </w:t>
      </w:r>
      <w:r w:rsidR="000A3E89" w:rsidRPr="00DD1DFA">
        <w:rPr>
          <w:noProof/>
        </w:rPr>
        <w:t>2,</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raz</w:t>
      </w:r>
      <w:r w:rsidR="000A3E89" w:rsidRPr="00DD1DFA">
        <w:rPr>
          <w:noProof/>
        </w:rPr>
        <w:t>ie potrzeby zwraca się</w:t>
      </w:r>
      <w:r w:rsidR="00DD1DFA" w:rsidRPr="00DD1DFA">
        <w:rPr>
          <w:noProof/>
        </w:rPr>
        <w:t xml:space="preserve"> z</w:t>
      </w:r>
      <w:r w:rsidR="00DD1DFA">
        <w:rPr>
          <w:noProof/>
        </w:rPr>
        <w:t> </w:t>
      </w:r>
      <w:r w:rsidR="00DD1DFA" w:rsidRPr="00DD1DFA">
        <w:rPr>
          <w:noProof/>
        </w:rPr>
        <w:t>wni</w:t>
      </w:r>
      <w:r w:rsidR="000A3E89" w:rsidRPr="00DD1DFA">
        <w:rPr>
          <w:noProof/>
        </w:rPr>
        <w:t>oskiem</w:t>
      </w:r>
      <w:r w:rsidR="00DD1DFA" w:rsidRPr="00DD1DFA">
        <w:rPr>
          <w:noProof/>
        </w:rPr>
        <w:t xml:space="preserve"> o</w:t>
      </w:r>
      <w:r w:rsidR="00DD1DFA">
        <w:rPr>
          <w:noProof/>
        </w:rPr>
        <w:t> </w:t>
      </w:r>
      <w:r w:rsidR="00DD1DFA" w:rsidRPr="00DD1DFA">
        <w:rPr>
          <w:noProof/>
        </w:rPr>
        <w:t>prz</w:t>
      </w:r>
      <w:r w:rsidR="000A3E89" w:rsidRPr="00DD1DFA">
        <w:rPr>
          <w:noProof/>
        </w:rPr>
        <w:t>egląd danego europejskiego dokumentu oceny.</w:t>
      </w:r>
    </w:p>
    <w:p w14:paraId="04758780" w14:textId="77777777" w:rsidR="00BC1E12" w:rsidRPr="00DD1DFA" w:rsidRDefault="00BC1E12" w:rsidP="007D3D9A">
      <w:pPr>
        <w:pStyle w:val="Titrearticle"/>
        <w:rPr>
          <w:noProof/>
        </w:rPr>
      </w:pPr>
      <w:r w:rsidRPr="00DD1DFA">
        <w:rPr>
          <w:noProof/>
        </w:rPr>
        <w:t>Artykuł 42</w:t>
      </w:r>
    </w:p>
    <w:p w14:paraId="2BDBE0FD" w14:textId="77777777" w:rsidR="00BC1E12" w:rsidRPr="00DD1DFA" w:rsidRDefault="0058483E" w:rsidP="007D3D9A">
      <w:pPr>
        <w:pStyle w:val="Titrearticle"/>
        <w:rPr>
          <w:b/>
          <w:noProof/>
        </w:rPr>
      </w:pPr>
      <w:r w:rsidRPr="00DD1DFA">
        <w:rPr>
          <w:b/>
          <w:noProof/>
        </w:rPr>
        <w:t>Europejska ocena techniczna</w:t>
      </w:r>
    </w:p>
    <w:p w14:paraId="2D531930" w14:textId="5C19B50E" w:rsidR="001900C9" w:rsidRPr="00DD1DFA" w:rsidRDefault="005F7EFA" w:rsidP="005F7EFA">
      <w:pPr>
        <w:pStyle w:val="ManualNumPar1"/>
        <w:rPr>
          <w:noProof/>
        </w:rPr>
      </w:pPr>
      <w:r w:rsidRPr="005F7EFA">
        <w:t>1.</w:t>
      </w:r>
      <w:r w:rsidRPr="005F7EFA">
        <w:tab/>
      </w:r>
      <w:r w:rsidR="001900C9" w:rsidRPr="00DD1DFA">
        <w:rPr>
          <w:noProof/>
        </w:rPr>
        <w:t>JOT wydaje europejską ocenę techniczną na wniosek producenta, na podstawie europejskiego dokumentu oceny ustanowionego zgodnie</w:t>
      </w:r>
      <w:r w:rsidR="00DD1DFA" w:rsidRPr="00DD1DFA">
        <w:rPr>
          <w:noProof/>
        </w:rPr>
        <w:t xml:space="preserve"> z</w:t>
      </w:r>
      <w:r w:rsidR="00DD1DFA">
        <w:rPr>
          <w:noProof/>
        </w:rPr>
        <w:t> </w:t>
      </w:r>
      <w:r w:rsidR="00DD1DFA" w:rsidRPr="00DD1DFA">
        <w:rPr>
          <w:noProof/>
        </w:rPr>
        <w:t>pro</w:t>
      </w:r>
      <w:r w:rsidR="001900C9" w:rsidRPr="00DD1DFA">
        <w:rPr>
          <w:noProof/>
        </w:rPr>
        <w:t>cedurą opisaną</w:t>
      </w:r>
      <w:r w:rsidR="00DD1DFA" w:rsidRPr="00DD1DFA">
        <w:rPr>
          <w:noProof/>
        </w:rPr>
        <w:t xml:space="preserve"> w</w:t>
      </w:r>
      <w:r w:rsidR="00DD1DFA">
        <w:rPr>
          <w:noProof/>
        </w:rPr>
        <w:t> </w:t>
      </w:r>
      <w:r w:rsidR="00DD1DFA" w:rsidRPr="00DD1DFA">
        <w:rPr>
          <w:noProof/>
        </w:rPr>
        <w:t>art</w:t>
      </w:r>
      <w:r w:rsidR="001900C9" w:rsidRPr="00DD1DFA">
        <w:rPr>
          <w:noProof/>
        </w:rPr>
        <w:t>.</w:t>
      </w:r>
      <w:r w:rsidR="00DD1DFA" w:rsidRPr="00DD1DFA">
        <w:rPr>
          <w:noProof/>
        </w:rPr>
        <w:t> </w:t>
      </w:r>
      <w:r w:rsidR="001900C9" w:rsidRPr="00DD1DFA">
        <w:rPr>
          <w:noProof/>
        </w:rPr>
        <w:t>37</w:t>
      </w:r>
      <w:r w:rsidR="00DD1DFA" w:rsidRPr="00DD1DFA">
        <w:rPr>
          <w:noProof/>
        </w:rPr>
        <w:t xml:space="preserve"> i</w:t>
      </w:r>
      <w:r w:rsidR="00DD1DFA">
        <w:rPr>
          <w:noProof/>
        </w:rPr>
        <w:t> </w:t>
      </w:r>
      <w:r w:rsidR="00DD1DFA" w:rsidRPr="00DD1DFA">
        <w:rPr>
          <w:noProof/>
        </w:rPr>
        <w:t>zał</w:t>
      </w:r>
      <w:r w:rsidR="001900C9" w:rsidRPr="00DD1DFA">
        <w:rPr>
          <w:noProof/>
        </w:rPr>
        <w:t>ączniku III, odniesienie do którego przywołano</w:t>
      </w:r>
      <w:r w:rsidR="00DD1DFA" w:rsidRPr="00DD1DFA">
        <w:rPr>
          <w:noProof/>
        </w:rPr>
        <w:t xml:space="preserve"> w</w:t>
      </w:r>
      <w:r w:rsidR="00DD1DFA">
        <w:rPr>
          <w:noProof/>
        </w:rPr>
        <w:t> </w:t>
      </w:r>
      <w:r w:rsidR="00DD1DFA" w:rsidRPr="00DD1DFA">
        <w:rPr>
          <w:noProof/>
        </w:rPr>
        <w:t>Dzi</w:t>
      </w:r>
      <w:r w:rsidR="001900C9" w:rsidRPr="00DD1DFA">
        <w:rPr>
          <w:noProof/>
        </w:rPr>
        <w:t>enniku Urzędowym Unii Europejskiej zgodnie</w:t>
      </w:r>
      <w:r w:rsidR="00DD1DFA" w:rsidRPr="00DD1DFA">
        <w:rPr>
          <w:noProof/>
        </w:rPr>
        <w:t xml:space="preserve"> z</w:t>
      </w:r>
      <w:r w:rsidR="00DD1DFA">
        <w:rPr>
          <w:noProof/>
        </w:rPr>
        <w:t> </w:t>
      </w:r>
      <w:r w:rsidR="00DD1DFA" w:rsidRPr="00DD1DFA">
        <w:rPr>
          <w:noProof/>
        </w:rPr>
        <w:t>art</w:t>
      </w:r>
      <w:r w:rsidR="001900C9" w:rsidRPr="00DD1DFA">
        <w:rPr>
          <w:noProof/>
        </w:rPr>
        <w:t>.</w:t>
      </w:r>
      <w:r w:rsidR="00DD1DFA" w:rsidRPr="00DD1DFA">
        <w:rPr>
          <w:noProof/>
        </w:rPr>
        <w:t> </w:t>
      </w:r>
      <w:r w:rsidR="001900C9" w:rsidRPr="00DD1DFA">
        <w:rPr>
          <w:noProof/>
        </w:rPr>
        <w:t>38.</w:t>
      </w:r>
    </w:p>
    <w:p w14:paraId="67FA00A8" w14:textId="66B324FB" w:rsidR="001900C9" w:rsidRPr="00DD1DFA" w:rsidRDefault="001900C9" w:rsidP="00CD54D6">
      <w:pPr>
        <w:pStyle w:val="Text1"/>
        <w:rPr>
          <w:noProof/>
        </w:rPr>
      </w:pPr>
      <w:r w:rsidRPr="00DD1DFA">
        <w:rPr>
          <w:noProof/>
        </w:rPr>
        <w:t>O ile istnieje europejski dokument oceny, europejska ocena techniczna może zostać wydana nawet</w:t>
      </w:r>
      <w:r w:rsidR="00DD1DFA" w:rsidRPr="00DD1DFA">
        <w:rPr>
          <w:noProof/>
        </w:rPr>
        <w:t xml:space="preserve"> w</w:t>
      </w:r>
      <w:r w:rsidR="00DD1DFA">
        <w:rPr>
          <w:noProof/>
        </w:rPr>
        <w:t> </w:t>
      </w:r>
      <w:r w:rsidR="00DD1DFA" w:rsidRPr="00DD1DFA">
        <w:rPr>
          <w:noProof/>
        </w:rPr>
        <w:t>prz</w:t>
      </w:r>
      <w:r w:rsidRPr="00DD1DFA">
        <w:rPr>
          <w:noProof/>
        </w:rPr>
        <w:t>ypadku wydania zlecenia normalizacji. Wydanie takie jest możliwe do czasu przywołania normy dotyczącej wyrobów budowlanych</w:t>
      </w:r>
      <w:r w:rsidR="00DD1DFA" w:rsidRPr="00DD1DFA">
        <w:rPr>
          <w:noProof/>
        </w:rPr>
        <w:t xml:space="preserve"> w</w:t>
      </w:r>
      <w:r w:rsidR="00DD1DFA">
        <w:rPr>
          <w:noProof/>
        </w:rPr>
        <w:t> </w:t>
      </w:r>
      <w:r w:rsidR="00DD1DFA" w:rsidRPr="00DD1DFA">
        <w:rPr>
          <w:i/>
          <w:iCs/>
          <w:noProof/>
        </w:rPr>
        <w:t>Dzi</w:t>
      </w:r>
      <w:r w:rsidRPr="00DD1DFA">
        <w:rPr>
          <w:i/>
          <w:iCs/>
          <w:noProof/>
        </w:rPr>
        <w:t>enniku Urzędowym Unii Europejskiej</w:t>
      </w:r>
      <w:r w:rsidRPr="00DD1DFA">
        <w:rPr>
          <w:noProof/>
        </w:rPr>
        <w:t>.</w:t>
      </w:r>
    </w:p>
    <w:p w14:paraId="7CF80C09" w14:textId="07A18FE3" w:rsidR="001900C9" w:rsidRPr="00DD1DFA" w:rsidRDefault="005F7EFA" w:rsidP="005F7EFA">
      <w:pPr>
        <w:pStyle w:val="ManualNumPar1"/>
        <w:rPr>
          <w:noProof/>
        </w:rPr>
      </w:pPr>
      <w:r w:rsidRPr="005F7EFA">
        <w:t>2.</w:t>
      </w:r>
      <w:r w:rsidRPr="005F7EFA">
        <w:tab/>
      </w:r>
      <w:r w:rsidR="001900C9" w:rsidRPr="00DD1DFA">
        <w:rPr>
          <w:noProof/>
        </w:rPr>
        <w:t>Europejska ocena techniczna zawiera właściwości użytkowe podlegające zadeklarowaniu, wyrażone</w:t>
      </w:r>
      <w:r w:rsidR="00DD1DFA" w:rsidRPr="00DD1DFA">
        <w:rPr>
          <w:noProof/>
        </w:rPr>
        <w:t xml:space="preserve"> w</w:t>
      </w:r>
      <w:r w:rsidR="00DD1DFA">
        <w:rPr>
          <w:noProof/>
        </w:rPr>
        <w:t> </w:t>
      </w:r>
      <w:r w:rsidR="00DD1DFA" w:rsidRPr="00DD1DFA">
        <w:rPr>
          <w:noProof/>
        </w:rPr>
        <w:t>poz</w:t>
      </w:r>
      <w:r w:rsidR="001900C9" w:rsidRPr="00DD1DFA">
        <w:rPr>
          <w:noProof/>
        </w:rPr>
        <w:t>iomach lub klasach, lub</w:t>
      </w:r>
      <w:r w:rsidR="00DD1DFA" w:rsidRPr="00DD1DFA">
        <w:rPr>
          <w:noProof/>
        </w:rPr>
        <w:t xml:space="preserve"> w</w:t>
      </w:r>
      <w:r w:rsidR="00DD1DFA">
        <w:rPr>
          <w:noProof/>
        </w:rPr>
        <w:t> </w:t>
      </w:r>
      <w:r w:rsidR="00DD1DFA" w:rsidRPr="00DD1DFA">
        <w:rPr>
          <w:noProof/>
        </w:rPr>
        <w:t>spo</w:t>
      </w:r>
      <w:r w:rsidR="001900C9" w:rsidRPr="00DD1DFA">
        <w:rPr>
          <w:noProof/>
        </w:rPr>
        <w:t>sób opisowy, odnoszące się do zasadniczych charakterystyk, które zostały uzgodnione przez producenta i JOT, do której skierowano wniosek</w:t>
      </w:r>
      <w:r w:rsidR="00DD1DFA" w:rsidRPr="00DD1DFA">
        <w:rPr>
          <w:noProof/>
        </w:rPr>
        <w:t xml:space="preserve"> o</w:t>
      </w:r>
      <w:r w:rsidR="00DD1DFA">
        <w:rPr>
          <w:noProof/>
        </w:rPr>
        <w:t> </w:t>
      </w:r>
      <w:r w:rsidR="00DD1DFA" w:rsidRPr="00DD1DFA">
        <w:rPr>
          <w:noProof/>
        </w:rPr>
        <w:t>eur</w:t>
      </w:r>
      <w:r w:rsidR="001900C9" w:rsidRPr="00DD1DFA">
        <w:rPr>
          <w:noProof/>
        </w:rPr>
        <w:t>opejską ocenę techniczną dla deklarowanego zamierzonego zastosowania wyrobu, oraz szczegóły techniczne niezbędne do wdrożenia systemu oceny</w:t>
      </w:r>
      <w:r w:rsidR="00DD1DFA" w:rsidRPr="00DD1DFA">
        <w:rPr>
          <w:noProof/>
        </w:rPr>
        <w:t xml:space="preserve"> i</w:t>
      </w:r>
      <w:r w:rsidR="00DD1DFA">
        <w:rPr>
          <w:noProof/>
        </w:rPr>
        <w:t> </w:t>
      </w:r>
      <w:r w:rsidR="00DD1DFA" w:rsidRPr="00DD1DFA">
        <w:rPr>
          <w:noProof/>
        </w:rPr>
        <w:t>wer</w:t>
      </w:r>
      <w:r w:rsidR="001900C9" w:rsidRPr="00DD1DFA">
        <w:rPr>
          <w:noProof/>
        </w:rPr>
        <w:t>yfikacji.</w:t>
      </w:r>
    </w:p>
    <w:p w14:paraId="52F2C1C2" w14:textId="601E5B4D" w:rsidR="001900C9" w:rsidRPr="00DD1DFA" w:rsidRDefault="005F7EFA" w:rsidP="005F7EFA">
      <w:pPr>
        <w:pStyle w:val="ManualNumPar1"/>
        <w:rPr>
          <w:noProof/>
        </w:rPr>
      </w:pPr>
      <w:r w:rsidRPr="005F7EFA">
        <w:t>3.</w:t>
      </w:r>
      <w:r w:rsidRPr="005F7EFA">
        <w:tab/>
      </w:r>
      <w:r w:rsidR="001900C9" w:rsidRPr="00DD1DFA">
        <w:rPr>
          <w:noProof/>
        </w:rPr>
        <w:t>Komisja może przyjąć akty wykonawcze</w:t>
      </w:r>
      <w:r w:rsidR="00DD1DFA" w:rsidRPr="00DD1DFA">
        <w:rPr>
          <w:noProof/>
        </w:rPr>
        <w:t xml:space="preserve"> w</w:t>
      </w:r>
      <w:r w:rsidR="00DD1DFA">
        <w:rPr>
          <w:noProof/>
        </w:rPr>
        <w:t> </w:t>
      </w:r>
      <w:r w:rsidR="00DD1DFA" w:rsidRPr="00DD1DFA">
        <w:rPr>
          <w:noProof/>
        </w:rPr>
        <w:t>cel</w:t>
      </w:r>
      <w:r w:rsidR="001900C9" w:rsidRPr="00DD1DFA">
        <w:rPr>
          <w:noProof/>
        </w:rPr>
        <w:t>u ustalenia formatu europejskiej oceny technicznej.</w:t>
      </w:r>
    </w:p>
    <w:p w14:paraId="46001F7F" w14:textId="43FCC54D" w:rsidR="001900C9" w:rsidRPr="00DD1DFA" w:rsidRDefault="001900C9" w:rsidP="00CD54D6">
      <w:pPr>
        <w:pStyle w:val="Text1"/>
        <w:rPr>
          <w:noProof/>
        </w:rPr>
      </w:pPr>
      <w:r w:rsidRPr="00DD1DFA">
        <w:rPr>
          <w:noProof/>
        </w:rPr>
        <w:t>Te akty wykonawcze przyjmuje się zgodnie</w:t>
      </w:r>
      <w:r w:rsidR="00DD1DFA" w:rsidRPr="00DD1DFA">
        <w:rPr>
          <w:noProof/>
        </w:rPr>
        <w:t xml:space="preserve"> z</w:t>
      </w:r>
      <w:r w:rsidR="00DD1DFA">
        <w:rPr>
          <w:noProof/>
        </w:rPr>
        <w:t> </w:t>
      </w:r>
      <w:r w:rsidR="00DD1DFA" w:rsidRPr="00DD1DFA">
        <w:rPr>
          <w:noProof/>
        </w:rPr>
        <w:t>pro</w:t>
      </w:r>
      <w:r w:rsidRPr="00DD1DFA">
        <w:rPr>
          <w:noProof/>
        </w:rPr>
        <w:t>cedurą sprawdzającą,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2.</w:t>
      </w:r>
    </w:p>
    <w:p w14:paraId="0DC513D2" w14:textId="05A683E3" w:rsidR="001900C9" w:rsidRPr="00DD1DFA" w:rsidRDefault="005F7EFA" w:rsidP="005F7EFA">
      <w:pPr>
        <w:pStyle w:val="ManualNumPar1"/>
        <w:rPr>
          <w:noProof/>
        </w:rPr>
      </w:pPr>
      <w:r w:rsidRPr="005F7EFA">
        <w:t>4.</w:t>
      </w:r>
      <w:r w:rsidRPr="005F7EFA">
        <w:tab/>
      </w:r>
      <w:r w:rsidR="001900C9" w:rsidRPr="00DD1DFA">
        <w:rPr>
          <w:noProof/>
        </w:rPr>
        <w:t>Europejskie oceny techniczne wydane na podstawie europejskiego dokumentu oceny zachowują ważność przez pięć lat od daty wygaśnięcia europejskiego dokumentu oceny,</w:t>
      </w:r>
      <w:r w:rsidR="00DD1DFA" w:rsidRPr="00DD1DFA">
        <w:rPr>
          <w:noProof/>
        </w:rPr>
        <w:t xml:space="preserve"> o</w:t>
      </w:r>
      <w:r w:rsidR="00DD1DFA">
        <w:rPr>
          <w:noProof/>
        </w:rPr>
        <w:t> </w:t>
      </w:r>
      <w:r w:rsidR="00DD1DFA" w:rsidRPr="00DD1DFA">
        <w:rPr>
          <w:noProof/>
        </w:rPr>
        <w:t>któ</w:t>
      </w:r>
      <w:r w:rsidR="001900C9" w:rsidRPr="00DD1DFA">
        <w:rPr>
          <w:noProof/>
        </w:rPr>
        <w:t>rej mowa</w:t>
      </w:r>
      <w:r w:rsidR="00DD1DFA" w:rsidRPr="00DD1DFA">
        <w:rPr>
          <w:noProof/>
        </w:rPr>
        <w:t xml:space="preserve"> w</w:t>
      </w:r>
      <w:r w:rsidR="00DD1DFA">
        <w:rPr>
          <w:noProof/>
        </w:rPr>
        <w:t> </w:t>
      </w:r>
      <w:r w:rsidR="00DD1DFA" w:rsidRPr="00DD1DFA">
        <w:rPr>
          <w:noProof/>
        </w:rPr>
        <w:t>art</w:t>
      </w:r>
      <w:r w:rsidR="001900C9" w:rsidRPr="00DD1DFA">
        <w:rPr>
          <w:noProof/>
        </w:rPr>
        <w:t>.</w:t>
      </w:r>
      <w:r w:rsidR="00DD1DFA" w:rsidRPr="00DD1DFA">
        <w:rPr>
          <w:noProof/>
        </w:rPr>
        <w:t> </w:t>
      </w:r>
      <w:r w:rsidR="001900C9" w:rsidRPr="00DD1DFA">
        <w:rPr>
          <w:noProof/>
        </w:rPr>
        <w:t>38 ust.</w:t>
      </w:r>
      <w:r w:rsidR="00DD1DFA" w:rsidRPr="00DD1DFA">
        <w:rPr>
          <w:noProof/>
        </w:rPr>
        <w:t> </w:t>
      </w:r>
      <w:r w:rsidR="001900C9" w:rsidRPr="00DD1DFA">
        <w:rPr>
          <w:noProof/>
        </w:rPr>
        <w:t>2.</w:t>
      </w:r>
    </w:p>
    <w:p w14:paraId="5C961A1B" w14:textId="546A1B4F" w:rsidR="00BC1E12" w:rsidRPr="00DD1DFA" w:rsidRDefault="005F7EFA" w:rsidP="005F7EFA">
      <w:pPr>
        <w:pStyle w:val="ManualNumPar1"/>
        <w:rPr>
          <w:noProof/>
        </w:rPr>
      </w:pPr>
      <w:r w:rsidRPr="005F7EFA">
        <w:t>5.</w:t>
      </w:r>
      <w:r w:rsidRPr="005F7EFA">
        <w:tab/>
      </w:r>
      <w:r w:rsidR="001900C9" w:rsidRPr="00DD1DFA">
        <w:rPr>
          <w:noProof/>
        </w:rPr>
        <w:t>Wyroby objęte europejskim dokumentem oceny, dla których wydano europejską ocenę techniczną, mogą mieć oznakowanie CE</w:t>
      </w:r>
      <w:r w:rsidR="00DD1DFA" w:rsidRPr="00DD1DFA">
        <w:rPr>
          <w:noProof/>
        </w:rPr>
        <w:t xml:space="preserve"> i</w:t>
      </w:r>
      <w:r w:rsidR="00DD1DFA">
        <w:rPr>
          <w:noProof/>
        </w:rPr>
        <w:t> </w:t>
      </w:r>
      <w:r w:rsidR="00DD1DFA" w:rsidRPr="00DD1DFA">
        <w:rPr>
          <w:noProof/>
        </w:rPr>
        <w:t>tym</w:t>
      </w:r>
      <w:r w:rsidR="001900C9" w:rsidRPr="00DD1DFA">
        <w:rPr>
          <w:noProof/>
        </w:rPr>
        <w:t xml:space="preserve"> samym uzyskać taki sam status jak wyroby mające oznakowanie CE na podstawie zharmonizowanych specyfikacji technicznych, jeżeli producent spełnia zobowiązania określone</w:t>
      </w:r>
      <w:r w:rsidR="00DD1DFA" w:rsidRPr="00DD1DFA">
        <w:rPr>
          <w:noProof/>
        </w:rPr>
        <w:t xml:space="preserve"> w</w:t>
      </w:r>
      <w:r w:rsidR="00DD1DFA">
        <w:rPr>
          <w:noProof/>
        </w:rPr>
        <w:t> </w:t>
      </w:r>
      <w:r w:rsidR="00DD1DFA" w:rsidRPr="00DD1DFA">
        <w:rPr>
          <w:noProof/>
        </w:rPr>
        <w:t>nin</w:t>
      </w:r>
      <w:r w:rsidR="001900C9" w:rsidRPr="00DD1DFA">
        <w:rPr>
          <w:noProof/>
        </w:rPr>
        <w:t>iejszym rozporządzeniu. Jeżeli zobowiązania te odnoszą się do zharmonizowanych specyfikacji technicznych, producent powinien odnieść się bezpośrednio do europejskiego dokumentu oceny lub, jeżeli zharmonizowane specyfikacje techniczne są również istotne, dodatkowo do tych specyfikacji.</w:t>
      </w:r>
    </w:p>
    <w:p w14:paraId="05746E34" w14:textId="77777777" w:rsidR="00B83CA9" w:rsidRPr="00DD1DFA" w:rsidRDefault="00B83CA9" w:rsidP="00B83CA9">
      <w:pPr>
        <w:rPr>
          <w:noProof/>
        </w:rPr>
      </w:pPr>
    </w:p>
    <w:p w14:paraId="5EB4860C" w14:textId="77777777" w:rsidR="00BC1E12" w:rsidRPr="00DD1DFA" w:rsidRDefault="00BC1E12" w:rsidP="007D3D9A">
      <w:pPr>
        <w:pStyle w:val="ChapterTitle"/>
        <w:rPr>
          <w:noProof/>
          <w:sz w:val="24"/>
          <w:szCs w:val="24"/>
        </w:rPr>
      </w:pPr>
      <w:r w:rsidRPr="00DD1DFA">
        <w:rPr>
          <w:noProof/>
          <w:sz w:val="24"/>
          <w:szCs w:val="24"/>
        </w:rPr>
        <w:t>ROZDZIAŁ V</w:t>
      </w:r>
    </w:p>
    <w:p w14:paraId="4E876D4C" w14:textId="77777777" w:rsidR="00BC1E12" w:rsidRPr="00DD1DFA" w:rsidRDefault="00BC1E12" w:rsidP="007D3D9A">
      <w:pPr>
        <w:pStyle w:val="ChapterTitle"/>
        <w:rPr>
          <w:rFonts w:ascii="Calibri" w:eastAsia="Calibri" w:hAnsi="Calibri" w:cs="DejaVu Sans"/>
          <w:noProof/>
          <w:color w:val="00000A"/>
          <w:sz w:val="24"/>
          <w:szCs w:val="24"/>
        </w:rPr>
      </w:pPr>
      <w:r w:rsidRPr="00DD1DFA">
        <w:rPr>
          <w:noProof/>
          <w:sz w:val="24"/>
          <w:szCs w:val="24"/>
        </w:rPr>
        <w:t xml:space="preserve">JEDNOSTKI DS. OCENY TECHNICZNEJ </w:t>
      </w:r>
    </w:p>
    <w:p w14:paraId="3C78EEE0" w14:textId="77777777" w:rsidR="00BC1E12" w:rsidRPr="00DD1DFA" w:rsidRDefault="00BC1E12" w:rsidP="007D3D9A">
      <w:pPr>
        <w:pStyle w:val="Titrearticle"/>
        <w:rPr>
          <w:noProof/>
        </w:rPr>
      </w:pPr>
      <w:r w:rsidRPr="00DD1DFA">
        <w:rPr>
          <w:noProof/>
        </w:rPr>
        <w:t>Artykuł 43</w:t>
      </w:r>
    </w:p>
    <w:p w14:paraId="0670E14B" w14:textId="77777777" w:rsidR="00BC1E12" w:rsidRPr="00DD1DFA" w:rsidRDefault="00BC1E12" w:rsidP="007D3D9A">
      <w:pPr>
        <w:pStyle w:val="Titrearticle"/>
        <w:rPr>
          <w:rFonts w:ascii="Calibri" w:eastAsia="Calibri" w:hAnsi="Calibri" w:cs="DejaVu Sans"/>
          <w:noProof/>
          <w:color w:val="00000A"/>
          <w:sz w:val="22"/>
        </w:rPr>
      </w:pPr>
      <w:r w:rsidRPr="00DD1DFA">
        <w:rPr>
          <w:b/>
          <w:bCs/>
          <w:noProof/>
        </w:rPr>
        <w:t>Organy wyznaczające</w:t>
      </w:r>
    </w:p>
    <w:p w14:paraId="337FAC86" w14:textId="4A986BBD" w:rsidR="003D6934" w:rsidRPr="00DD1DFA" w:rsidRDefault="005F7EFA" w:rsidP="005F7EFA">
      <w:pPr>
        <w:pStyle w:val="ManualNumPar1"/>
        <w:rPr>
          <w:rFonts w:eastAsia="Times New Roman"/>
          <w:noProof/>
        </w:rPr>
      </w:pPr>
      <w:r w:rsidRPr="005F7EFA">
        <w:t>1.</w:t>
      </w:r>
      <w:r w:rsidRPr="005F7EFA">
        <w:tab/>
      </w:r>
      <w:r w:rsidR="003D6934" w:rsidRPr="00DD1DFA">
        <w:rPr>
          <w:noProof/>
        </w:rPr>
        <w:t>Państwa członkowskie, które pragną wyznaczyć jednostki ds. oceny technicznej, wyznaczają jeden organ odpowiedzialny za jednostki ds. oceny technicznej (zwany dalej „organem wyznaczającym”). Organy wyznaczające spełniają wymogi dotyczące organów notyfikujących określone</w:t>
      </w:r>
      <w:r w:rsidR="00DD1DFA" w:rsidRPr="00DD1DFA">
        <w:rPr>
          <w:noProof/>
        </w:rPr>
        <w:t xml:space="preserve"> w</w:t>
      </w:r>
      <w:r w:rsidR="00DD1DFA">
        <w:rPr>
          <w:noProof/>
        </w:rPr>
        <w:t> </w:t>
      </w:r>
      <w:r w:rsidR="00DD1DFA" w:rsidRPr="00DD1DFA">
        <w:rPr>
          <w:noProof/>
        </w:rPr>
        <w:t>art</w:t>
      </w:r>
      <w:r w:rsidR="003D6934" w:rsidRPr="00DD1DFA">
        <w:rPr>
          <w:noProof/>
        </w:rPr>
        <w:t>.</w:t>
      </w:r>
      <w:r w:rsidR="00DD1DFA" w:rsidRPr="00DD1DFA">
        <w:rPr>
          <w:noProof/>
        </w:rPr>
        <w:t> </w:t>
      </w:r>
      <w:r w:rsidR="003D6934" w:rsidRPr="00DD1DFA">
        <w:rPr>
          <w:noProof/>
        </w:rPr>
        <w:t>48 ust.</w:t>
      </w:r>
      <w:r w:rsidR="00DD1DFA" w:rsidRPr="00DD1DFA">
        <w:rPr>
          <w:noProof/>
        </w:rPr>
        <w:t> </w:t>
      </w:r>
      <w:r w:rsidR="003D6934" w:rsidRPr="00DD1DFA">
        <w:rPr>
          <w:noProof/>
        </w:rPr>
        <w:t>1</w:t>
      </w:r>
      <w:r w:rsidR="00DD1DFA" w:rsidRPr="00DD1DFA">
        <w:rPr>
          <w:noProof/>
        </w:rPr>
        <w:t xml:space="preserve"> i</w:t>
      </w:r>
      <w:r w:rsidR="00DD1DFA">
        <w:rPr>
          <w:noProof/>
        </w:rPr>
        <w:t> </w:t>
      </w:r>
      <w:r w:rsidR="00DD1DFA" w:rsidRPr="00DD1DFA">
        <w:rPr>
          <w:noProof/>
        </w:rPr>
        <w:t>art</w:t>
      </w:r>
      <w:r w:rsidR="003D6934" w:rsidRPr="00DD1DFA">
        <w:rPr>
          <w:noProof/>
        </w:rPr>
        <w:t>.</w:t>
      </w:r>
      <w:r w:rsidR="00DD1DFA" w:rsidRPr="00DD1DFA">
        <w:rPr>
          <w:noProof/>
        </w:rPr>
        <w:t> </w:t>
      </w:r>
      <w:r w:rsidR="003D6934" w:rsidRPr="00DD1DFA">
        <w:rPr>
          <w:noProof/>
        </w:rPr>
        <w:t>49. Organ wyznaczający nie może zostać wyznaczony zgodnie</w:t>
      </w:r>
      <w:r w:rsidR="00DD1DFA" w:rsidRPr="00DD1DFA">
        <w:rPr>
          <w:noProof/>
        </w:rPr>
        <w:t xml:space="preserve"> z</w:t>
      </w:r>
      <w:r w:rsidR="00DD1DFA">
        <w:rPr>
          <w:noProof/>
        </w:rPr>
        <w:t> </w:t>
      </w:r>
      <w:r w:rsidR="00DD1DFA" w:rsidRPr="00DD1DFA">
        <w:rPr>
          <w:noProof/>
        </w:rPr>
        <w:t>art</w:t>
      </w:r>
      <w:r w:rsidR="003D6934" w:rsidRPr="00DD1DFA">
        <w:rPr>
          <w:noProof/>
        </w:rPr>
        <w:t>.</w:t>
      </w:r>
      <w:r w:rsidR="00DD1DFA" w:rsidRPr="00DD1DFA">
        <w:rPr>
          <w:noProof/>
        </w:rPr>
        <w:t> </w:t>
      </w:r>
      <w:r w:rsidR="003D6934" w:rsidRPr="00DD1DFA">
        <w:rPr>
          <w:noProof/>
        </w:rPr>
        <w:t>44 ust.</w:t>
      </w:r>
      <w:r w:rsidR="00DD1DFA" w:rsidRPr="00DD1DFA">
        <w:rPr>
          <w:noProof/>
        </w:rPr>
        <w:t> </w:t>
      </w:r>
      <w:r w:rsidR="003D6934" w:rsidRPr="00DD1DFA">
        <w:rPr>
          <w:noProof/>
        </w:rPr>
        <w:t>1.</w:t>
      </w:r>
    </w:p>
    <w:p w14:paraId="440A65F3" w14:textId="3F1959D7" w:rsidR="00BC1E12" w:rsidRPr="00DD1DFA" w:rsidRDefault="005F7EFA" w:rsidP="005F7EFA">
      <w:pPr>
        <w:pStyle w:val="ManualNumPar1"/>
        <w:rPr>
          <w:rFonts w:ascii="Calibri" w:eastAsia="Calibri" w:hAnsi="Calibri" w:cs="DejaVu Sans"/>
          <w:noProof/>
          <w:color w:val="00000A"/>
          <w:sz w:val="22"/>
        </w:rPr>
      </w:pPr>
      <w:r w:rsidRPr="005F7EFA">
        <w:t>2.</w:t>
      </w:r>
      <w:r w:rsidRPr="005F7EFA">
        <w:tab/>
      </w:r>
      <w:r w:rsidR="003D6934" w:rsidRPr="00DD1DFA">
        <w:rPr>
          <w:noProof/>
        </w:rPr>
        <w:t>O ile</w:t>
      </w:r>
      <w:r w:rsidR="00DD1DFA" w:rsidRPr="00DD1DFA">
        <w:rPr>
          <w:noProof/>
        </w:rPr>
        <w:t xml:space="preserve"> w</w:t>
      </w:r>
      <w:r w:rsidR="00DD1DFA">
        <w:rPr>
          <w:noProof/>
        </w:rPr>
        <w:t> </w:t>
      </w:r>
      <w:r w:rsidR="00DD1DFA" w:rsidRPr="00DD1DFA">
        <w:rPr>
          <w:noProof/>
        </w:rPr>
        <w:t>nin</w:t>
      </w:r>
      <w:r w:rsidR="003D6934" w:rsidRPr="00DD1DFA">
        <w:rPr>
          <w:noProof/>
        </w:rPr>
        <w:t>iejszym rozdziale nie określono inaczej, przepisy mające zastosowanie do organów notyfikujących</w:t>
      </w:r>
      <w:r w:rsidR="00DD1DFA" w:rsidRPr="00DD1DFA">
        <w:rPr>
          <w:noProof/>
        </w:rPr>
        <w:t xml:space="preserve"> i</w:t>
      </w:r>
      <w:r w:rsidR="00DD1DFA">
        <w:rPr>
          <w:noProof/>
        </w:rPr>
        <w:t> </w:t>
      </w:r>
      <w:r w:rsidR="00DD1DFA" w:rsidRPr="00DD1DFA">
        <w:rPr>
          <w:noProof/>
        </w:rPr>
        <w:t>pro</w:t>
      </w:r>
      <w:r w:rsidR="003D6934" w:rsidRPr="00DD1DFA">
        <w:rPr>
          <w:noProof/>
        </w:rPr>
        <w:t>cedur notyfikacyjnych mają zastosowanie również do organów wyznaczających</w:t>
      </w:r>
      <w:r w:rsidR="00DD1DFA" w:rsidRPr="00DD1DFA">
        <w:rPr>
          <w:noProof/>
        </w:rPr>
        <w:t xml:space="preserve"> i</w:t>
      </w:r>
      <w:r w:rsidR="00DD1DFA">
        <w:rPr>
          <w:noProof/>
        </w:rPr>
        <w:t> </w:t>
      </w:r>
      <w:r w:rsidR="00DD1DFA" w:rsidRPr="00DD1DFA">
        <w:rPr>
          <w:noProof/>
        </w:rPr>
        <w:t>pro</w:t>
      </w:r>
      <w:r w:rsidR="003D6934" w:rsidRPr="00DD1DFA">
        <w:rPr>
          <w:noProof/>
        </w:rPr>
        <w:t>cedur wyznaczania. Państwa członkowskie nie mogą jednak korzystać</w:t>
      </w:r>
      <w:r w:rsidR="00DD1DFA" w:rsidRPr="00DD1DFA">
        <w:rPr>
          <w:noProof/>
        </w:rPr>
        <w:t xml:space="preserve"> z</w:t>
      </w:r>
      <w:r w:rsidR="00DD1DFA">
        <w:rPr>
          <w:noProof/>
        </w:rPr>
        <w:t> </w:t>
      </w:r>
      <w:r w:rsidR="00DD1DFA" w:rsidRPr="00DD1DFA">
        <w:rPr>
          <w:noProof/>
        </w:rPr>
        <w:t>akr</w:t>
      </w:r>
      <w:r w:rsidR="003D6934" w:rsidRPr="00DD1DFA">
        <w:rPr>
          <w:noProof/>
        </w:rPr>
        <w:t>edytacji.</w:t>
      </w:r>
    </w:p>
    <w:p w14:paraId="5DF5E9E0" w14:textId="77777777" w:rsidR="00BC1E12" w:rsidRPr="00DD1DFA" w:rsidRDefault="00BC1E12" w:rsidP="007D3D9A">
      <w:pPr>
        <w:pStyle w:val="Titrearticle"/>
        <w:rPr>
          <w:noProof/>
        </w:rPr>
      </w:pPr>
      <w:r w:rsidRPr="00DD1DFA">
        <w:rPr>
          <w:noProof/>
        </w:rPr>
        <w:t>Artykuł 44</w:t>
      </w:r>
    </w:p>
    <w:p w14:paraId="3E1A24F8" w14:textId="33CDA942" w:rsidR="00BC1E12" w:rsidRPr="00DD1DFA" w:rsidRDefault="003D6934" w:rsidP="007D3D9A">
      <w:pPr>
        <w:pStyle w:val="Titrearticle"/>
        <w:rPr>
          <w:b/>
          <w:noProof/>
        </w:rPr>
      </w:pPr>
      <w:r w:rsidRPr="00DD1DFA">
        <w:rPr>
          <w:b/>
          <w:noProof/>
        </w:rPr>
        <w:t>Wyznaczenie, monitorowanie</w:t>
      </w:r>
      <w:r w:rsidR="00DD1DFA" w:rsidRPr="00DD1DFA">
        <w:rPr>
          <w:b/>
          <w:noProof/>
        </w:rPr>
        <w:t xml:space="preserve"> i</w:t>
      </w:r>
      <w:r w:rsidR="00DD1DFA">
        <w:rPr>
          <w:b/>
          <w:noProof/>
        </w:rPr>
        <w:t> </w:t>
      </w:r>
      <w:r w:rsidR="00DD1DFA" w:rsidRPr="00DD1DFA">
        <w:rPr>
          <w:b/>
          <w:noProof/>
        </w:rPr>
        <w:t>oce</w:t>
      </w:r>
      <w:r w:rsidRPr="00DD1DFA">
        <w:rPr>
          <w:b/>
          <w:noProof/>
        </w:rPr>
        <w:t>na JOT</w:t>
      </w:r>
    </w:p>
    <w:p w14:paraId="0C091BD5" w14:textId="0DCE5180" w:rsidR="003D6934" w:rsidRPr="00DD1DFA" w:rsidRDefault="005F7EFA" w:rsidP="005F7EFA">
      <w:pPr>
        <w:pStyle w:val="ManualNumPar1"/>
        <w:rPr>
          <w:noProof/>
        </w:rPr>
      </w:pPr>
      <w:r w:rsidRPr="005F7EFA">
        <w:t>1.</w:t>
      </w:r>
      <w:r w:rsidRPr="005F7EFA">
        <w:tab/>
      </w:r>
      <w:r w:rsidR="003D6934" w:rsidRPr="00DD1DFA">
        <w:rPr>
          <w:noProof/>
        </w:rPr>
        <w:t>Państwa członkowskie mogą wyznaczyć działające na ich terytorium jednostki ds. oceny technicznej (JOT) n potrzeby jednej lub kilku grup wyrobów wymienionych</w:t>
      </w:r>
      <w:r w:rsidR="00DD1DFA" w:rsidRPr="00DD1DFA">
        <w:rPr>
          <w:noProof/>
        </w:rPr>
        <w:t xml:space="preserve"> w</w:t>
      </w:r>
      <w:r w:rsidR="00DD1DFA">
        <w:rPr>
          <w:noProof/>
        </w:rPr>
        <w:t> </w:t>
      </w:r>
      <w:r w:rsidR="00DD1DFA" w:rsidRPr="00DD1DFA">
        <w:rPr>
          <w:noProof/>
        </w:rPr>
        <w:t>zał</w:t>
      </w:r>
      <w:r w:rsidR="003D6934" w:rsidRPr="00DD1DFA">
        <w:rPr>
          <w:noProof/>
        </w:rPr>
        <w:t>ączniku IV tabela 1. Komisja jest uprawniona do zmiany tej tabeli</w:t>
      </w:r>
      <w:r w:rsidR="00DD1DFA" w:rsidRPr="00DD1DFA">
        <w:rPr>
          <w:noProof/>
        </w:rPr>
        <w:t xml:space="preserve"> w</w:t>
      </w:r>
      <w:r w:rsidR="00DD1DFA">
        <w:rPr>
          <w:noProof/>
        </w:rPr>
        <w:t> </w:t>
      </w:r>
      <w:r w:rsidR="00DD1DFA" w:rsidRPr="00DD1DFA">
        <w:rPr>
          <w:noProof/>
        </w:rPr>
        <w:t>dro</w:t>
      </w:r>
      <w:r w:rsidR="003D6934" w:rsidRPr="00DD1DFA">
        <w:rPr>
          <w:noProof/>
        </w:rPr>
        <w:t>dze aktów delegowanych przyjmowanych zgodnie</w:t>
      </w:r>
      <w:r w:rsidR="00DD1DFA" w:rsidRPr="00DD1DFA">
        <w:rPr>
          <w:noProof/>
        </w:rPr>
        <w:t xml:space="preserve"> z</w:t>
      </w:r>
      <w:r w:rsidR="00DD1DFA">
        <w:rPr>
          <w:noProof/>
        </w:rPr>
        <w:t> </w:t>
      </w:r>
      <w:r w:rsidR="00DD1DFA" w:rsidRPr="00DD1DFA">
        <w:rPr>
          <w:noProof/>
        </w:rPr>
        <w:t>art</w:t>
      </w:r>
      <w:r w:rsidR="003D6934" w:rsidRPr="00DD1DFA">
        <w:rPr>
          <w:noProof/>
        </w:rPr>
        <w:t>.</w:t>
      </w:r>
      <w:r w:rsidR="00DD1DFA" w:rsidRPr="00DD1DFA">
        <w:rPr>
          <w:noProof/>
        </w:rPr>
        <w:t> </w:t>
      </w:r>
      <w:r w:rsidR="003D6934" w:rsidRPr="00DD1DFA">
        <w:rPr>
          <w:noProof/>
        </w:rPr>
        <w:t>87</w:t>
      </w:r>
      <w:r w:rsidR="00DD1DFA" w:rsidRPr="00DD1DFA">
        <w:rPr>
          <w:noProof/>
        </w:rPr>
        <w:t xml:space="preserve"> w</w:t>
      </w:r>
      <w:r w:rsidR="00DD1DFA">
        <w:rPr>
          <w:noProof/>
        </w:rPr>
        <w:t> </w:t>
      </w:r>
      <w:r w:rsidR="00DD1DFA" w:rsidRPr="00DD1DFA">
        <w:rPr>
          <w:noProof/>
        </w:rPr>
        <w:t>cel</w:t>
      </w:r>
      <w:r w:rsidR="003D6934" w:rsidRPr="00DD1DFA">
        <w:rPr>
          <w:noProof/>
        </w:rPr>
        <w:t xml:space="preserve">u dostosowania jej do postępu technicznego. </w:t>
      </w:r>
    </w:p>
    <w:p w14:paraId="547D76C5" w14:textId="58B37B11" w:rsidR="003D6934" w:rsidRPr="00DD1DFA" w:rsidRDefault="003D6934" w:rsidP="003D6934">
      <w:pPr>
        <w:pStyle w:val="Text1"/>
        <w:rPr>
          <w:noProof/>
        </w:rPr>
      </w:pPr>
      <w:r w:rsidRPr="00DD1DFA">
        <w:rPr>
          <w:noProof/>
        </w:rPr>
        <w:t>Państwa członkowskie przekazują Komisji nazwę jednostki ds. oceny technicznej, jej adres oraz grupy wyrobów,</w:t>
      </w:r>
      <w:r w:rsidR="00DD1DFA" w:rsidRPr="00DD1DFA">
        <w:rPr>
          <w:noProof/>
        </w:rPr>
        <w:t xml:space="preserve"> o</w:t>
      </w:r>
      <w:r w:rsidR="00DD1DFA">
        <w:rPr>
          <w:noProof/>
        </w:rPr>
        <w:t> </w:t>
      </w:r>
      <w:r w:rsidR="00DD1DFA" w:rsidRPr="00DD1DFA">
        <w:rPr>
          <w:noProof/>
        </w:rPr>
        <w:t>któ</w:t>
      </w:r>
      <w:r w:rsidRPr="00DD1DFA">
        <w:rPr>
          <w:noProof/>
        </w:rPr>
        <w:t>rych mowa</w:t>
      </w:r>
      <w:r w:rsidR="00DD1DFA" w:rsidRPr="00DD1DFA">
        <w:rPr>
          <w:noProof/>
        </w:rPr>
        <w:t xml:space="preserve"> w</w:t>
      </w:r>
      <w:r w:rsidR="00DD1DFA">
        <w:rPr>
          <w:noProof/>
        </w:rPr>
        <w:t> </w:t>
      </w:r>
      <w:r w:rsidR="00DD1DFA" w:rsidRPr="00DD1DFA">
        <w:rPr>
          <w:noProof/>
        </w:rPr>
        <w:t>zda</w:t>
      </w:r>
      <w:r w:rsidRPr="00DD1DFA">
        <w:rPr>
          <w:noProof/>
        </w:rPr>
        <w:t>niu pierwszym.</w:t>
      </w:r>
    </w:p>
    <w:p w14:paraId="6C424CD7" w14:textId="5DB898E4" w:rsidR="003D6934" w:rsidRPr="00DD1DFA" w:rsidRDefault="005F7EFA" w:rsidP="005F7EFA">
      <w:pPr>
        <w:pStyle w:val="ManualNumPar1"/>
        <w:rPr>
          <w:noProof/>
        </w:rPr>
      </w:pPr>
      <w:r w:rsidRPr="005F7EFA">
        <w:t>2.</w:t>
      </w:r>
      <w:r w:rsidRPr="005F7EFA">
        <w:tab/>
      </w:r>
      <w:r w:rsidR="003D6934" w:rsidRPr="00DD1DFA">
        <w:rPr>
          <w:noProof/>
        </w:rPr>
        <w:t>Komisja publikuje drogą elektroniczną wykaz JOT, które spełniają obowiązujące wymogi prawne,</w:t>
      </w:r>
      <w:r w:rsidR="00DD1DFA" w:rsidRPr="00DD1DFA">
        <w:rPr>
          <w:noProof/>
        </w:rPr>
        <w:t xml:space="preserve"> o</w:t>
      </w:r>
      <w:r w:rsidR="00DD1DFA">
        <w:rPr>
          <w:noProof/>
        </w:rPr>
        <w:t> </w:t>
      </w:r>
      <w:r w:rsidR="00DD1DFA" w:rsidRPr="00DD1DFA">
        <w:rPr>
          <w:noProof/>
        </w:rPr>
        <w:t>któ</w:t>
      </w:r>
      <w:r w:rsidR="003D6934" w:rsidRPr="00DD1DFA">
        <w:rPr>
          <w:noProof/>
        </w:rPr>
        <w:t>rych mowa</w:t>
      </w:r>
      <w:r w:rsidR="00DD1DFA" w:rsidRPr="00DD1DFA">
        <w:rPr>
          <w:noProof/>
        </w:rPr>
        <w:t xml:space="preserve"> w</w:t>
      </w:r>
      <w:r w:rsidR="00DD1DFA">
        <w:rPr>
          <w:noProof/>
        </w:rPr>
        <w:t> </w:t>
      </w:r>
      <w:r w:rsidR="00DD1DFA" w:rsidRPr="00DD1DFA">
        <w:rPr>
          <w:noProof/>
        </w:rPr>
        <w:t>art</w:t>
      </w:r>
      <w:r w:rsidR="003D6934" w:rsidRPr="00DD1DFA">
        <w:rPr>
          <w:noProof/>
        </w:rPr>
        <w:t>.</w:t>
      </w:r>
      <w:r w:rsidR="00DD1DFA" w:rsidRPr="00DD1DFA">
        <w:rPr>
          <w:noProof/>
        </w:rPr>
        <w:t> </w:t>
      </w:r>
      <w:r w:rsidR="003D6934" w:rsidRPr="00DD1DFA">
        <w:rPr>
          <w:noProof/>
        </w:rPr>
        <w:t>45 ust.</w:t>
      </w:r>
      <w:r w:rsidR="00DD1DFA" w:rsidRPr="00DD1DFA">
        <w:rPr>
          <w:noProof/>
        </w:rPr>
        <w:t> </w:t>
      </w:r>
      <w:r w:rsidR="003D6934" w:rsidRPr="00DD1DFA">
        <w:rPr>
          <w:noProof/>
        </w:rPr>
        <w:t>1</w:t>
      </w:r>
      <w:r w:rsidR="00DD1DFA" w:rsidRPr="00DD1DFA">
        <w:rPr>
          <w:noProof/>
        </w:rPr>
        <w:t xml:space="preserve"> i</w:t>
      </w:r>
      <w:r w:rsidR="00DD1DFA">
        <w:rPr>
          <w:noProof/>
        </w:rPr>
        <w:t> </w:t>
      </w:r>
      <w:r w:rsidR="00DD1DFA" w:rsidRPr="00DD1DFA">
        <w:rPr>
          <w:noProof/>
        </w:rPr>
        <w:t>2</w:t>
      </w:r>
      <w:r w:rsidR="003D6934" w:rsidRPr="00DD1DFA">
        <w:rPr>
          <w:noProof/>
        </w:rPr>
        <w:t>,</w:t>
      </w:r>
      <w:r w:rsidR="00DD1DFA" w:rsidRPr="00DD1DFA">
        <w:rPr>
          <w:noProof/>
        </w:rPr>
        <w:t xml:space="preserve"> i</w:t>
      </w:r>
      <w:r w:rsidR="00DD1DFA">
        <w:rPr>
          <w:noProof/>
        </w:rPr>
        <w:t> </w:t>
      </w:r>
      <w:r w:rsidR="00DD1DFA" w:rsidRPr="00DD1DFA">
        <w:rPr>
          <w:noProof/>
        </w:rPr>
        <w:t>wsk</w:t>
      </w:r>
      <w:r w:rsidR="003D6934" w:rsidRPr="00DD1DFA">
        <w:rPr>
          <w:noProof/>
        </w:rPr>
        <w:t>azuje grupy wyrobów, dla których zostały wyznaczone, oraz wszelkie ograniczenia</w:t>
      </w:r>
      <w:r w:rsidR="00DD1DFA" w:rsidRPr="00DD1DFA">
        <w:rPr>
          <w:noProof/>
        </w:rPr>
        <w:t xml:space="preserve"> w</w:t>
      </w:r>
      <w:r w:rsidR="00DD1DFA">
        <w:rPr>
          <w:noProof/>
        </w:rPr>
        <w:t> </w:t>
      </w:r>
      <w:r w:rsidR="00DD1DFA" w:rsidRPr="00DD1DFA">
        <w:rPr>
          <w:noProof/>
        </w:rPr>
        <w:t>spo</w:t>
      </w:r>
      <w:r w:rsidR="003D6934" w:rsidRPr="00DD1DFA">
        <w:rPr>
          <w:noProof/>
        </w:rPr>
        <w:t>sób możliwie najbardziej precyzyjny.</w:t>
      </w:r>
    </w:p>
    <w:p w14:paraId="468AB5D0" w14:textId="77777777" w:rsidR="003D6934" w:rsidRPr="00DD1DFA" w:rsidRDefault="003D6934" w:rsidP="003D6934">
      <w:pPr>
        <w:pStyle w:val="Text1"/>
        <w:rPr>
          <w:rFonts w:ascii="Calibri" w:hAnsi="Calibri"/>
          <w:noProof/>
          <w:color w:val="00000A"/>
          <w:sz w:val="22"/>
        </w:rPr>
      </w:pPr>
      <w:r w:rsidRPr="00DD1DFA">
        <w:rPr>
          <w:noProof/>
        </w:rPr>
        <w:t>Komisja publikuje aktualizacje tego wykazu.</w:t>
      </w:r>
    </w:p>
    <w:p w14:paraId="526DC102" w14:textId="5C2049B5" w:rsidR="003D6934" w:rsidRPr="00DD1DFA" w:rsidRDefault="005F7EFA" w:rsidP="005F7EFA">
      <w:pPr>
        <w:pStyle w:val="ManualNumPar1"/>
        <w:rPr>
          <w:noProof/>
        </w:rPr>
      </w:pPr>
      <w:r w:rsidRPr="005F7EFA">
        <w:t>3.</w:t>
      </w:r>
      <w:r w:rsidRPr="005F7EFA">
        <w:tab/>
      </w:r>
      <w:r w:rsidR="003D6934" w:rsidRPr="00DD1DFA">
        <w:rPr>
          <w:noProof/>
        </w:rPr>
        <w:t>Organ wyznaczający wyznaczony zgodnie</w:t>
      </w:r>
      <w:r w:rsidR="00DD1DFA" w:rsidRPr="00DD1DFA">
        <w:rPr>
          <w:noProof/>
        </w:rPr>
        <w:t xml:space="preserve"> z</w:t>
      </w:r>
      <w:r w:rsidR="00DD1DFA">
        <w:rPr>
          <w:noProof/>
        </w:rPr>
        <w:t> </w:t>
      </w:r>
      <w:r w:rsidR="00DD1DFA" w:rsidRPr="00DD1DFA">
        <w:rPr>
          <w:noProof/>
        </w:rPr>
        <w:t>art</w:t>
      </w:r>
      <w:r w:rsidR="003D6934" w:rsidRPr="00DD1DFA">
        <w:rPr>
          <w:noProof/>
        </w:rPr>
        <w:t>.</w:t>
      </w:r>
      <w:r w:rsidR="00DD1DFA" w:rsidRPr="00DD1DFA">
        <w:rPr>
          <w:noProof/>
        </w:rPr>
        <w:t> </w:t>
      </w:r>
      <w:r w:rsidR="003D6934" w:rsidRPr="00DD1DFA">
        <w:rPr>
          <w:noProof/>
        </w:rPr>
        <w:t>43 monitoruje działalność</w:t>
      </w:r>
      <w:r w:rsidR="00DD1DFA" w:rsidRPr="00DD1DFA">
        <w:rPr>
          <w:noProof/>
        </w:rPr>
        <w:t xml:space="preserve"> i</w:t>
      </w:r>
      <w:r w:rsidR="00DD1DFA">
        <w:rPr>
          <w:noProof/>
        </w:rPr>
        <w:t> </w:t>
      </w:r>
      <w:r w:rsidR="00DD1DFA" w:rsidRPr="00DD1DFA">
        <w:rPr>
          <w:noProof/>
        </w:rPr>
        <w:t>kom</w:t>
      </w:r>
      <w:r w:rsidR="003D6934" w:rsidRPr="00DD1DFA">
        <w:rPr>
          <w:noProof/>
        </w:rPr>
        <w:t>petencje JOT wyznaczonych</w:t>
      </w:r>
      <w:r w:rsidR="00DD1DFA" w:rsidRPr="00DD1DFA">
        <w:rPr>
          <w:noProof/>
        </w:rPr>
        <w:t xml:space="preserve"> w</w:t>
      </w:r>
      <w:r w:rsidR="00DD1DFA">
        <w:rPr>
          <w:noProof/>
        </w:rPr>
        <w:t> </w:t>
      </w:r>
      <w:r w:rsidR="00DD1DFA" w:rsidRPr="00DD1DFA">
        <w:rPr>
          <w:noProof/>
        </w:rPr>
        <w:t>ich</w:t>
      </w:r>
      <w:r w:rsidR="003D6934" w:rsidRPr="00DD1DFA">
        <w:rPr>
          <w:noProof/>
        </w:rPr>
        <w:t xml:space="preserve"> państwie członkowskim,</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raz</w:t>
      </w:r>
      <w:r w:rsidR="003D6934" w:rsidRPr="00DD1DFA">
        <w:rPr>
          <w:noProof/>
        </w:rPr>
        <w:t>ie potrzeby także ich spółek zależnych</w:t>
      </w:r>
      <w:r w:rsidR="00DD1DFA" w:rsidRPr="00DD1DFA">
        <w:rPr>
          <w:noProof/>
        </w:rPr>
        <w:t xml:space="preserve"> i</w:t>
      </w:r>
      <w:r w:rsidR="00DD1DFA">
        <w:rPr>
          <w:noProof/>
        </w:rPr>
        <w:t> </w:t>
      </w:r>
      <w:r w:rsidR="00DD1DFA" w:rsidRPr="00DD1DFA">
        <w:rPr>
          <w:noProof/>
        </w:rPr>
        <w:t>pod</w:t>
      </w:r>
      <w:r w:rsidR="003D6934" w:rsidRPr="00DD1DFA">
        <w:rPr>
          <w:noProof/>
        </w:rPr>
        <w:t>wykonawców, oraz ocenia je</w:t>
      </w:r>
      <w:r w:rsidR="00DD1DFA" w:rsidRPr="00DD1DFA">
        <w:rPr>
          <w:noProof/>
        </w:rPr>
        <w:t xml:space="preserve"> w</w:t>
      </w:r>
      <w:r w:rsidR="00DD1DFA">
        <w:rPr>
          <w:noProof/>
        </w:rPr>
        <w:t> </w:t>
      </w:r>
      <w:r w:rsidR="00DD1DFA" w:rsidRPr="00DD1DFA">
        <w:rPr>
          <w:noProof/>
        </w:rPr>
        <w:t>odn</w:t>
      </w:r>
      <w:r w:rsidR="003D6934" w:rsidRPr="00DD1DFA">
        <w:rPr>
          <w:noProof/>
        </w:rPr>
        <w:t>iesieniu do odpowiednich wymagań określonych</w:t>
      </w:r>
      <w:r w:rsidR="00DD1DFA" w:rsidRPr="00DD1DFA">
        <w:rPr>
          <w:noProof/>
        </w:rPr>
        <w:t xml:space="preserve"> w</w:t>
      </w:r>
      <w:r w:rsidR="00DD1DFA">
        <w:rPr>
          <w:noProof/>
        </w:rPr>
        <w:t> </w:t>
      </w:r>
      <w:r w:rsidR="00DD1DFA" w:rsidRPr="00DD1DFA">
        <w:rPr>
          <w:noProof/>
        </w:rPr>
        <w:t>nin</w:t>
      </w:r>
      <w:r w:rsidR="003D6934" w:rsidRPr="00DD1DFA">
        <w:rPr>
          <w:noProof/>
        </w:rPr>
        <w:t>iejszym rozdziale. Organ wyznaczający poucza JOT, gdy dochodzi do naruszenia prawa lub wspólnej praktyki uzgodnionej między państwami członkowskimi</w:t>
      </w:r>
      <w:r w:rsidR="00DD1DFA" w:rsidRPr="00DD1DFA">
        <w:rPr>
          <w:noProof/>
        </w:rPr>
        <w:t xml:space="preserve"> a</w:t>
      </w:r>
      <w:r w:rsidR="00DD1DFA">
        <w:rPr>
          <w:noProof/>
        </w:rPr>
        <w:t> </w:t>
      </w:r>
      <w:r w:rsidR="00DD1DFA" w:rsidRPr="00DD1DFA">
        <w:rPr>
          <w:noProof/>
        </w:rPr>
        <w:t>Kom</w:t>
      </w:r>
      <w:r w:rsidR="003D6934" w:rsidRPr="00DD1DFA">
        <w:rPr>
          <w:noProof/>
        </w:rPr>
        <w:t>isją</w:t>
      </w:r>
      <w:r w:rsidR="00DD1DFA" w:rsidRPr="00DD1DFA">
        <w:rPr>
          <w:noProof/>
        </w:rPr>
        <w:t>. W</w:t>
      </w:r>
      <w:r w:rsidR="00DD1DFA">
        <w:rPr>
          <w:noProof/>
        </w:rPr>
        <w:t> </w:t>
      </w:r>
      <w:r w:rsidR="00DD1DFA" w:rsidRPr="00DD1DFA">
        <w:rPr>
          <w:noProof/>
        </w:rPr>
        <w:t>prz</w:t>
      </w:r>
      <w:r w:rsidR="003D6934" w:rsidRPr="00DD1DFA">
        <w:rPr>
          <w:noProof/>
        </w:rPr>
        <w:t>ypadku powtarzających się naruszeń prawa organ wyznaczający może anulować wyznaczenie JOT.</w:t>
      </w:r>
    </w:p>
    <w:p w14:paraId="57923866" w14:textId="757C60EE" w:rsidR="003D6934" w:rsidRPr="00DD1DFA" w:rsidRDefault="003D6934" w:rsidP="003D6934">
      <w:pPr>
        <w:pStyle w:val="Text1"/>
        <w:rPr>
          <w:noProof/>
        </w:rPr>
      </w:pPr>
      <w:r w:rsidRPr="00DD1DFA">
        <w:rPr>
          <w:noProof/>
        </w:rPr>
        <w:t>Państwa członkowskie informują Komisję</w:t>
      </w:r>
      <w:r w:rsidR="00DD1DFA" w:rsidRPr="00DD1DFA">
        <w:rPr>
          <w:noProof/>
        </w:rPr>
        <w:t xml:space="preserve"> o</w:t>
      </w:r>
      <w:r w:rsidR="00DD1DFA">
        <w:rPr>
          <w:noProof/>
        </w:rPr>
        <w:t> </w:t>
      </w:r>
      <w:r w:rsidR="00DD1DFA" w:rsidRPr="00DD1DFA">
        <w:rPr>
          <w:noProof/>
        </w:rPr>
        <w:t>ich</w:t>
      </w:r>
      <w:r w:rsidRPr="00DD1DFA">
        <w:rPr>
          <w:noProof/>
        </w:rPr>
        <w:t xml:space="preserve"> krajowych procedurach wyznaczania JOT,</w:t>
      </w:r>
      <w:r w:rsidR="00DD1DFA" w:rsidRPr="00DD1DFA">
        <w:rPr>
          <w:noProof/>
        </w:rPr>
        <w:t xml:space="preserve"> o</w:t>
      </w:r>
      <w:r w:rsidR="00DD1DFA">
        <w:rPr>
          <w:noProof/>
        </w:rPr>
        <w:t> </w:t>
      </w:r>
      <w:r w:rsidR="00DD1DFA" w:rsidRPr="00DD1DFA">
        <w:rPr>
          <w:noProof/>
        </w:rPr>
        <w:t>mon</w:t>
      </w:r>
      <w:r w:rsidRPr="00DD1DFA">
        <w:rPr>
          <w:noProof/>
        </w:rPr>
        <w:t>itorowaniu ich działalności</w:t>
      </w:r>
      <w:r w:rsidR="00DD1DFA" w:rsidRPr="00DD1DFA">
        <w:rPr>
          <w:noProof/>
        </w:rPr>
        <w:t xml:space="preserve"> i</w:t>
      </w:r>
      <w:r w:rsidR="00DD1DFA">
        <w:rPr>
          <w:noProof/>
        </w:rPr>
        <w:t> </w:t>
      </w:r>
      <w:r w:rsidR="00DD1DFA" w:rsidRPr="00DD1DFA">
        <w:rPr>
          <w:noProof/>
        </w:rPr>
        <w:t>kom</w:t>
      </w:r>
      <w:r w:rsidRPr="00DD1DFA">
        <w:rPr>
          <w:noProof/>
        </w:rPr>
        <w:t>petencji oraz</w:t>
      </w:r>
      <w:r w:rsidR="00DD1DFA" w:rsidRPr="00DD1DFA">
        <w:rPr>
          <w:noProof/>
        </w:rPr>
        <w:t xml:space="preserve"> o</w:t>
      </w:r>
      <w:r w:rsidR="00DD1DFA">
        <w:rPr>
          <w:noProof/>
        </w:rPr>
        <w:t> </w:t>
      </w:r>
      <w:r w:rsidR="00DD1DFA" w:rsidRPr="00DD1DFA">
        <w:rPr>
          <w:noProof/>
        </w:rPr>
        <w:t>wsz</w:t>
      </w:r>
      <w:r w:rsidRPr="00DD1DFA">
        <w:rPr>
          <w:noProof/>
        </w:rPr>
        <w:t>elkich zmianach</w:t>
      </w:r>
      <w:r w:rsidR="00DD1DFA" w:rsidRPr="00DD1DFA">
        <w:rPr>
          <w:noProof/>
        </w:rPr>
        <w:t xml:space="preserve"> w</w:t>
      </w:r>
      <w:r w:rsidR="00DD1DFA">
        <w:rPr>
          <w:noProof/>
        </w:rPr>
        <w:t> </w:t>
      </w:r>
      <w:r w:rsidR="00DD1DFA" w:rsidRPr="00DD1DFA">
        <w:rPr>
          <w:noProof/>
        </w:rPr>
        <w:t>tym</w:t>
      </w:r>
      <w:r w:rsidRPr="00DD1DFA">
        <w:rPr>
          <w:noProof/>
        </w:rPr>
        <w:t xml:space="preserve"> zakresie.</w:t>
      </w:r>
    </w:p>
    <w:p w14:paraId="1F8A969F" w14:textId="0AA7A2E1" w:rsidR="003D6934" w:rsidRPr="00DD1DFA" w:rsidRDefault="005F7EFA" w:rsidP="005F7EFA">
      <w:pPr>
        <w:pStyle w:val="ManualNumPar1"/>
        <w:rPr>
          <w:noProof/>
        </w:rPr>
      </w:pPr>
      <w:r w:rsidRPr="005F7EFA">
        <w:t>4.</w:t>
      </w:r>
      <w:r w:rsidRPr="005F7EFA">
        <w:tab/>
      </w:r>
      <w:r w:rsidR="003D6934" w:rsidRPr="00DD1DFA">
        <w:rPr>
          <w:noProof/>
        </w:rPr>
        <w:t>JOT bezzwłocznie,</w:t>
      </w:r>
      <w:r w:rsidR="00DD1DFA" w:rsidRPr="00DD1DFA">
        <w:rPr>
          <w:noProof/>
        </w:rPr>
        <w:t xml:space="preserve"> a</w:t>
      </w:r>
      <w:r w:rsidR="00DD1DFA">
        <w:rPr>
          <w:noProof/>
        </w:rPr>
        <w:t> </w:t>
      </w:r>
      <w:r w:rsidR="00DD1DFA" w:rsidRPr="00DD1DFA">
        <w:rPr>
          <w:noProof/>
        </w:rPr>
        <w:t>naj</w:t>
      </w:r>
      <w:r w:rsidR="003D6934" w:rsidRPr="00DD1DFA">
        <w:rPr>
          <w:noProof/>
        </w:rPr>
        <w:t>później</w:t>
      </w:r>
      <w:r w:rsidR="00DD1DFA" w:rsidRPr="00DD1DFA">
        <w:rPr>
          <w:noProof/>
        </w:rPr>
        <w:t xml:space="preserve"> w</w:t>
      </w:r>
      <w:r w:rsidR="00DD1DFA">
        <w:rPr>
          <w:noProof/>
        </w:rPr>
        <w:t> </w:t>
      </w:r>
      <w:r w:rsidR="00DD1DFA" w:rsidRPr="00DD1DFA">
        <w:rPr>
          <w:noProof/>
        </w:rPr>
        <w:t>ter</w:t>
      </w:r>
      <w:r w:rsidR="003D6934" w:rsidRPr="00DD1DFA">
        <w:rPr>
          <w:noProof/>
        </w:rPr>
        <w:t>minie 15 dni, informują odpowiednie państwo członkowskie</w:t>
      </w:r>
      <w:r w:rsidR="00DD1DFA" w:rsidRPr="00DD1DFA">
        <w:rPr>
          <w:noProof/>
        </w:rPr>
        <w:t xml:space="preserve"> i</w:t>
      </w:r>
      <w:r w:rsidR="00DD1DFA">
        <w:rPr>
          <w:noProof/>
        </w:rPr>
        <w:t> </w:t>
      </w:r>
      <w:r w:rsidR="00DD1DFA" w:rsidRPr="00DD1DFA">
        <w:rPr>
          <w:noProof/>
        </w:rPr>
        <w:t>org</w:t>
      </w:r>
      <w:r w:rsidR="003D6934" w:rsidRPr="00DD1DFA">
        <w:rPr>
          <w:noProof/>
        </w:rPr>
        <w:t>an notyfikowany</w:t>
      </w:r>
      <w:r w:rsidR="00DD1DFA" w:rsidRPr="00DD1DFA">
        <w:rPr>
          <w:noProof/>
        </w:rPr>
        <w:t xml:space="preserve"> o</w:t>
      </w:r>
      <w:r w:rsidR="00DD1DFA">
        <w:rPr>
          <w:noProof/>
        </w:rPr>
        <w:t> </w:t>
      </w:r>
      <w:r w:rsidR="00DD1DFA" w:rsidRPr="00DD1DFA">
        <w:rPr>
          <w:noProof/>
        </w:rPr>
        <w:t>wsz</w:t>
      </w:r>
      <w:r w:rsidR="003D6934" w:rsidRPr="00DD1DFA">
        <w:rPr>
          <w:noProof/>
        </w:rPr>
        <w:t xml:space="preserve">elkich zmianach, które mogą mieć wpływ na spełnienie przez nie </w:t>
      </w:r>
      <w:r w:rsidR="003D6934" w:rsidRPr="00DD1DFA">
        <w:rPr>
          <w:noProof/>
          <w:color w:val="000000"/>
        </w:rPr>
        <w:t>wymagań określonych</w:t>
      </w:r>
      <w:r w:rsidR="00DD1DFA" w:rsidRPr="00DD1DFA">
        <w:rPr>
          <w:noProof/>
          <w:color w:val="000000"/>
        </w:rPr>
        <w:t xml:space="preserve"> w</w:t>
      </w:r>
      <w:r w:rsidR="00DD1DFA">
        <w:rPr>
          <w:noProof/>
          <w:color w:val="000000"/>
        </w:rPr>
        <w:t> </w:t>
      </w:r>
      <w:r w:rsidR="00DD1DFA" w:rsidRPr="00DD1DFA">
        <w:rPr>
          <w:noProof/>
          <w:color w:val="000000"/>
        </w:rPr>
        <w:t>nin</w:t>
      </w:r>
      <w:r w:rsidR="003D6934" w:rsidRPr="00DD1DFA">
        <w:rPr>
          <w:noProof/>
          <w:color w:val="000000"/>
        </w:rPr>
        <w:t xml:space="preserve">iejszym rozdziale </w:t>
      </w:r>
      <w:r w:rsidR="003D6934" w:rsidRPr="00DD1DFA">
        <w:rPr>
          <w:noProof/>
        </w:rPr>
        <w:t>lub na ich zdolność do wypełnienia obowiązków wynikających</w:t>
      </w:r>
      <w:r w:rsidR="00DD1DFA" w:rsidRPr="00DD1DFA">
        <w:rPr>
          <w:noProof/>
        </w:rPr>
        <w:t xml:space="preserve"> z</w:t>
      </w:r>
      <w:r w:rsidR="00DD1DFA">
        <w:rPr>
          <w:noProof/>
        </w:rPr>
        <w:t> </w:t>
      </w:r>
      <w:r w:rsidR="00DD1DFA" w:rsidRPr="00DD1DFA">
        <w:rPr>
          <w:noProof/>
        </w:rPr>
        <w:t>nin</w:t>
      </w:r>
      <w:r w:rsidR="003D6934" w:rsidRPr="00DD1DFA">
        <w:rPr>
          <w:noProof/>
        </w:rPr>
        <w:t>iejszego rozporządzenia.</w:t>
      </w:r>
    </w:p>
    <w:p w14:paraId="22C10504" w14:textId="41483860" w:rsidR="003D6934" w:rsidRPr="00DD1DFA" w:rsidRDefault="005F7EFA" w:rsidP="005F7EFA">
      <w:pPr>
        <w:pStyle w:val="ManualNumPar1"/>
        <w:rPr>
          <w:noProof/>
        </w:rPr>
      </w:pPr>
      <w:r w:rsidRPr="005F7EFA">
        <w:t>5.</w:t>
      </w:r>
      <w:r w:rsidRPr="005F7EFA">
        <w:tab/>
      </w:r>
      <w:r w:rsidR="003D6934" w:rsidRPr="00DD1DFA">
        <w:rPr>
          <w:noProof/>
        </w:rPr>
        <w:t>Komisja może kontrolować przestrzeganie przez JOT wymogów określonych</w:t>
      </w:r>
      <w:r w:rsidR="00DD1DFA" w:rsidRPr="00DD1DFA">
        <w:rPr>
          <w:noProof/>
        </w:rPr>
        <w:t xml:space="preserve"> w</w:t>
      </w:r>
      <w:r w:rsidR="00DD1DFA">
        <w:rPr>
          <w:noProof/>
        </w:rPr>
        <w:t> </w:t>
      </w:r>
      <w:r w:rsidR="00DD1DFA" w:rsidRPr="00DD1DFA">
        <w:rPr>
          <w:noProof/>
        </w:rPr>
        <w:t>nin</w:t>
      </w:r>
      <w:r w:rsidR="003D6934" w:rsidRPr="00DD1DFA">
        <w:rPr>
          <w:noProof/>
        </w:rPr>
        <w:t>iejszym rozdziale, jak również wypełnianie przez odpowiedzialne organy wyznaczające ich obowiązków</w:t>
      </w:r>
      <w:r w:rsidR="00DD1DFA" w:rsidRPr="00DD1DFA">
        <w:rPr>
          <w:noProof/>
        </w:rPr>
        <w:t xml:space="preserve"> w</w:t>
      </w:r>
      <w:r w:rsidR="00DD1DFA">
        <w:rPr>
          <w:noProof/>
        </w:rPr>
        <w:t> </w:t>
      </w:r>
      <w:r w:rsidR="00DD1DFA" w:rsidRPr="00DD1DFA">
        <w:rPr>
          <w:noProof/>
        </w:rPr>
        <w:t>zak</w:t>
      </w:r>
      <w:r w:rsidR="003D6934" w:rsidRPr="00DD1DFA">
        <w:rPr>
          <w:noProof/>
        </w:rPr>
        <w:t xml:space="preserve">resie monitorowania. </w:t>
      </w:r>
    </w:p>
    <w:p w14:paraId="61EA2738" w14:textId="47A9344D" w:rsidR="003D6934" w:rsidRPr="00DD1DFA" w:rsidRDefault="005F7EFA" w:rsidP="005F7EFA">
      <w:pPr>
        <w:pStyle w:val="ManualNumPar1"/>
        <w:rPr>
          <w:noProof/>
        </w:rPr>
      </w:pPr>
      <w:bookmarkStart w:id="2" w:name="move3296399"/>
      <w:bookmarkEnd w:id="2"/>
      <w:r w:rsidRPr="005F7EFA">
        <w:t>6.</w:t>
      </w:r>
      <w:r w:rsidRPr="005F7EFA">
        <w:tab/>
      </w:r>
      <w:r w:rsidR="003D6934" w:rsidRPr="00DD1DFA">
        <w:rPr>
          <w:noProof/>
        </w:rPr>
        <w:t>JOT przekazują, na żądanie właściwego organu wyznaczającego, wszystkie istotne informacje</w:t>
      </w:r>
      <w:r w:rsidR="00DD1DFA" w:rsidRPr="00DD1DFA">
        <w:rPr>
          <w:noProof/>
        </w:rPr>
        <w:t xml:space="preserve"> i</w:t>
      </w:r>
      <w:r w:rsidR="00DD1DFA">
        <w:rPr>
          <w:noProof/>
        </w:rPr>
        <w:t> </w:t>
      </w:r>
      <w:r w:rsidR="00DD1DFA" w:rsidRPr="00DD1DFA">
        <w:rPr>
          <w:noProof/>
        </w:rPr>
        <w:t>dok</w:t>
      </w:r>
      <w:r w:rsidR="003D6934" w:rsidRPr="00DD1DFA">
        <w:rPr>
          <w:noProof/>
        </w:rPr>
        <w:t>umenty niezbędne do umożliwienia temu organowi, Komisji</w:t>
      </w:r>
      <w:r w:rsidR="00DD1DFA" w:rsidRPr="00DD1DFA">
        <w:rPr>
          <w:noProof/>
        </w:rPr>
        <w:t xml:space="preserve"> i</w:t>
      </w:r>
      <w:r w:rsidR="00DD1DFA">
        <w:rPr>
          <w:noProof/>
        </w:rPr>
        <w:t> </w:t>
      </w:r>
      <w:r w:rsidR="00DD1DFA" w:rsidRPr="00DD1DFA">
        <w:rPr>
          <w:noProof/>
        </w:rPr>
        <w:t>pań</w:t>
      </w:r>
      <w:r w:rsidR="003D6934" w:rsidRPr="00DD1DFA">
        <w:rPr>
          <w:noProof/>
        </w:rPr>
        <w:t>stwom członkowskim sprawdzenia zgodności.</w:t>
      </w:r>
    </w:p>
    <w:p w14:paraId="6EEF7518" w14:textId="1C8C2662" w:rsidR="00BC1E12" w:rsidRPr="00DD1DFA" w:rsidRDefault="005F7EFA" w:rsidP="005F7EFA">
      <w:pPr>
        <w:pStyle w:val="ManualNumPar1"/>
        <w:rPr>
          <w:rFonts w:ascii="Calibri" w:hAnsi="Calibri" w:cs="DejaVu Sans"/>
          <w:noProof/>
          <w:sz w:val="22"/>
        </w:rPr>
      </w:pPr>
      <w:r w:rsidRPr="005F7EFA">
        <w:t>7.</w:t>
      </w:r>
      <w:r w:rsidRPr="005F7EFA">
        <w:tab/>
      </w:r>
      <w:r w:rsidR="003D6934" w:rsidRPr="00DD1DFA">
        <w:rPr>
          <w:noProof/>
        </w:rPr>
        <w:t>W przypadku gdy JOT przestaje spełniać wymagania niniejszego rozporządzenia, państwo członkowskie odwołuje wyznaczenie tej JOT dla odpowiedniej grupy wyrobów oraz informuje</w:t>
      </w:r>
      <w:r w:rsidR="00DD1DFA" w:rsidRPr="00DD1DFA">
        <w:rPr>
          <w:noProof/>
        </w:rPr>
        <w:t xml:space="preserve"> o</w:t>
      </w:r>
      <w:r w:rsidR="00DD1DFA">
        <w:rPr>
          <w:noProof/>
        </w:rPr>
        <w:t> </w:t>
      </w:r>
      <w:r w:rsidR="00DD1DFA" w:rsidRPr="00DD1DFA">
        <w:rPr>
          <w:noProof/>
        </w:rPr>
        <w:t>tym</w:t>
      </w:r>
      <w:r w:rsidR="003D6934" w:rsidRPr="00DD1DFA">
        <w:rPr>
          <w:noProof/>
        </w:rPr>
        <w:t xml:space="preserve"> Komisję</w:t>
      </w:r>
      <w:r w:rsidR="00DD1DFA" w:rsidRPr="00DD1DFA">
        <w:rPr>
          <w:noProof/>
        </w:rPr>
        <w:t xml:space="preserve"> i</w:t>
      </w:r>
      <w:r w:rsidR="00DD1DFA">
        <w:rPr>
          <w:noProof/>
        </w:rPr>
        <w:t> </w:t>
      </w:r>
      <w:r w:rsidR="00DD1DFA" w:rsidRPr="00DD1DFA">
        <w:rPr>
          <w:noProof/>
        </w:rPr>
        <w:t>poz</w:t>
      </w:r>
      <w:r w:rsidR="003D6934" w:rsidRPr="00DD1DFA">
        <w:rPr>
          <w:noProof/>
        </w:rPr>
        <w:t>ostałe państwa członkowskie. Zastosowanie mają art.</w:t>
      </w:r>
      <w:r w:rsidR="00DD1DFA" w:rsidRPr="00DD1DFA">
        <w:rPr>
          <w:noProof/>
        </w:rPr>
        <w:t> </w:t>
      </w:r>
      <w:r w:rsidR="003D6934" w:rsidRPr="00DD1DFA">
        <w:rPr>
          <w:noProof/>
        </w:rPr>
        <w:t>58</w:t>
      </w:r>
      <w:r w:rsidR="00DD1DFA" w:rsidRPr="00DD1DFA">
        <w:rPr>
          <w:noProof/>
        </w:rPr>
        <w:t xml:space="preserve"> i</w:t>
      </w:r>
      <w:r w:rsidR="00DD1DFA">
        <w:rPr>
          <w:noProof/>
        </w:rPr>
        <w:t> </w:t>
      </w:r>
      <w:r w:rsidR="00DD1DFA" w:rsidRPr="00DD1DFA">
        <w:rPr>
          <w:noProof/>
        </w:rPr>
        <w:t>5</w:t>
      </w:r>
      <w:r w:rsidR="003D6934" w:rsidRPr="00DD1DFA">
        <w:rPr>
          <w:noProof/>
        </w:rPr>
        <w:t>9.</w:t>
      </w:r>
    </w:p>
    <w:p w14:paraId="736C0D2E" w14:textId="77777777" w:rsidR="00BC1E12" w:rsidRPr="00DD1DFA" w:rsidRDefault="00BC1E12" w:rsidP="006F6842">
      <w:pPr>
        <w:pStyle w:val="Titrearticle"/>
        <w:rPr>
          <w:noProof/>
        </w:rPr>
      </w:pPr>
      <w:r w:rsidRPr="00DD1DFA">
        <w:rPr>
          <w:noProof/>
        </w:rPr>
        <w:t>Artykuł 45</w:t>
      </w:r>
    </w:p>
    <w:p w14:paraId="13429A78" w14:textId="77777777" w:rsidR="00BC1E12" w:rsidRPr="00DD1DFA" w:rsidRDefault="00BC1E12" w:rsidP="006F6842">
      <w:pPr>
        <w:pStyle w:val="Titrearticle"/>
        <w:rPr>
          <w:rFonts w:ascii="Calibri" w:eastAsia="Calibri" w:hAnsi="Calibri" w:cs="DejaVu Sans"/>
          <w:noProof/>
          <w:color w:val="00000A"/>
          <w:sz w:val="22"/>
        </w:rPr>
      </w:pPr>
      <w:r w:rsidRPr="00DD1DFA">
        <w:rPr>
          <w:b/>
          <w:bCs/>
          <w:noProof/>
        </w:rPr>
        <w:t>Wymagania dotyczące jednostek ds. oceny technicznej</w:t>
      </w:r>
    </w:p>
    <w:p w14:paraId="7D2CB1B3" w14:textId="38186FF7" w:rsidR="00B75C2F" w:rsidRPr="00DD1DFA" w:rsidRDefault="005F7EFA" w:rsidP="005F7EFA">
      <w:pPr>
        <w:pStyle w:val="ManualNumPar1"/>
        <w:rPr>
          <w:rFonts w:ascii="Calibri" w:hAnsi="Calibri"/>
          <w:noProof/>
          <w:color w:val="00000A"/>
          <w:sz w:val="22"/>
        </w:rPr>
      </w:pPr>
      <w:r w:rsidRPr="005F7EFA">
        <w:t>1.</w:t>
      </w:r>
      <w:r w:rsidRPr="005F7EFA">
        <w:tab/>
      </w:r>
      <w:r w:rsidR="00B75C2F" w:rsidRPr="00DD1DFA">
        <w:rPr>
          <w:noProof/>
        </w:rPr>
        <w:t>JOT posiada kompetencje</w:t>
      </w:r>
      <w:r w:rsidR="00DD1DFA" w:rsidRPr="00DD1DFA">
        <w:rPr>
          <w:noProof/>
        </w:rPr>
        <w:t xml:space="preserve"> i</w:t>
      </w:r>
      <w:r w:rsidR="00DD1DFA">
        <w:rPr>
          <w:noProof/>
        </w:rPr>
        <w:t> </w:t>
      </w:r>
      <w:r w:rsidR="00DD1DFA" w:rsidRPr="00DD1DFA">
        <w:rPr>
          <w:noProof/>
        </w:rPr>
        <w:t>wyp</w:t>
      </w:r>
      <w:r w:rsidR="00B75C2F" w:rsidRPr="00DD1DFA">
        <w:rPr>
          <w:noProof/>
        </w:rPr>
        <w:t>osażenie umożliwiające jej przeprowadzanie oceny</w:t>
      </w:r>
      <w:r w:rsidR="00DD1DFA" w:rsidRPr="00DD1DFA">
        <w:rPr>
          <w:noProof/>
        </w:rPr>
        <w:t xml:space="preserve"> w</w:t>
      </w:r>
      <w:r w:rsidR="00DD1DFA">
        <w:rPr>
          <w:noProof/>
        </w:rPr>
        <w:t> </w:t>
      </w:r>
      <w:r w:rsidR="00DD1DFA" w:rsidRPr="00DD1DFA">
        <w:rPr>
          <w:noProof/>
        </w:rPr>
        <w:t>gru</w:t>
      </w:r>
      <w:r w:rsidR="00B75C2F" w:rsidRPr="00DD1DFA">
        <w:rPr>
          <w:noProof/>
        </w:rPr>
        <w:t>pie wyrobów, dla której ją wyznaczono. Personel podejmujący decyzje i co najmniej połowa personelu technicznego JOT znajduje się</w:t>
      </w:r>
      <w:r w:rsidR="00DD1DFA" w:rsidRPr="00DD1DFA">
        <w:rPr>
          <w:noProof/>
        </w:rPr>
        <w:t xml:space="preserve"> w</w:t>
      </w:r>
      <w:r w:rsidR="00DD1DFA">
        <w:rPr>
          <w:noProof/>
        </w:rPr>
        <w:t> </w:t>
      </w:r>
      <w:r w:rsidR="00DD1DFA" w:rsidRPr="00DD1DFA">
        <w:rPr>
          <w:noProof/>
        </w:rPr>
        <w:t>wyz</w:t>
      </w:r>
      <w:r w:rsidR="00B75C2F" w:rsidRPr="00DD1DFA">
        <w:rPr>
          <w:noProof/>
        </w:rPr>
        <w:t>naczającym państwie członkowskim.</w:t>
      </w:r>
    </w:p>
    <w:p w14:paraId="36AA2480" w14:textId="6963E36B" w:rsidR="00B75C2F" w:rsidRPr="00DD1DFA" w:rsidRDefault="005F7EFA" w:rsidP="005F7EFA">
      <w:pPr>
        <w:pStyle w:val="ManualNumPar1"/>
        <w:rPr>
          <w:noProof/>
        </w:rPr>
      </w:pPr>
      <w:r w:rsidRPr="005F7EFA">
        <w:t>2.</w:t>
      </w:r>
      <w:r w:rsidRPr="005F7EFA">
        <w:tab/>
      </w:r>
      <w:r w:rsidR="00B75C2F" w:rsidRPr="00DD1DFA">
        <w:rPr>
          <w:noProof/>
        </w:rPr>
        <w:t>JOT spełnia wymagania określone</w:t>
      </w:r>
      <w:r w:rsidR="00DD1DFA" w:rsidRPr="00DD1DFA">
        <w:rPr>
          <w:noProof/>
        </w:rPr>
        <w:t xml:space="preserve"> w</w:t>
      </w:r>
      <w:r w:rsidR="00DD1DFA">
        <w:rPr>
          <w:noProof/>
        </w:rPr>
        <w:t> </w:t>
      </w:r>
      <w:r w:rsidR="00DD1DFA" w:rsidRPr="00DD1DFA">
        <w:rPr>
          <w:noProof/>
        </w:rPr>
        <w:t>zał</w:t>
      </w:r>
      <w:r w:rsidR="00B75C2F" w:rsidRPr="00DD1DFA">
        <w:rPr>
          <w:noProof/>
        </w:rPr>
        <w:t>ączniku IV tabela 2,</w:t>
      </w:r>
      <w:r w:rsidR="00DD1DFA" w:rsidRPr="00DD1DFA">
        <w:rPr>
          <w:noProof/>
        </w:rPr>
        <w:t xml:space="preserve"> w</w:t>
      </w:r>
      <w:r w:rsidR="00DD1DFA">
        <w:rPr>
          <w:noProof/>
        </w:rPr>
        <w:t> </w:t>
      </w:r>
      <w:r w:rsidR="00DD1DFA" w:rsidRPr="00DD1DFA">
        <w:rPr>
          <w:noProof/>
        </w:rPr>
        <w:t>zak</w:t>
      </w:r>
      <w:r w:rsidR="00B75C2F" w:rsidRPr="00DD1DFA">
        <w:rPr>
          <w:noProof/>
        </w:rPr>
        <w:t>resie, dla którego została wyznaczona. Zastosowanie mają art.</w:t>
      </w:r>
      <w:r w:rsidR="00DD1DFA" w:rsidRPr="00DD1DFA">
        <w:rPr>
          <w:noProof/>
        </w:rPr>
        <w:t> </w:t>
      </w:r>
      <w:r w:rsidR="00B75C2F" w:rsidRPr="00DD1DFA">
        <w:rPr>
          <w:noProof/>
        </w:rPr>
        <w:t>50 ust.</w:t>
      </w:r>
      <w:r w:rsidR="00DD1DFA" w:rsidRPr="00DD1DFA">
        <w:rPr>
          <w:noProof/>
        </w:rPr>
        <w:t> </w:t>
      </w:r>
      <w:r w:rsidR="00B75C2F" w:rsidRPr="00DD1DFA">
        <w:rPr>
          <w:noProof/>
        </w:rPr>
        <w:t>1–5, art.</w:t>
      </w:r>
      <w:r w:rsidR="00DD1DFA" w:rsidRPr="00DD1DFA">
        <w:rPr>
          <w:noProof/>
        </w:rPr>
        <w:t> </w:t>
      </w:r>
      <w:r w:rsidR="00B75C2F" w:rsidRPr="00DD1DFA">
        <w:rPr>
          <w:noProof/>
        </w:rPr>
        <w:t>50 ust.</w:t>
      </w:r>
      <w:r w:rsidR="00DD1DFA" w:rsidRPr="00DD1DFA">
        <w:rPr>
          <w:noProof/>
        </w:rPr>
        <w:t> </w:t>
      </w:r>
      <w:r w:rsidR="00B75C2F" w:rsidRPr="00DD1DFA">
        <w:rPr>
          <w:noProof/>
        </w:rPr>
        <w:t>6 lit.</w:t>
      </w:r>
      <w:r w:rsidR="00DD1DFA" w:rsidRPr="00DD1DFA">
        <w:rPr>
          <w:noProof/>
        </w:rPr>
        <w:t> </w:t>
      </w:r>
      <w:r w:rsidR="00B75C2F" w:rsidRPr="00DD1DFA">
        <w:rPr>
          <w:noProof/>
        </w:rPr>
        <w:t>a) i b), art.</w:t>
      </w:r>
      <w:r w:rsidR="00DD1DFA" w:rsidRPr="00DD1DFA">
        <w:rPr>
          <w:noProof/>
        </w:rPr>
        <w:t> </w:t>
      </w:r>
      <w:r w:rsidR="00B75C2F" w:rsidRPr="00DD1DFA">
        <w:rPr>
          <w:noProof/>
        </w:rPr>
        <w:t>50 ust.</w:t>
      </w:r>
      <w:r w:rsidR="00DD1DFA" w:rsidRPr="00DD1DFA">
        <w:rPr>
          <w:noProof/>
        </w:rPr>
        <w:t> </w:t>
      </w:r>
      <w:r w:rsidR="00B75C2F" w:rsidRPr="00DD1DFA">
        <w:rPr>
          <w:noProof/>
        </w:rPr>
        <w:t>7, 8</w:t>
      </w:r>
      <w:r w:rsidR="00DD1DFA" w:rsidRPr="00DD1DFA">
        <w:rPr>
          <w:noProof/>
        </w:rPr>
        <w:t xml:space="preserve"> i</w:t>
      </w:r>
      <w:r w:rsidR="00DD1DFA">
        <w:rPr>
          <w:noProof/>
        </w:rPr>
        <w:t> </w:t>
      </w:r>
      <w:r w:rsidR="00DD1DFA" w:rsidRPr="00DD1DFA">
        <w:rPr>
          <w:noProof/>
        </w:rPr>
        <w:t>1</w:t>
      </w:r>
      <w:r w:rsidR="00B75C2F" w:rsidRPr="00DD1DFA">
        <w:rPr>
          <w:noProof/>
        </w:rPr>
        <w:t>0 oraz art.</w:t>
      </w:r>
      <w:r w:rsidR="00DD1DFA" w:rsidRPr="00DD1DFA">
        <w:rPr>
          <w:noProof/>
        </w:rPr>
        <w:t> </w:t>
      </w:r>
      <w:r w:rsidR="00B75C2F" w:rsidRPr="00DD1DFA">
        <w:rPr>
          <w:noProof/>
        </w:rPr>
        <w:t>51.</w:t>
      </w:r>
    </w:p>
    <w:p w14:paraId="384721BC" w14:textId="482909A5" w:rsidR="00B75C2F" w:rsidRPr="00DD1DFA" w:rsidRDefault="005F7EFA" w:rsidP="005F7EFA">
      <w:pPr>
        <w:pStyle w:val="ManualNumPar1"/>
        <w:rPr>
          <w:noProof/>
        </w:rPr>
      </w:pPr>
      <w:r w:rsidRPr="005F7EFA">
        <w:t>3.</w:t>
      </w:r>
      <w:r w:rsidRPr="005F7EFA">
        <w:tab/>
      </w:r>
      <w:r w:rsidR="00B75C2F" w:rsidRPr="00DD1DFA">
        <w:rPr>
          <w:noProof/>
        </w:rPr>
        <w:t>JOT podaje do wiadomości publicznej swój schemat organizacyjny oraz nazwiska członków swoich wewnętrznych organów decyzyjnych.</w:t>
      </w:r>
    </w:p>
    <w:p w14:paraId="1BE5FDF8" w14:textId="77D44C8F" w:rsidR="00BC1E12" w:rsidRPr="00DD1DFA" w:rsidRDefault="00B75C2F" w:rsidP="00B75C2F">
      <w:pPr>
        <w:pStyle w:val="Text1"/>
        <w:rPr>
          <w:rFonts w:ascii="Calibri" w:eastAsia="Calibri" w:hAnsi="Calibri" w:cs="DejaVu Sans"/>
          <w:noProof/>
          <w:color w:val="00000A"/>
          <w:sz w:val="22"/>
        </w:rPr>
      </w:pPr>
      <w:bookmarkStart w:id="3" w:name="move32963991"/>
      <w:bookmarkEnd w:id="3"/>
      <w:r w:rsidRPr="00DD1DFA">
        <w:rPr>
          <w:noProof/>
          <w:color w:val="000000"/>
        </w:rPr>
        <w:t>W przypadku gdy JOT przestaje spełniać wymagania,</w:t>
      </w:r>
      <w:r w:rsidR="00DD1DFA" w:rsidRPr="00DD1DFA">
        <w:rPr>
          <w:noProof/>
          <w:color w:val="000000"/>
        </w:rPr>
        <w:t xml:space="preserve"> o</w:t>
      </w:r>
      <w:r w:rsidR="00DD1DFA">
        <w:rPr>
          <w:noProof/>
          <w:color w:val="000000"/>
        </w:rPr>
        <w:t> </w:t>
      </w:r>
      <w:r w:rsidR="00DD1DFA" w:rsidRPr="00DD1DFA">
        <w:rPr>
          <w:noProof/>
          <w:color w:val="000000"/>
        </w:rPr>
        <w:t>któ</w:t>
      </w:r>
      <w:r w:rsidRPr="00DD1DFA">
        <w:rPr>
          <w:noProof/>
          <w:color w:val="000000"/>
        </w:rPr>
        <w:t>rych mowa</w:t>
      </w:r>
      <w:r w:rsidR="00DD1DFA" w:rsidRPr="00DD1DFA">
        <w:rPr>
          <w:noProof/>
          <w:color w:val="000000"/>
        </w:rPr>
        <w:t xml:space="preserve"> w</w:t>
      </w:r>
      <w:r w:rsidR="00DD1DFA">
        <w:rPr>
          <w:noProof/>
          <w:color w:val="000000"/>
        </w:rPr>
        <w:t> </w:t>
      </w:r>
      <w:r w:rsidR="00DD1DFA" w:rsidRPr="00DD1DFA">
        <w:rPr>
          <w:noProof/>
          <w:color w:val="000000"/>
        </w:rPr>
        <w:t>ust</w:t>
      </w:r>
      <w:r w:rsidRPr="00DD1DFA">
        <w:rPr>
          <w:noProof/>
          <w:color w:val="000000"/>
        </w:rPr>
        <w:t>.</w:t>
      </w:r>
      <w:r w:rsidR="00DD1DFA" w:rsidRPr="00DD1DFA">
        <w:rPr>
          <w:noProof/>
          <w:color w:val="000000"/>
        </w:rPr>
        <w:t> </w:t>
      </w:r>
      <w:r w:rsidRPr="00DD1DFA">
        <w:rPr>
          <w:noProof/>
          <w:color w:val="000000"/>
        </w:rPr>
        <w:t>1</w:t>
      </w:r>
      <w:r w:rsidR="00DD1DFA" w:rsidRPr="00DD1DFA">
        <w:rPr>
          <w:noProof/>
          <w:color w:val="000000"/>
        </w:rPr>
        <w:t xml:space="preserve"> i</w:t>
      </w:r>
      <w:r w:rsidR="00DD1DFA">
        <w:rPr>
          <w:noProof/>
          <w:color w:val="000000"/>
        </w:rPr>
        <w:t> </w:t>
      </w:r>
      <w:r w:rsidR="00DD1DFA" w:rsidRPr="00DD1DFA">
        <w:rPr>
          <w:noProof/>
          <w:color w:val="000000"/>
        </w:rPr>
        <w:t>2</w:t>
      </w:r>
      <w:r w:rsidRPr="00DD1DFA">
        <w:rPr>
          <w:noProof/>
          <w:color w:val="000000"/>
        </w:rPr>
        <w:t>, państwo członkowskie odwołuje wyznaczenie tej JOT dla odpowiedniej grupy wyrobów oraz informuje</w:t>
      </w:r>
      <w:r w:rsidR="00DD1DFA" w:rsidRPr="00DD1DFA">
        <w:rPr>
          <w:noProof/>
          <w:color w:val="000000"/>
        </w:rPr>
        <w:t xml:space="preserve"> o</w:t>
      </w:r>
      <w:r w:rsidR="00DD1DFA">
        <w:rPr>
          <w:noProof/>
          <w:color w:val="000000"/>
        </w:rPr>
        <w:t> </w:t>
      </w:r>
      <w:r w:rsidR="00DD1DFA" w:rsidRPr="00DD1DFA">
        <w:rPr>
          <w:noProof/>
          <w:color w:val="000000"/>
        </w:rPr>
        <w:t>tym</w:t>
      </w:r>
      <w:r w:rsidRPr="00DD1DFA">
        <w:rPr>
          <w:noProof/>
          <w:color w:val="000000"/>
        </w:rPr>
        <w:t xml:space="preserve"> Komisję</w:t>
      </w:r>
      <w:r w:rsidR="00DD1DFA" w:rsidRPr="00DD1DFA">
        <w:rPr>
          <w:noProof/>
          <w:color w:val="000000"/>
        </w:rPr>
        <w:t xml:space="preserve"> i</w:t>
      </w:r>
      <w:r w:rsidR="00DD1DFA">
        <w:rPr>
          <w:noProof/>
          <w:color w:val="000000"/>
        </w:rPr>
        <w:t> </w:t>
      </w:r>
      <w:r w:rsidR="00DD1DFA" w:rsidRPr="00DD1DFA">
        <w:rPr>
          <w:noProof/>
          <w:color w:val="000000"/>
        </w:rPr>
        <w:t>poz</w:t>
      </w:r>
      <w:r w:rsidRPr="00DD1DFA">
        <w:rPr>
          <w:noProof/>
          <w:color w:val="000000"/>
        </w:rPr>
        <w:t>ostałe państwa członkowskie.</w:t>
      </w:r>
    </w:p>
    <w:p w14:paraId="614CD04F" w14:textId="77777777" w:rsidR="00BC1E12" w:rsidRPr="00DD1DFA" w:rsidRDefault="00BC1E12" w:rsidP="005950E9">
      <w:pPr>
        <w:pStyle w:val="Titrearticle"/>
        <w:rPr>
          <w:noProof/>
        </w:rPr>
      </w:pPr>
      <w:r w:rsidRPr="00DD1DFA">
        <w:rPr>
          <w:noProof/>
        </w:rPr>
        <w:t>Artykuł 46</w:t>
      </w:r>
    </w:p>
    <w:p w14:paraId="5AE04FE6" w14:textId="77777777" w:rsidR="00BC1E12" w:rsidRPr="00DD1DFA" w:rsidRDefault="00BC1E12" w:rsidP="005950E9">
      <w:pPr>
        <w:pStyle w:val="Titrearticle"/>
        <w:rPr>
          <w:b/>
          <w:noProof/>
        </w:rPr>
      </w:pPr>
      <w:r w:rsidRPr="00DD1DFA">
        <w:rPr>
          <w:b/>
          <w:noProof/>
        </w:rPr>
        <w:t>Koordynacja między JOT</w:t>
      </w:r>
    </w:p>
    <w:p w14:paraId="6A66054A" w14:textId="496BD076" w:rsidR="00B75C2F" w:rsidRPr="00DD1DFA" w:rsidRDefault="005F7EFA" w:rsidP="005F7EFA">
      <w:pPr>
        <w:pStyle w:val="ManualNumPar1"/>
        <w:rPr>
          <w:rFonts w:ascii="Calibri" w:hAnsi="Calibri"/>
          <w:noProof/>
          <w:color w:val="00000A"/>
          <w:sz w:val="22"/>
        </w:rPr>
      </w:pPr>
      <w:r w:rsidRPr="005F7EFA">
        <w:t>1.</w:t>
      </w:r>
      <w:r w:rsidRPr="005F7EFA">
        <w:tab/>
      </w:r>
      <w:r w:rsidR="00B75C2F" w:rsidRPr="00DD1DFA">
        <w:rPr>
          <w:noProof/>
        </w:rPr>
        <w:t>JOT ustanawiają organizację do spraw oceny technicznej („organizację JOT”) zgodnie</w:t>
      </w:r>
      <w:r w:rsidR="00DD1DFA" w:rsidRPr="00DD1DFA">
        <w:rPr>
          <w:noProof/>
        </w:rPr>
        <w:t xml:space="preserve"> z</w:t>
      </w:r>
      <w:r w:rsidR="00DD1DFA">
        <w:rPr>
          <w:noProof/>
        </w:rPr>
        <w:t> </w:t>
      </w:r>
      <w:r w:rsidR="00DD1DFA" w:rsidRPr="00DD1DFA">
        <w:rPr>
          <w:noProof/>
        </w:rPr>
        <w:t>nin</w:t>
      </w:r>
      <w:r w:rsidR="00B75C2F" w:rsidRPr="00DD1DFA">
        <w:rPr>
          <w:noProof/>
        </w:rPr>
        <w:t>iejszym rozporządzeniem.</w:t>
      </w:r>
    </w:p>
    <w:p w14:paraId="66E5E6CF" w14:textId="0775B34A" w:rsidR="00B75C2F" w:rsidRPr="00DD1DFA" w:rsidRDefault="005F7EFA" w:rsidP="005F7EFA">
      <w:pPr>
        <w:pStyle w:val="ManualNumPar1"/>
        <w:rPr>
          <w:noProof/>
        </w:rPr>
      </w:pPr>
      <w:r w:rsidRPr="005F7EFA">
        <w:t>2.</w:t>
      </w:r>
      <w:r w:rsidRPr="005F7EFA">
        <w:tab/>
      </w:r>
      <w:r w:rsidR="00B75C2F" w:rsidRPr="00DD1DFA">
        <w:rPr>
          <w:noProof/>
        </w:rPr>
        <w:t>Organizacja JOT wykonuje co najmniej następujące zadania:</w:t>
      </w:r>
    </w:p>
    <w:p w14:paraId="1CD487DD" w14:textId="63030F38" w:rsidR="00B75C2F" w:rsidRPr="00DD1DFA" w:rsidRDefault="005A4BBC" w:rsidP="005A4BBC">
      <w:pPr>
        <w:pStyle w:val="Point1"/>
        <w:rPr>
          <w:noProof/>
        </w:rPr>
      </w:pPr>
      <w:r>
        <w:rPr>
          <w:noProof/>
        </w:rPr>
        <w:t>a)</w:t>
      </w:r>
      <w:r>
        <w:rPr>
          <w:noProof/>
        </w:rPr>
        <w:tab/>
      </w:r>
      <w:r w:rsidR="00B75C2F" w:rsidRPr="00DD1DFA">
        <w:rPr>
          <w:noProof/>
        </w:rPr>
        <w:t>bada potencjał nowych zharmonizowanych specyfikacji technicznych</w:t>
      </w:r>
      <w:r w:rsidR="00DD1DFA" w:rsidRPr="00DD1DFA">
        <w:rPr>
          <w:noProof/>
        </w:rPr>
        <w:t xml:space="preserve"> i</w:t>
      </w:r>
      <w:r w:rsidR="00DD1DFA">
        <w:rPr>
          <w:noProof/>
        </w:rPr>
        <w:t> </w:t>
      </w:r>
      <w:r w:rsidR="00DD1DFA" w:rsidRPr="00DD1DFA">
        <w:rPr>
          <w:noProof/>
        </w:rPr>
        <w:t>inf</w:t>
      </w:r>
      <w:r w:rsidR="00B75C2F" w:rsidRPr="00DD1DFA">
        <w:rPr>
          <w:noProof/>
        </w:rPr>
        <w:t>ormuje Komisję</w:t>
      </w:r>
      <w:r w:rsidR="00DD1DFA" w:rsidRPr="00DD1DFA">
        <w:rPr>
          <w:noProof/>
        </w:rPr>
        <w:t xml:space="preserve"> o</w:t>
      </w:r>
      <w:r w:rsidR="00DD1DFA">
        <w:rPr>
          <w:noProof/>
        </w:rPr>
        <w:t> </w:t>
      </w:r>
      <w:r w:rsidR="00DD1DFA" w:rsidRPr="00DD1DFA">
        <w:rPr>
          <w:noProof/>
        </w:rPr>
        <w:t>tak</w:t>
      </w:r>
      <w:r w:rsidR="00B75C2F" w:rsidRPr="00DD1DFA">
        <w:rPr>
          <w:noProof/>
        </w:rPr>
        <w:t>im potencjale;</w:t>
      </w:r>
    </w:p>
    <w:p w14:paraId="206CFC02" w14:textId="1CB138BA" w:rsidR="00B75C2F" w:rsidRPr="00DD1DFA" w:rsidRDefault="005A4BBC" w:rsidP="005A4BBC">
      <w:pPr>
        <w:pStyle w:val="Point1"/>
        <w:rPr>
          <w:noProof/>
        </w:rPr>
      </w:pPr>
      <w:r>
        <w:rPr>
          <w:noProof/>
        </w:rPr>
        <w:t>b)</w:t>
      </w:r>
      <w:r>
        <w:rPr>
          <w:noProof/>
        </w:rPr>
        <w:tab/>
      </w:r>
      <w:r w:rsidR="00B75C2F" w:rsidRPr="00DD1DFA">
        <w:rPr>
          <w:noProof/>
        </w:rPr>
        <w:t>organizuje koordynację między JOT i, jeśli jest to konieczne, zapewnia współpracę oraz konsultacje</w:t>
      </w:r>
      <w:r w:rsidR="00DD1DFA" w:rsidRPr="00DD1DFA">
        <w:rPr>
          <w:noProof/>
        </w:rPr>
        <w:t xml:space="preserve"> z</w:t>
      </w:r>
      <w:r w:rsidR="00DD1DFA">
        <w:rPr>
          <w:noProof/>
        </w:rPr>
        <w:t> </w:t>
      </w:r>
      <w:r w:rsidR="00DD1DFA" w:rsidRPr="00DD1DFA">
        <w:rPr>
          <w:noProof/>
        </w:rPr>
        <w:t>inn</w:t>
      </w:r>
      <w:r w:rsidR="00B75C2F" w:rsidRPr="00DD1DFA">
        <w:rPr>
          <w:noProof/>
        </w:rPr>
        <w:t>ymi zainteresowanymi stronami;</w:t>
      </w:r>
    </w:p>
    <w:p w14:paraId="100CA096" w14:textId="16170C3B" w:rsidR="00B75C2F" w:rsidRPr="00DD1DFA" w:rsidRDefault="005A4BBC" w:rsidP="005A4BBC">
      <w:pPr>
        <w:pStyle w:val="Point1"/>
        <w:rPr>
          <w:noProof/>
        </w:rPr>
      </w:pPr>
      <w:r>
        <w:rPr>
          <w:noProof/>
        </w:rPr>
        <w:t>c)</w:t>
      </w:r>
      <w:r>
        <w:rPr>
          <w:noProof/>
        </w:rPr>
        <w:tab/>
      </w:r>
      <w:r w:rsidR="00B75C2F" w:rsidRPr="00DD1DFA">
        <w:rPr>
          <w:noProof/>
        </w:rPr>
        <w:t>zapewnia wymianę przykładów najlepszych praktyk pomiędzy JOT celem promowania większej wydajności</w:t>
      </w:r>
      <w:r w:rsidR="00DD1DFA" w:rsidRPr="00DD1DFA">
        <w:rPr>
          <w:noProof/>
        </w:rPr>
        <w:t xml:space="preserve"> i</w:t>
      </w:r>
      <w:r w:rsidR="00DD1DFA">
        <w:rPr>
          <w:noProof/>
        </w:rPr>
        <w:t> </w:t>
      </w:r>
      <w:r w:rsidR="00DD1DFA" w:rsidRPr="00DD1DFA">
        <w:rPr>
          <w:noProof/>
        </w:rPr>
        <w:t>świ</w:t>
      </w:r>
      <w:r w:rsidR="00B75C2F" w:rsidRPr="00DD1DFA">
        <w:rPr>
          <w:noProof/>
        </w:rPr>
        <w:t>adczenia lepszych usług na rzecz sektora;</w:t>
      </w:r>
    </w:p>
    <w:p w14:paraId="4F795563" w14:textId="03422C67" w:rsidR="00B75C2F" w:rsidRPr="00DD1DFA" w:rsidRDefault="005A4BBC" w:rsidP="005A4BBC">
      <w:pPr>
        <w:pStyle w:val="Point1"/>
        <w:rPr>
          <w:noProof/>
        </w:rPr>
      </w:pPr>
      <w:r>
        <w:rPr>
          <w:noProof/>
        </w:rPr>
        <w:t>d)</w:t>
      </w:r>
      <w:r>
        <w:rPr>
          <w:noProof/>
        </w:rPr>
        <w:tab/>
      </w:r>
      <w:r w:rsidR="00B75C2F" w:rsidRPr="00DD1DFA">
        <w:rPr>
          <w:noProof/>
        </w:rPr>
        <w:t>opracowuje</w:t>
      </w:r>
      <w:r w:rsidR="00DD1DFA" w:rsidRPr="00DD1DFA">
        <w:rPr>
          <w:noProof/>
        </w:rPr>
        <w:t xml:space="preserve"> i</w:t>
      </w:r>
      <w:r w:rsidR="00DD1DFA">
        <w:rPr>
          <w:noProof/>
        </w:rPr>
        <w:t> </w:t>
      </w:r>
      <w:r w:rsidR="00DD1DFA" w:rsidRPr="00DD1DFA">
        <w:rPr>
          <w:noProof/>
        </w:rPr>
        <w:t>prz</w:t>
      </w:r>
      <w:r w:rsidR="00B75C2F" w:rsidRPr="00DD1DFA">
        <w:rPr>
          <w:noProof/>
        </w:rPr>
        <w:t>yjmuje europejskie dokumenty oceny;</w:t>
      </w:r>
    </w:p>
    <w:p w14:paraId="7CCD87F5" w14:textId="358C0027" w:rsidR="00B75C2F" w:rsidRPr="00DD1DFA" w:rsidRDefault="005A4BBC" w:rsidP="005A4BBC">
      <w:pPr>
        <w:pStyle w:val="Point1"/>
        <w:rPr>
          <w:noProof/>
        </w:rPr>
      </w:pPr>
      <w:r>
        <w:rPr>
          <w:noProof/>
        </w:rPr>
        <w:t>e)</w:t>
      </w:r>
      <w:r>
        <w:rPr>
          <w:noProof/>
        </w:rPr>
        <w:tab/>
      </w:r>
      <w:r w:rsidR="00B75C2F" w:rsidRPr="00DD1DFA">
        <w:rPr>
          <w:noProof/>
        </w:rPr>
        <w:t>koordynuje stosowanie procedur określonych</w:t>
      </w:r>
      <w:r w:rsidR="00DD1DFA" w:rsidRPr="00DD1DFA">
        <w:rPr>
          <w:noProof/>
        </w:rPr>
        <w:t xml:space="preserve"> w</w:t>
      </w:r>
      <w:r w:rsidR="00DD1DFA">
        <w:rPr>
          <w:noProof/>
        </w:rPr>
        <w:t> </w:t>
      </w:r>
      <w:r w:rsidR="00DD1DFA" w:rsidRPr="00DD1DFA">
        <w:rPr>
          <w:noProof/>
          <w:color w:val="00000A"/>
          <w:szCs w:val="24"/>
        </w:rPr>
        <w:t>art</w:t>
      </w:r>
      <w:r w:rsidR="00B75C2F" w:rsidRPr="00DD1DFA">
        <w:rPr>
          <w:noProof/>
          <w:color w:val="00000A"/>
          <w:szCs w:val="24"/>
        </w:rPr>
        <w:t>.</w:t>
      </w:r>
      <w:r w:rsidR="00DD1DFA" w:rsidRPr="00DD1DFA">
        <w:rPr>
          <w:noProof/>
          <w:color w:val="00000A"/>
          <w:szCs w:val="24"/>
        </w:rPr>
        <w:t> </w:t>
      </w:r>
      <w:r w:rsidR="00B75C2F" w:rsidRPr="00DD1DFA">
        <w:rPr>
          <w:noProof/>
        </w:rPr>
        <w:t>65 ust.</w:t>
      </w:r>
      <w:r w:rsidR="00DD1DFA" w:rsidRPr="00DD1DFA">
        <w:rPr>
          <w:noProof/>
        </w:rPr>
        <w:t> </w:t>
      </w:r>
      <w:r w:rsidR="00B75C2F" w:rsidRPr="00DD1DFA">
        <w:rPr>
          <w:noProof/>
        </w:rPr>
        <w:t>2</w:t>
      </w:r>
      <w:r w:rsidR="00B75C2F" w:rsidRPr="00DD1DFA">
        <w:rPr>
          <w:noProof/>
          <w:color w:val="00000A"/>
          <w:szCs w:val="24"/>
        </w:rPr>
        <w:t xml:space="preserve"> oraz art.</w:t>
      </w:r>
      <w:r w:rsidR="00DD1DFA" w:rsidRPr="00DD1DFA">
        <w:rPr>
          <w:noProof/>
        </w:rPr>
        <w:t> </w:t>
      </w:r>
      <w:r w:rsidR="00B75C2F" w:rsidRPr="00DD1DFA">
        <w:rPr>
          <w:noProof/>
        </w:rPr>
        <w:t>66 ust.</w:t>
      </w:r>
      <w:r w:rsidR="00DD1DFA" w:rsidRPr="00DD1DFA">
        <w:rPr>
          <w:noProof/>
        </w:rPr>
        <w:t> </w:t>
      </w:r>
      <w:r w:rsidR="00B75C2F" w:rsidRPr="00DD1DFA">
        <w:rPr>
          <w:noProof/>
        </w:rPr>
        <w:t>1, oraz zapewnia potrzebne</w:t>
      </w:r>
      <w:r w:rsidR="00DD1DFA" w:rsidRPr="00DD1DFA">
        <w:rPr>
          <w:noProof/>
        </w:rPr>
        <w:t xml:space="preserve"> w</w:t>
      </w:r>
      <w:r w:rsidR="00DD1DFA">
        <w:rPr>
          <w:noProof/>
        </w:rPr>
        <w:t> </w:t>
      </w:r>
      <w:r w:rsidR="00DD1DFA" w:rsidRPr="00DD1DFA">
        <w:rPr>
          <w:noProof/>
        </w:rPr>
        <w:t>tym</w:t>
      </w:r>
      <w:r w:rsidR="00B75C2F" w:rsidRPr="00DD1DFA">
        <w:rPr>
          <w:noProof/>
        </w:rPr>
        <w:t xml:space="preserve"> celu wsparcie;</w:t>
      </w:r>
    </w:p>
    <w:p w14:paraId="73E5CFC4" w14:textId="7E19C7E6" w:rsidR="00B75C2F" w:rsidRPr="00DD1DFA" w:rsidRDefault="005A4BBC" w:rsidP="005A4BBC">
      <w:pPr>
        <w:pStyle w:val="Point1"/>
        <w:rPr>
          <w:noProof/>
        </w:rPr>
      </w:pPr>
      <w:r>
        <w:rPr>
          <w:noProof/>
        </w:rPr>
        <w:t>f)</w:t>
      </w:r>
      <w:r>
        <w:rPr>
          <w:noProof/>
        </w:rPr>
        <w:tab/>
      </w:r>
      <w:r w:rsidR="00B75C2F" w:rsidRPr="00DD1DFA">
        <w:rPr>
          <w:noProof/>
        </w:rPr>
        <w:t>informuje Komisję</w:t>
      </w:r>
      <w:r w:rsidR="00DD1DFA" w:rsidRPr="00DD1DFA">
        <w:rPr>
          <w:noProof/>
        </w:rPr>
        <w:t xml:space="preserve"> o</w:t>
      </w:r>
      <w:r w:rsidR="00DD1DFA">
        <w:rPr>
          <w:noProof/>
        </w:rPr>
        <w:t> </w:t>
      </w:r>
      <w:r w:rsidR="00DD1DFA" w:rsidRPr="00DD1DFA">
        <w:rPr>
          <w:noProof/>
        </w:rPr>
        <w:t>wsz</w:t>
      </w:r>
      <w:r w:rsidR="00B75C2F" w:rsidRPr="00DD1DFA">
        <w:rPr>
          <w:noProof/>
        </w:rPr>
        <w:t>elkich sprawach związanych</w:t>
      </w:r>
      <w:r w:rsidR="00DD1DFA" w:rsidRPr="00DD1DFA">
        <w:rPr>
          <w:noProof/>
        </w:rPr>
        <w:t xml:space="preserve"> z</w:t>
      </w:r>
      <w:r w:rsidR="00DD1DFA">
        <w:rPr>
          <w:noProof/>
        </w:rPr>
        <w:t> </w:t>
      </w:r>
      <w:r w:rsidR="00DD1DFA" w:rsidRPr="00DD1DFA">
        <w:rPr>
          <w:noProof/>
        </w:rPr>
        <w:t>prz</w:t>
      </w:r>
      <w:r w:rsidR="00B75C2F" w:rsidRPr="00DD1DFA">
        <w:rPr>
          <w:noProof/>
        </w:rPr>
        <w:t>ygotowywaniem europejskich dokumentów oceny oraz</w:t>
      </w:r>
      <w:r w:rsidR="00DD1DFA" w:rsidRPr="00DD1DFA">
        <w:rPr>
          <w:noProof/>
        </w:rPr>
        <w:t xml:space="preserve"> o</w:t>
      </w:r>
      <w:r w:rsidR="00DD1DFA">
        <w:rPr>
          <w:noProof/>
        </w:rPr>
        <w:t> </w:t>
      </w:r>
      <w:r w:rsidR="00DD1DFA" w:rsidRPr="00DD1DFA">
        <w:rPr>
          <w:noProof/>
        </w:rPr>
        <w:t>wsz</w:t>
      </w:r>
      <w:r w:rsidR="00B75C2F" w:rsidRPr="00DD1DFA">
        <w:rPr>
          <w:noProof/>
        </w:rPr>
        <w:t>elkich kwestiach dotyczących interpretacji procedur określonych</w:t>
      </w:r>
      <w:r w:rsidR="00DD1DFA" w:rsidRPr="00DD1DFA">
        <w:rPr>
          <w:noProof/>
        </w:rPr>
        <w:t xml:space="preserve"> w</w:t>
      </w:r>
      <w:r w:rsidR="00DD1DFA">
        <w:rPr>
          <w:noProof/>
        </w:rPr>
        <w:t> </w:t>
      </w:r>
      <w:r w:rsidR="00DD1DFA" w:rsidRPr="00DD1DFA">
        <w:rPr>
          <w:noProof/>
        </w:rPr>
        <w:t>art</w:t>
      </w:r>
      <w:r w:rsidR="00B75C2F" w:rsidRPr="00DD1DFA">
        <w:rPr>
          <w:noProof/>
        </w:rPr>
        <w:t>.</w:t>
      </w:r>
      <w:r w:rsidR="00DD1DFA" w:rsidRPr="00DD1DFA">
        <w:rPr>
          <w:noProof/>
        </w:rPr>
        <w:t> </w:t>
      </w:r>
      <w:r w:rsidR="00B75C2F" w:rsidRPr="00DD1DFA">
        <w:rPr>
          <w:noProof/>
        </w:rPr>
        <w:t>65 ust.</w:t>
      </w:r>
      <w:r w:rsidR="00DD1DFA" w:rsidRPr="00DD1DFA">
        <w:rPr>
          <w:noProof/>
        </w:rPr>
        <w:t> </w:t>
      </w:r>
      <w:r w:rsidR="00B75C2F" w:rsidRPr="00DD1DFA">
        <w:rPr>
          <w:noProof/>
        </w:rPr>
        <w:t>2</w:t>
      </w:r>
      <w:r w:rsidR="00DD1DFA" w:rsidRPr="00DD1DFA">
        <w:rPr>
          <w:noProof/>
        </w:rPr>
        <w:t xml:space="preserve"> i</w:t>
      </w:r>
      <w:r w:rsidR="00DD1DFA">
        <w:rPr>
          <w:noProof/>
        </w:rPr>
        <w:t> </w:t>
      </w:r>
      <w:r w:rsidR="00DD1DFA" w:rsidRPr="00DD1DFA">
        <w:rPr>
          <w:noProof/>
        </w:rPr>
        <w:t>art</w:t>
      </w:r>
      <w:r w:rsidR="00B75C2F" w:rsidRPr="00DD1DFA">
        <w:rPr>
          <w:noProof/>
        </w:rPr>
        <w:t>.</w:t>
      </w:r>
      <w:r w:rsidR="00DD1DFA" w:rsidRPr="00DD1DFA">
        <w:rPr>
          <w:noProof/>
        </w:rPr>
        <w:t> </w:t>
      </w:r>
      <w:r w:rsidR="00B75C2F" w:rsidRPr="00DD1DFA">
        <w:rPr>
          <w:noProof/>
        </w:rPr>
        <w:t>66 ust.</w:t>
      </w:r>
      <w:r w:rsidR="00DD1DFA" w:rsidRPr="00DD1DFA">
        <w:rPr>
          <w:noProof/>
        </w:rPr>
        <w:t> </w:t>
      </w:r>
      <w:r w:rsidR="00B75C2F" w:rsidRPr="00DD1DFA">
        <w:rPr>
          <w:noProof/>
        </w:rPr>
        <w:t>1 oraz proponuje Komisji usprawnienia oparte na zdobytym doświadczeniu;</w:t>
      </w:r>
    </w:p>
    <w:p w14:paraId="52608584" w14:textId="66920C27" w:rsidR="00B75C2F" w:rsidRPr="00DD1DFA" w:rsidRDefault="005A4BBC" w:rsidP="005A4BBC">
      <w:pPr>
        <w:pStyle w:val="Point1"/>
        <w:rPr>
          <w:noProof/>
        </w:rPr>
      </w:pPr>
      <w:r>
        <w:rPr>
          <w:noProof/>
        </w:rPr>
        <w:t>g)</w:t>
      </w:r>
      <w:r>
        <w:rPr>
          <w:noProof/>
        </w:rPr>
        <w:tab/>
      </w:r>
      <w:r w:rsidR="00B75C2F" w:rsidRPr="00DD1DFA">
        <w:rPr>
          <w:noProof/>
        </w:rPr>
        <w:t>przekazuje Komisji</w:t>
      </w:r>
      <w:r w:rsidR="00DD1DFA" w:rsidRPr="00DD1DFA">
        <w:rPr>
          <w:noProof/>
        </w:rPr>
        <w:t xml:space="preserve"> i</w:t>
      </w:r>
      <w:r w:rsidR="00DD1DFA">
        <w:rPr>
          <w:noProof/>
        </w:rPr>
        <w:t> </w:t>
      </w:r>
      <w:r w:rsidR="00DD1DFA" w:rsidRPr="00DD1DFA">
        <w:rPr>
          <w:noProof/>
        </w:rPr>
        <w:t>pań</w:t>
      </w:r>
      <w:r w:rsidR="00B75C2F" w:rsidRPr="00DD1DFA">
        <w:rPr>
          <w:noProof/>
        </w:rPr>
        <w:t>stwu członkowskiemu, które wyznaczyło JOT niewykonującą swych zadań zgodnie</w:t>
      </w:r>
      <w:r w:rsidR="00DD1DFA" w:rsidRPr="00DD1DFA">
        <w:rPr>
          <w:noProof/>
        </w:rPr>
        <w:t xml:space="preserve"> z</w:t>
      </w:r>
      <w:r w:rsidR="00DD1DFA">
        <w:rPr>
          <w:noProof/>
        </w:rPr>
        <w:t> </w:t>
      </w:r>
      <w:r w:rsidR="00DD1DFA" w:rsidRPr="00DD1DFA">
        <w:rPr>
          <w:noProof/>
        </w:rPr>
        <w:t>pro</w:t>
      </w:r>
      <w:r w:rsidR="00B75C2F" w:rsidRPr="00DD1DFA">
        <w:rPr>
          <w:noProof/>
        </w:rPr>
        <w:t>cedurami określonymi</w:t>
      </w:r>
      <w:r w:rsidR="00DD1DFA" w:rsidRPr="00DD1DFA">
        <w:rPr>
          <w:noProof/>
        </w:rPr>
        <w:t xml:space="preserve"> w</w:t>
      </w:r>
      <w:r w:rsidR="00DD1DFA">
        <w:rPr>
          <w:noProof/>
        </w:rPr>
        <w:t> </w:t>
      </w:r>
      <w:r w:rsidR="00DD1DFA" w:rsidRPr="00DD1DFA">
        <w:rPr>
          <w:noProof/>
        </w:rPr>
        <w:t>art</w:t>
      </w:r>
      <w:r w:rsidR="00B75C2F" w:rsidRPr="00DD1DFA">
        <w:rPr>
          <w:noProof/>
        </w:rPr>
        <w:t>.</w:t>
      </w:r>
      <w:r w:rsidR="00DD1DFA" w:rsidRPr="00DD1DFA">
        <w:rPr>
          <w:noProof/>
        </w:rPr>
        <w:t> </w:t>
      </w:r>
      <w:r w:rsidR="00B75C2F" w:rsidRPr="00DD1DFA">
        <w:rPr>
          <w:noProof/>
        </w:rPr>
        <w:t>65 ust.</w:t>
      </w:r>
      <w:r w:rsidR="00DD1DFA" w:rsidRPr="00DD1DFA">
        <w:rPr>
          <w:noProof/>
        </w:rPr>
        <w:t> </w:t>
      </w:r>
      <w:r w:rsidR="00B75C2F" w:rsidRPr="00DD1DFA">
        <w:rPr>
          <w:noProof/>
        </w:rPr>
        <w:t>2</w:t>
      </w:r>
      <w:r w:rsidR="00DD1DFA" w:rsidRPr="00DD1DFA">
        <w:rPr>
          <w:noProof/>
        </w:rPr>
        <w:t xml:space="preserve"> i</w:t>
      </w:r>
      <w:r w:rsidR="00DD1DFA">
        <w:rPr>
          <w:noProof/>
        </w:rPr>
        <w:t> </w:t>
      </w:r>
      <w:r w:rsidR="00DD1DFA" w:rsidRPr="00DD1DFA">
        <w:rPr>
          <w:noProof/>
        </w:rPr>
        <w:t>art</w:t>
      </w:r>
      <w:r w:rsidR="00B75C2F" w:rsidRPr="00DD1DFA">
        <w:rPr>
          <w:noProof/>
        </w:rPr>
        <w:t>.</w:t>
      </w:r>
      <w:r w:rsidR="00DD1DFA" w:rsidRPr="00DD1DFA">
        <w:rPr>
          <w:noProof/>
        </w:rPr>
        <w:t> </w:t>
      </w:r>
      <w:r w:rsidR="00B75C2F" w:rsidRPr="00DD1DFA">
        <w:rPr>
          <w:noProof/>
        </w:rPr>
        <w:t>66 ust.</w:t>
      </w:r>
      <w:r w:rsidR="00DD1DFA" w:rsidRPr="00DD1DFA">
        <w:rPr>
          <w:noProof/>
        </w:rPr>
        <w:t> </w:t>
      </w:r>
      <w:r w:rsidR="00B75C2F" w:rsidRPr="00DD1DFA">
        <w:rPr>
          <w:noProof/>
        </w:rPr>
        <w:t>1, wszelkie uwagi dotyczące tej JOT;</w:t>
      </w:r>
    </w:p>
    <w:p w14:paraId="5BEF07C5" w14:textId="392F50FD" w:rsidR="00B75C2F" w:rsidRPr="00DD1DFA" w:rsidRDefault="005A4BBC" w:rsidP="005A4BBC">
      <w:pPr>
        <w:pStyle w:val="Point1"/>
        <w:rPr>
          <w:noProof/>
        </w:rPr>
      </w:pPr>
      <w:r>
        <w:rPr>
          <w:noProof/>
        </w:rPr>
        <w:t>h)</w:t>
      </w:r>
      <w:r>
        <w:rPr>
          <w:noProof/>
        </w:rPr>
        <w:tab/>
      </w:r>
      <w:r w:rsidR="00B75C2F" w:rsidRPr="00DD1DFA">
        <w:rPr>
          <w:noProof/>
        </w:rPr>
        <w:t>corocznie składa Komisji sprawozdanie na temat realizacji zadań,</w:t>
      </w:r>
      <w:r w:rsidR="00DD1DFA" w:rsidRPr="00DD1DFA">
        <w:rPr>
          <w:noProof/>
        </w:rPr>
        <w:t xml:space="preserve"> o</w:t>
      </w:r>
      <w:r w:rsidR="00DD1DFA">
        <w:rPr>
          <w:noProof/>
        </w:rPr>
        <w:t> </w:t>
      </w:r>
      <w:r w:rsidR="00DD1DFA" w:rsidRPr="00DD1DFA">
        <w:rPr>
          <w:noProof/>
        </w:rPr>
        <w:t>któ</w:t>
      </w:r>
      <w:r w:rsidR="00B75C2F" w:rsidRPr="00DD1DFA">
        <w:rPr>
          <w:noProof/>
        </w:rPr>
        <w:t>rych mowa powyżej,</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szc</w:t>
      </w:r>
      <w:r w:rsidR="00B75C2F" w:rsidRPr="00DD1DFA">
        <w:rPr>
          <w:noProof/>
        </w:rPr>
        <w:t>zególności na temat rozmieszczenia geograficznego JOT, przydziału JOT zadań związanych</w:t>
      </w:r>
      <w:r w:rsidR="00DD1DFA" w:rsidRPr="00DD1DFA">
        <w:rPr>
          <w:noProof/>
        </w:rPr>
        <w:t xml:space="preserve"> z</w:t>
      </w:r>
      <w:r w:rsidR="00DD1DFA">
        <w:rPr>
          <w:noProof/>
        </w:rPr>
        <w:t> </w:t>
      </w:r>
      <w:r w:rsidR="00DD1DFA" w:rsidRPr="00DD1DFA">
        <w:rPr>
          <w:noProof/>
        </w:rPr>
        <w:t>opr</w:t>
      </w:r>
      <w:r w:rsidR="00B75C2F" w:rsidRPr="00DD1DFA">
        <w:rPr>
          <w:noProof/>
        </w:rPr>
        <w:t>acowywaniem europejskiego dokumentu oceny oraz wyników</w:t>
      </w:r>
      <w:r w:rsidR="00DD1DFA" w:rsidRPr="00DD1DFA">
        <w:rPr>
          <w:noProof/>
        </w:rPr>
        <w:t xml:space="preserve"> i</w:t>
      </w:r>
      <w:r w:rsidR="00DD1DFA">
        <w:rPr>
          <w:noProof/>
        </w:rPr>
        <w:t> </w:t>
      </w:r>
      <w:r w:rsidR="00DD1DFA" w:rsidRPr="00DD1DFA">
        <w:rPr>
          <w:noProof/>
        </w:rPr>
        <w:t>nie</w:t>
      </w:r>
      <w:r w:rsidR="00B75C2F" w:rsidRPr="00DD1DFA">
        <w:rPr>
          <w:noProof/>
        </w:rPr>
        <w:t>zależności JOT; oraz</w:t>
      </w:r>
    </w:p>
    <w:p w14:paraId="7C0A0334" w14:textId="363FABB1" w:rsidR="00B75C2F" w:rsidRPr="00DD1DFA" w:rsidRDefault="005A4BBC" w:rsidP="005A4BBC">
      <w:pPr>
        <w:pStyle w:val="Point1"/>
        <w:rPr>
          <w:noProof/>
        </w:rPr>
      </w:pPr>
      <w:r>
        <w:rPr>
          <w:noProof/>
        </w:rPr>
        <w:t>i)</w:t>
      </w:r>
      <w:r>
        <w:rPr>
          <w:noProof/>
        </w:rPr>
        <w:tab/>
      </w:r>
      <w:r w:rsidR="00B75C2F" w:rsidRPr="00DD1DFA">
        <w:rPr>
          <w:noProof/>
        </w:rPr>
        <w:t>zapewnia, by przyjęte europejskie dokumenty oceny</w:t>
      </w:r>
      <w:r w:rsidR="00DD1DFA" w:rsidRPr="00DD1DFA">
        <w:rPr>
          <w:noProof/>
        </w:rPr>
        <w:t xml:space="preserve"> i</w:t>
      </w:r>
      <w:r w:rsidR="00DD1DFA">
        <w:rPr>
          <w:noProof/>
        </w:rPr>
        <w:t> </w:t>
      </w:r>
      <w:r w:rsidR="00DD1DFA" w:rsidRPr="00DD1DFA">
        <w:rPr>
          <w:noProof/>
        </w:rPr>
        <w:t>odn</w:t>
      </w:r>
      <w:r w:rsidR="00B75C2F" w:rsidRPr="00DD1DFA">
        <w:rPr>
          <w:noProof/>
        </w:rPr>
        <w:t>iesienia do europejskich ocen technicznych były publicznie dostępne we wszystkich językach UE.</w:t>
      </w:r>
    </w:p>
    <w:p w14:paraId="2729DEA6" w14:textId="229D74FD" w:rsidR="00B75C2F" w:rsidRPr="00DD1DFA" w:rsidRDefault="00B75C2F" w:rsidP="00B75C2F">
      <w:pPr>
        <w:pStyle w:val="Text1"/>
        <w:rPr>
          <w:noProof/>
        </w:rPr>
      </w:pPr>
      <w:r w:rsidRPr="00DD1DFA">
        <w:rPr>
          <w:noProof/>
        </w:rPr>
        <w:t>Organizacja JOT ustanawia</w:t>
      </w:r>
      <w:r w:rsidR="00DD1DFA" w:rsidRPr="00DD1DFA">
        <w:rPr>
          <w:noProof/>
        </w:rPr>
        <w:t xml:space="preserve"> w</w:t>
      </w:r>
      <w:r w:rsidR="00DD1DFA">
        <w:rPr>
          <w:noProof/>
        </w:rPr>
        <w:t> </w:t>
      </w:r>
      <w:r w:rsidR="00DD1DFA" w:rsidRPr="00DD1DFA">
        <w:rPr>
          <w:noProof/>
        </w:rPr>
        <w:t>cel</w:t>
      </w:r>
      <w:r w:rsidRPr="00DD1DFA">
        <w:rPr>
          <w:noProof/>
        </w:rPr>
        <w:t>u wykonywania tych zadań sekretariat.</w:t>
      </w:r>
    </w:p>
    <w:p w14:paraId="0C4F4A6B" w14:textId="2A25CEA7" w:rsidR="00B75C2F" w:rsidRPr="00DD1DFA" w:rsidRDefault="005F7EFA" w:rsidP="005F7EFA">
      <w:pPr>
        <w:pStyle w:val="ManualNumPar1"/>
        <w:rPr>
          <w:noProof/>
        </w:rPr>
      </w:pPr>
      <w:r w:rsidRPr="005F7EFA">
        <w:t>3.</w:t>
      </w:r>
      <w:r w:rsidRPr="005F7EFA">
        <w:tab/>
      </w:r>
      <w:r w:rsidR="00B75C2F" w:rsidRPr="00DD1DFA">
        <w:rPr>
          <w:noProof/>
        </w:rPr>
        <w:t>Państwa członkowskie zapewniają udostępnianie przez JOT zasobów finansowych</w:t>
      </w:r>
      <w:r w:rsidR="00DD1DFA" w:rsidRPr="00DD1DFA">
        <w:rPr>
          <w:noProof/>
        </w:rPr>
        <w:t xml:space="preserve"> i</w:t>
      </w:r>
      <w:r w:rsidR="00DD1DFA">
        <w:rPr>
          <w:noProof/>
        </w:rPr>
        <w:t> </w:t>
      </w:r>
      <w:r w:rsidR="00DD1DFA" w:rsidRPr="00DD1DFA">
        <w:rPr>
          <w:noProof/>
        </w:rPr>
        <w:t>lud</w:t>
      </w:r>
      <w:r w:rsidR="00B75C2F" w:rsidRPr="00DD1DFA">
        <w:rPr>
          <w:noProof/>
        </w:rPr>
        <w:t>zkich organizacji JOT. Wartość wkładu każdej JOT wynosi nie mniej niż 2</w:t>
      </w:r>
      <w:r w:rsidR="00DD1DFA" w:rsidRPr="00DD1DFA">
        <w:rPr>
          <w:noProof/>
        </w:rPr>
        <w:t> </w:t>
      </w:r>
      <w:r w:rsidR="00B75C2F" w:rsidRPr="00DD1DFA">
        <w:rPr>
          <w:noProof/>
        </w:rPr>
        <w:t>% jej rocznego budżetu lub obrotu.</w:t>
      </w:r>
    </w:p>
    <w:p w14:paraId="58E6A29E" w14:textId="29D9F8AD" w:rsidR="00B75C2F" w:rsidRPr="00DD1DFA" w:rsidRDefault="005F7EFA" w:rsidP="005F7EFA">
      <w:pPr>
        <w:pStyle w:val="ManualNumPar1"/>
        <w:rPr>
          <w:noProof/>
        </w:rPr>
      </w:pPr>
      <w:r w:rsidRPr="005F7EFA">
        <w:t>4.</w:t>
      </w:r>
      <w:r w:rsidRPr="005F7EFA">
        <w:tab/>
      </w:r>
      <w:r w:rsidR="00B75C2F" w:rsidRPr="00DD1DFA">
        <w:rPr>
          <w:noProof/>
        </w:rPr>
        <w:t>Waga organizacji JOT</w:t>
      </w:r>
      <w:r w:rsidR="00DD1DFA" w:rsidRPr="00DD1DFA">
        <w:rPr>
          <w:noProof/>
        </w:rPr>
        <w:t xml:space="preserve"> w</w:t>
      </w:r>
      <w:r w:rsidR="00DD1DFA">
        <w:rPr>
          <w:noProof/>
        </w:rPr>
        <w:t> </w:t>
      </w:r>
      <w:r w:rsidR="00DD1DFA" w:rsidRPr="00DD1DFA">
        <w:rPr>
          <w:noProof/>
        </w:rPr>
        <w:t>pro</w:t>
      </w:r>
      <w:r w:rsidR="00B75C2F" w:rsidRPr="00DD1DFA">
        <w:rPr>
          <w:noProof/>
        </w:rPr>
        <w:t>cesie decyzyjnym nie zależy od wkładu finansowego JOT, liczby opracowanych przez nie europejskich dokumentów oceny ani liczby wydanych przez nie europejskich ocen technicznych.</w:t>
      </w:r>
    </w:p>
    <w:p w14:paraId="22F966A2" w14:textId="4DCF6EC9" w:rsidR="00B75C2F" w:rsidRPr="00DD1DFA" w:rsidRDefault="005F7EFA" w:rsidP="005F7EFA">
      <w:pPr>
        <w:pStyle w:val="ManualNumPar1"/>
        <w:rPr>
          <w:noProof/>
        </w:rPr>
      </w:pPr>
      <w:r w:rsidRPr="005F7EFA">
        <w:t>5.</w:t>
      </w:r>
      <w:r w:rsidRPr="005F7EFA">
        <w:tab/>
      </w:r>
      <w:r w:rsidR="00B75C2F" w:rsidRPr="00DD1DFA">
        <w:rPr>
          <w:noProof/>
        </w:rPr>
        <w:t>Komitet koordynacyjny zaprasza Komisję do udziału we wszystkich posiedzeniach organizacji JOT.</w:t>
      </w:r>
    </w:p>
    <w:p w14:paraId="54E32985" w14:textId="64D155A4" w:rsidR="00BC1E12" w:rsidRPr="00DD1DFA" w:rsidRDefault="005F7EFA" w:rsidP="005F7EFA">
      <w:pPr>
        <w:pStyle w:val="ManualNumPar1"/>
        <w:rPr>
          <w:noProof/>
        </w:rPr>
      </w:pPr>
      <w:r w:rsidRPr="005F7EFA">
        <w:t>6.</w:t>
      </w:r>
      <w:r w:rsidRPr="005F7EFA">
        <w:tab/>
      </w:r>
      <w:r w:rsidR="00B75C2F" w:rsidRPr="00DD1DFA">
        <w:rPr>
          <w:noProof/>
        </w:rPr>
        <w:t>Komisja może uzależnić finansowanie organizacji JOT, niezależnie od tego, czy odbywa się ono za pomocą dotacji czy</w:t>
      </w:r>
      <w:r w:rsidR="00DD1DFA" w:rsidRPr="00DD1DFA">
        <w:rPr>
          <w:noProof/>
        </w:rPr>
        <w:t xml:space="preserve"> w</w:t>
      </w:r>
      <w:r w:rsidR="00DD1DFA">
        <w:rPr>
          <w:noProof/>
        </w:rPr>
        <w:t> </w:t>
      </w:r>
      <w:r w:rsidR="00DD1DFA" w:rsidRPr="00DD1DFA">
        <w:rPr>
          <w:noProof/>
        </w:rPr>
        <w:t>opa</w:t>
      </w:r>
      <w:r w:rsidR="00B75C2F" w:rsidRPr="00DD1DFA">
        <w:rPr>
          <w:noProof/>
        </w:rPr>
        <w:t>rciu</w:t>
      </w:r>
      <w:r w:rsidR="00DD1DFA" w:rsidRPr="00DD1DFA">
        <w:rPr>
          <w:noProof/>
        </w:rPr>
        <w:t xml:space="preserve"> o</w:t>
      </w:r>
      <w:r w:rsidR="00DD1DFA">
        <w:rPr>
          <w:noProof/>
        </w:rPr>
        <w:t> </w:t>
      </w:r>
      <w:r w:rsidR="00DD1DFA" w:rsidRPr="00DD1DFA">
        <w:rPr>
          <w:noProof/>
        </w:rPr>
        <w:t>pro</w:t>
      </w:r>
      <w:r w:rsidR="00B75C2F" w:rsidRPr="00DD1DFA">
        <w:rPr>
          <w:noProof/>
        </w:rPr>
        <w:t>cedurę przetargową, od spełnienia pewnych wymogów organizacyjnych</w:t>
      </w:r>
      <w:r w:rsidR="00DD1DFA" w:rsidRPr="00DD1DFA">
        <w:rPr>
          <w:noProof/>
        </w:rPr>
        <w:t xml:space="preserve"> i</w:t>
      </w:r>
      <w:r w:rsidR="00DD1DFA">
        <w:rPr>
          <w:noProof/>
        </w:rPr>
        <w:t> </w:t>
      </w:r>
      <w:r w:rsidR="00DD1DFA" w:rsidRPr="00DD1DFA">
        <w:rPr>
          <w:noProof/>
        </w:rPr>
        <w:t>wym</w:t>
      </w:r>
      <w:r w:rsidR="00B75C2F" w:rsidRPr="00DD1DFA">
        <w:rPr>
          <w:noProof/>
        </w:rPr>
        <w:t>agań dotyczących osiągów,</w:t>
      </w:r>
      <w:r w:rsidR="00DD1DFA" w:rsidRPr="00DD1DFA">
        <w:rPr>
          <w:noProof/>
        </w:rPr>
        <w:t xml:space="preserve"> w</w:t>
      </w:r>
      <w:r w:rsidR="00DD1DFA">
        <w:rPr>
          <w:noProof/>
        </w:rPr>
        <w:t> </w:t>
      </w:r>
      <w:r w:rsidR="00DD1DFA" w:rsidRPr="00DD1DFA">
        <w:rPr>
          <w:noProof/>
        </w:rPr>
        <w:t>tym</w:t>
      </w:r>
      <w:r w:rsidR="00B75C2F" w:rsidRPr="00DD1DFA">
        <w:rPr>
          <w:noProof/>
        </w:rPr>
        <w:t xml:space="preserve"> dotyczących sprawiedliwego rozmieszczenia geograficznego JOT.</w:t>
      </w:r>
    </w:p>
    <w:p w14:paraId="29BCB6E6" w14:textId="77777777" w:rsidR="00BC1E12" w:rsidRPr="00DD1DFA" w:rsidRDefault="00BC1E12" w:rsidP="000B1786">
      <w:pPr>
        <w:pStyle w:val="ChapterTitle"/>
        <w:rPr>
          <w:rFonts w:ascii="Calibri" w:eastAsia="Calibri" w:hAnsi="Calibri" w:cs="DejaVu Sans"/>
          <w:noProof/>
          <w:color w:val="00000A"/>
          <w:sz w:val="24"/>
          <w:szCs w:val="24"/>
        </w:rPr>
      </w:pPr>
      <w:r w:rsidRPr="00DD1DFA">
        <w:rPr>
          <w:noProof/>
          <w:sz w:val="24"/>
          <w:szCs w:val="24"/>
        </w:rPr>
        <w:t>ROZDZIAŁ VI</w:t>
      </w:r>
    </w:p>
    <w:p w14:paraId="47C15864" w14:textId="77777777" w:rsidR="00BC1E12" w:rsidRPr="00DD1DFA" w:rsidRDefault="00BC1E12" w:rsidP="000B1786">
      <w:pPr>
        <w:pStyle w:val="ChapterTitle"/>
        <w:rPr>
          <w:rFonts w:ascii="Calibri" w:eastAsia="Calibri" w:hAnsi="Calibri" w:cs="DejaVu Sans"/>
          <w:noProof/>
          <w:color w:val="00000A"/>
          <w:sz w:val="24"/>
          <w:szCs w:val="24"/>
        </w:rPr>
      </w:pPr>
      <w:r w:rsidRPr="00DD1DFA">
        <w:rPr>
          <w:noProof/>
          <w:sz w:val="24"/>
          <w:szCs w:val="24"/>
        </w:rPr>
        <w:t>ORGANY NOTYFIKUJĄCE I JEDNOSTKI NOTYFIKOWANE</w:t>
      </w:r>
    </w:p>
    <w:p w14:paraId="5F68CF11" w14:textId="77777777" w:rsidR="00BC1E12" w:rsidRPr="00DD1DFA" w:rsidRDefault="00BC1E12" w:rsidP="000B1786">
      <w:pPr>
        <w:pStyle w:val="Titrearticle"/>
        <w:rPr>
          <w:noProof/>
        </w:rPr>
      </w:pPr>
      <w:r w:rsidRPr="00DD1DFA">
        <w:rPr>
          <w:noProof/>
        </w:rPr>
        <w:t>Artykuł 47</w:t>
      </w:r>
    </w:p>
    <w:p w14:paraId="52DC97BD" w14:textId="77777777" w:rsidR="00BC1E12" w:rsidRPr="00DD1DFA" w:rsidRDefault="00BC1E12" w:rsidP="000B1786">
      <w:pPr>
        <w:pStyle w:val="Titrearticle"/>
        <w:rPr>
          <w:b/>
          <w:bCs/>
          <w:noProof/>
        </w:rPr>
      </w:pPr>
      <w:r w:rsidRPr="00DD1DFA">
        <w:rPr>
          <w:b/>
          <w:bCs/>
          <w:noProof/>
        </w:rPr>
        <w:t>Notyfikacja</w:t>
      </w:r>
    </w:p>
    <w:p w14:paraId="73B62252" w14:textId="334F3B00" w:rsidR="00D27BCC" w:rsidRPr="00DD1DFA" w:rsidRDefault="00D27BCC" w:rsidP="00D27BCC">
      <w:pPr>
        <w:overflowPunct w:val="0"/>
        <w:spacing w:after="0"/>
        <w:rPr>
          <w:noProof/>
          <w:color w:val="000000"/>
        </w:rPr>
      </w:pPr>
      <w:r w:rsidRPr="00DD1DFA">
        <w:rPr>
          <w:noProof/>
          <w:color w:val="000000"/>
        </w:rPr>
        <w:t>Państwa członkowskie notyfikują Komisji</w:t>
      </w:r>
      <w:r w:rsidR="00DD1DFA" w:rsidRPr="00DD1DFA">
        <w:rPr>
          <w:noProof/>
          <w:color w:val="000000"/>
        </w:rPr>
        <w:t xml:space="preserve"> i</w:t>
      </w:r>
      <w:r w:rsidR="00DD1DFA">
        <w:rPr>
          <w:noProof/>
          <w:color w:val="000000"/>
        </w:rPr>
        <w:t> </w:t>
      </w:r>
      <w:r w:rsidR="00DD1DFA" w:rsidRPr="00DD1DFA">
        <w:rPr>
          <w:noProof/>
          <w:color w:val="000000"/>
        </w:rPr>
        <w:t>poz</w:t>
      </w:r>
      <w:r w:rsidRPr="00DD1DFA">
        <w:rPr>
          <w:noProof/>
          <w:color w:val="000000"/>
        </w:rPr>
        <w:t>ostałym państwom członkowskim jednostki upoważnione do wykonywania zadań strony trzeciej</w:t>
      </w:r>
      <w:r w:rsidR="00DD1DFA" w:rsidRPr="00DD1DFA">
        <w:rPr>
          <w:noProof/>
          <w:color w:val="000000"/>
        </w:rPr>
        <w:t xml:space="preserve"> w</w:t>
      </w:r>
      <w:r w:rsidR="00DD1DFA">
        <w:rPr>
          <w:noProof/>
          <w:color w:val="000000"/>
        </w:rPr>
        <w:t> </w:t>
      </w:r>
      <w:r w:rsidR="00DD1DFA" w:rsidRPr="00DD1DFA">
        <w:rPr>
          <w:noProof/>
          <w:color w:val="000000"/>
        </w:rPr>
        <w:t>zak</w:t>
      </w:r>
      <w:r w:rsidRPr="00DD1DFA">
        <w:rPr>
          <w:noProof/>
          <w:color w:val="000000"/>
        </w:rPr>
        <w:t>resie oceny</w:t>
      </w:r>
      <w:r w:rsidR="00DD1DFA" w:rsidRPr="00DD1DFA">
        <w:rPr>
          <w:noProof/>
          <w:color w:val="000000"/>
        </w:rPr>
        <w:t xml:space="preserve"> i</w:t>
      </w:r>
      <w:r w:rsidR="00DD1DFA">
        <w:rPr>
          <w:noProof/>
          <w:color w:val="000000"/>
        </w:rPr>
        <w:t> </w:t>
      </w:r>
      <w:r w:rsidR="00DD1DFA" w:rsidRPr="00DD1DFA">
        <w:rPr>
          <w:noProof/>
          <w:color w:val="000000"/>
        </w:rPr>
        <w:t>wer</w:t>
      </w:r>
      <w:r w:rsidRPr="00DD1DFA">
        <w:rPr>
          <w:noProof/>
          <w:color w:val="000000"/>
        </w:rPr>
        <w:t>yfikacji właściwości użytkowych, oceny zgodności</w:t>
      </w:r>
      <w:r w:rsidR="00DD1DFA" w:rsidRPr="00DD1DFA">
        <w:rPr>
          <w:noProof/>
          <w:color w:val="000000"/>
        </w:rPr>
        <w:t xml:space="preserve"> i</w:t>
      </w:r>
      <w:r w:rsidR="00DD1DFA">
        <w:rPr>
          <w:noProof/>
          <w:color w:val="000000"/>
        </w:rPr>
        <w:t> </w:t>
      </w:r>
      <w:r w:rsidR="00DD1DFA" w:rsidRPr="00DD1DFA">
        <w:rPr>
          <w:noProof/>
          <w:color w:val="000000"/>
        </w:rPr>
        <w:t>wer</w:t>
      </w:r>
      <w:r w:rsidRPr="00DD1DFA">
        <w:rPr>
          <w:noProof/>
          <w:color w:val="000000"/>
        </w:rPr>
        <w:t xml:space="preserve">yfikacji obliczeń dotyczących zrównoważenia środowiskowego do celów niniejszego rozporządzenia (zwanych dalej „jednostkami notyfikowanymi”). </w:t>
      </w:r>
    </w:p>
    <w:p w14:paraId="2D4F9CE0" w14:textId="055948B9" w:rsidR="00BC1E12" w:rsidRPr="00DD1DFA" w:rsidRDefault="00D27BCC" w:rsidP="00D27BCC">
      <w:pPr>
        <w:overflowPunct w:val="0"/>
        <w:spacing w:after="0"/>
        <w:rPr>
          <w:rFonts w:eastAsia="Times New Roman"/>
          <w:noProof/>
          <w:color w:val="000000"/>
          <w:szCs w:val="24"/>
        </w:rPr>
      </w:pPr>
      <w:r w:rsidRPr="00DD1DFA">
        <w:rPr>
          <w:noProof/>
          <w:color w:val="000000"/>
        </w:rPr>
        <w:t>Państwa członkowskie informują Komisję</w:t>
      </w:r>
      <w:r w:rsidR="00DD1DFA" w:rsidRPr="00DD1DFA">
        <w:rPr>
          <w:noProof/>
          <w:color w:val="000000"/>
        </w:rPr>
        <w:t xml:space="preserve"> o</w:t>
      </w:r>
      <w:r w:rsidR="00DD1DFA">
        <w:rPr>
          <w:noProof/>
          <w:color w:val="000000"/>
        </w:rPr>
        <w:t> </w:t>
      </w:r>
      <w:r w:rsidR="00DD1DFA" w:rsidRPr="00DD1DFA">
        <w:rPr>
          <w:noProof/>
          <w:color w:val="000000"/>
        </w:rPr>
        <w:t>swo</w:t>
      </w:r>
      <w:r w:rsidRPr="00DD1DFA">
        <w:rPr>
          <w:noProof/>
          <w:color w:val="000000"/>
        </w:rPr>
        <w:t>ich krajowych procedurach oceny</w:t>
      </w:r>
      <w:r w:rsidR="00DD1DFA" w:rsidRPr="00DD1DFA">
        <w:rPr>
          <w:noProof/>
          <w:color w:val="000000"/>
        </w:rPr>
        <w:t xml:space="preserve"> i</w:t>
      </w:r>
      <w:r w:rsidR="00DD1DFA">
        <w:rPr>
          <w:noProof/>
          <w:color w:val="000000"/>
        </w:rPr>
        <w:t> </w:t>
      </w:r>
      <w:r w:rsidR="00DD1DFA" w:rsidRPr="00DD1DFA">
        <w:rPr>
          <w:noProof/>
          <w:color w:val="000000"/>
        </w:rPr>
        <w:t>not</w:t>
      </w:r>
      <w:r w:rsidRPr="00DD1DFA">
        <w:rPr>
          <w:noProof/>
          <w:color w:val="000000"/>
        </w:rPr>
        <w:t>yfikacji jednostek, które mają być upoważnione do wykonywania tych zadań. Komisja podaje te informacje do wiadomości publicznej.</w:t>
      </w:r>
    </w:p>
    <w:p w14:paraId="6242053B" w14:textId="77777777" w:rsidR="00BC1E12" w:rsidRPr="00DD1DFA" w:rsidRDefault="00BC1E12" w:rsidP="008D5567">
      <w:pPr>
        <w:pStyle w:val="Titrearticle"/>
        <w:rPr>
          <w:noProof/>
        </w:rPr>
      </w:pPr>
      <w:r w:rsidRPr="00DD1DFA">
        <w:rPr>
          <w:noProof/>
        </w:rPr>
        <w:t>Artykuł 48</w:t>
      </w:r>
    </w:p>
    <w:p w14:paraId="19CF89B1" w14:textId="77777777" w:rsidR="00BC1E12" w:rsidRPr="00DD1DFA" w:rsidRDefault="00BC1E12" w:rsidP="008D5567">
      <w:pPr>
        <w:pStyle w:val="Titrearticle"/>
        <w:rPr>
          <w:b/>
          <w:noProof/>
        </w:rPr>
      </w:pPr>
      <w:r w:rsidRPr="00DD1DFA">
        <w:rPr>
          <w:b/>
          <w:noProof/>
        </w:rPr>
        <w:t>Organy notyfikujące</w:t>
      </w:r>
    </w:p>
    <w:p w14:paraId="49E21C4C" w14:textId="4DB99D38" w:rsidR="00D27BCC" w:rsidRPr="00DD1DFA" w:rsidRDefault="005F7EFA" w:rsidP="005F7EFA">
      <w:pPr>
        <w:pStyle w:val="ManualNumPar1"/>
        <w:rPr>
          <w:noProof/>
        </w:rPr>
      </w:pPr>
      <w:r w:rsidRPr="005F7EFA">
        <w:t>1.</w:t>
      </w:r>
      <w:r w:rsidRPr="005F7EFA">
        <w:tab/>
      </w:r>
      <w:r w:rsidR="00D27BCC" w:rsidRPr="00DD1DFA">
        <w:rPr>
          <w:noProof/>
        </w:rPr>
        <w:t>Państwa członkowskie wyznaczają organ notyfikujący odpowiedzialny za opracowanie</w:t>
      </w:r>
      <w:r w:rsidR="00DD1DFA" w:rsidRPr="00DD1DFA">
        <w:rPr>
          <w:noProof/>
        </w:rPr>
        <w:t xml:space="preserve"> i</w:t>
      </w:r>
      <w:r w:rsidR="00DD1DFA">
        <w:rPr>
          <w:noProof/>
        </w:rPr>
        <w:t> </w:t>
      </w:r>
      <w:r w:rsidR="00DD1DFA" w:rsidRPr="00DD1DFA">
        <w:rPr>
          <w:noProof/>
        </w:rPr>
        <w:t>sto</w:t>
      </w:r>
      <w:r w:rsidR="00D27BCC" w:rsidRPr="00DD1DFA">
        <w:rPr>
          <w:noProof/>
        </w:rPr>
        <w:t>sowanie procedur koniecznych do oceny</w:t>
      </w:r>
      <w:r w:rsidR="00DD1DFA" w:rsidRPr="00DD1DFA">
        <w:rPr>
          <w:noProof/>
        </w:rPr>
        <w:t xml:space="preserve"> i</w:t>
      </w:r>
      <w:r w:rsidR="00DD1DFA">
        <w:rPr>
          <w:noProof/>
        </w:rPr>
        <w:t> </w:t>
      </w:r>
      <w:r w:rsidR="00DD1DFA" w:rsidRPr="00DD1DFA">
        <w:rPr>
          <w:noProof/>
        </w:rPr>
        <w:t>not</w:t>
      </w:r>
      <w:r w:rsidR="00D27BCC" w:rsidRPr="00DD1DFA">
        <w:rPr>
          <w:noProof/>
        </w:rPr>
        <w:t>yfikacji jednostek, które mają być upoważnione do wykonywania zadań strony trzeciej</w:t>
      </w:r>
      <w:r w:rsidR="00DD1DFA" w:rsidRPr="00DD1DFA">
        <w:rPr>
          <w:noProof/>
        </w:rPr>
        <w:t xml:space="preserve"> w</w:t>
      </w:r>
      <w:r w:rsidR="00DD1DFA">
        <w:rPr>
          <w:noProof/>
        </w:rPr>
        <w:t> </w:t>
      </w:r>
      <w:r w:rsidR="00DD1DFA" w:rsidRPr="00DD1DFA">
        <w:rPr>
          <w:noProof/>
        </w:rPr>
        <w:t>pro</w:t>
      </w:r>
      <w:r w:rsidR="00D27BCC" w:rsidRPr="00DD1DFA">
        <w:rPr>
          <w:noProof/>
        </w:rPr>
        <w:t>cesie oceny</w:t>
      </w:r>
      <w:r w:rsidR="00DD1DFA" w:rsidRPr="00DD1DFA">
        <w:rPr>
          <w:noProof/>
        </w:rPr>
        <w:t xml:space="preserve"> i</w:t>
      </w:r>
      <w:r w:rsidR="00DD1DFA">
        <w:rPr>
          <w:noProof/>
        </w:rPr>
        <w:t> </w:t>
      </w:r>
      <w:r w:rsidR="00DD1DFA" w:rsidRPr="00DD1DFA">
        <w:rPr>
          <w:noProof/>
        </w:rPr>
        <w:t>wer</w:t>
      </w:r>
      <w:r w:rsidR="00D27BCC" w:rsidRPr="00DD1DFA">
        <w:rPr>
          <w:noProof/>
        </w:rPr>
        <w:t>yfikacji do celów niniejszego rozporządzenia, oraz do monitorowania jednostek notyfikowanych,</w:t>
      </w:r>
      <w:r w:rsidR="00DD1DFA" w:rsidRPr="00DD1DFA">
        <w:rPr>
          <w:noProof/>
        </w:rPr>
        <w:t xml:space="preserve"> w</w:t>
      </w:r>
      <w:r w:rsidR="00DD1DFA">
        <w:rPr>
          <w:noProof/>
        </w:rPr>
        <w:t> </w:t>
      </w:r>
      <w:r w:rsidR="00DD1DFA" w:rsidRPr="00DD1DFA">
        <w:rPr>
          <w:noProof/>
        </w:rPr>
        <w:t>tym</w:t>
      </w:r>
      <w:r w:rsidR="00D27BCC" w:rsidRPr="00DD1DFA">
        <w:rPr>
          <w:noProof/>
        </w:rPr>
        <w:t xml:space="preserve"> ich zgodności</w:t>
      </w:r>
      <w:r w:rsidR="00DD1DFA" w:rsidRPr="00DD1DFA">
        <w:rPr>
          <w:noProof/>
        </w:rPr>
        <w:t xml:space="preserve"> z</w:t>
      </w:r>
      <w:r w:rsidR="00DD1DFA">
        <w:rPr>
          <w:noProof/>
        </w:rPr>
        <w:t> </w:t>
      </w:r>
      <w:r w:rsidR="00DD1DFA" w:rsidRPr="00DD1DFA">
        <w:rPr>
          <w:noProof/>
        </w:rPr>
        <w:t>wym</w:t>
      </w:r>
      <w:r w:rsidR="00D27BCC" w:rsidRPr="00DD1DFA">
        <w:rPr>
          <w:noProof/>
        </w:rPr>
        <w:t>ogami określonymi</w:t>
      </w:r>
      <w:r w:rsidR="00DD1DFA" w:rsidRPr="00DD1DFA">
        <w:rPr>
          <w:noProof/>
        </w:rPr>
        <w:t xml:space="preserve"> w</w:t>
      </w:r>
      <w:r w:rsidR="00DD1DFA">
        <w:rPr>
          <w:noProof/>
        </w:rPr>
        <w:t> </w:t>
      </w:r>
      <w:r w:rsidR="00DD1DFA" w:rsidRPr="00DD1DFA">
        <w:rPr>
          <w:noProof/>
        </w:rPr>
        <w:t>art</w:t>
      </w:r>
      <w:r w:rsidR="00D27BCC" w:rsidRPr="00DD1DFA">
        <w:rPr>
          <w:noProof/>
        </w:rPr>
        <w:t>.</w:t>
      </w:r>
      <w:r w:rsidR="00DD1DFA" w:rsidRPr="00DD1DFA">
        <w:rPr>
          <w:noProof/>
        </w:rPr>
        <w:t> </w:t>
      </w:r>
      <w:r w:rsidR="00D27BCC" w:rsidRPr="00DD1DFA">
        <w:rPr>
          <w:noProof/>
        </w:rPr>
        <w:t>50.</w:t>
      </w:r>
    </w:p>
    <w:p w14:paraId="02647704" w14:textId="4ABCF2C0" w:rsidR="00D27BCC" w:rsidRPr="00DD1DFA" w:rsidRDefault="005F7EFA" w:rsidP="005F7EFA">
      <w:pPr>
        <w:pStyle w:val="ManualNumPar1"/>
        <w:rPr>
          <w:noProof/>
        </w:rPr>
      </w:pPr>
      <w:r w:rsidRPr="005F7EFA">
        <w:t>2.</w:t>
      </w:r>
      <w:r w:rsidRPr="005F7EFA">
        <w:tab/>
      </w:r>
      <w:r w:rsidR="00D27BCC" w:rsidRPr="00DD1DFA">
        <w:rPr>
          <w:noProof/>
        </w:rPr>
        <w:t>Państwa członkowskie mogą zdecydować, że ocena oraz monitorowanie,</w:t>
      </w:r>
      <w:r w:rsidR="00DD1DFA" w:rsidRPr="00DD1DFA">
        <w:rPr>
          <w:noProof/>
        </w:rPr>
        <w:t xml:space="preserve"> o</w:t>
      </w:r>
      <w:r w:rsidR="00DD1DFA">
        <w:rPr>
          <w:noProof/>
        </w:rPr>
        <w:t> </w:t>
      </w:r>
      <w:r w:rsidR="00DD1DFA" w:rsidRPr="00DD1DFA">
        <w:rPr>
          <w:noProof/>
        </w:rPr>
        <w:t>któ</w:t>
      </w:r>
      <w:r w:rsidR="00D27BCC" w:rsidRPr="00DD1DFA">
        <w:rPr>
          <w:noProof/>
        </w:rPr>
        <w:t>rych mowa</w:t>
      </w:r>
      <w:r w:rsidR="00DD1DFA" w:rsidRPr="00DD1DFA">
        <w:rPr>
          <w:noProof/>
        </w:rPr>
        <w:t xml:space="preserve"> w</w:t>
      </w:r>
      <w:r w:rsidR="00DD1DFA">
        <w:rPr>
          <w:noProof/>
        </w:rPr>
        <w:t> </w:t>
      </w:r>
      <w:r w:rsidR="00DD1DFA" w:rsidRPr="00DD1DFA">
        <w:rPr>
          <w:noProof/>
        </w:rPr>
        <w:t>ust</w:t>
      </w:r>
      <w:r w:rsidR="00D27BCC" w:rsidRPr="00DD1DFA">
        <w:rPr>
          <w:noProof/>
        </w:rPr>
        <w:t>.</w:t>
      </w:r>
      <w:r w:rsidR="00DD1DFA" w:rsidRPr="00DD1DFA">
        <w:rPr>
          <w:noProof/>
        </w:rPr>
        <w:t> </w:t>
      </w:r>
      <w:r w:rsidR="00D27BCC" w:rsidRPr="00DD1DFA">
        <w:rPr>
          <w:noProof/>
        </w:rPr>
        <w:t>1, są przeprowadzane przez ich krajowe jednostki akredytujące zgodnie</w:t>
      </w:r>
      <w:r w:rsidR="00DD1DFA" w:rsidRPr="00DD1DFA">
        <w:rPr>
          <w:noProof/>
        </w:rPr>
        <w:t xml:space="preserve"> z</w:t>
      </w:r>
      <w:r w:rsidR="00DD1DFA">
        <w:rPr>
          <w:noProof/>
        </w:rPr>
        <w:t> </w:t>
      </w:r>
      <w:r w:rsidR="00DD1DFA" w:rsidRPr="00DD1DFA">
        <w:rPr>
          <w:noProof/>
        </w:rPr>
        <w:t>roz</w:t>
      </w:r>
      <w:r w:rsidR="00D27BCC" w:rsidRPr="00DD1DFA">
        <w:rPr>
          <w:noProof/>
        </w:rPr>
        <w:t>działem II rozporządzenia (WE) nr</w:t>
      </w:r>
      <w:r w:rsidR="00DD1DFA" w:rsidRPr="00DD1DFA">
        <w:rPr>
          <w:noProof/>
        </w:rPr>
        <w:t> </w:t>
      </w:r>
      <w:r w:rsidR="00D27BCC" w:rsidRPr="00DD1DFA">
        <w:rPr>
          <w:noProof/>
        </w:rPr>
        <w:t>765/2008. Państwa członkowskie polecają swoim krajowym jednostkom akredytującym przyjęcie za podstawę akredytacji wyłącznie konkretnego podmiotu prawnego ubiegającego się</w:t>
      </w:r>
      <w:r w:rsidR="00DD1DFA" w:rsidRPr="00DD1DFA">
        <w:rPr>
          <w:noProof/>
        </w:rPr>
        <w:t xml:space="preserve"> o</w:t>
      </w:r>
      <w:r w:rsidR="00DD1DFA">
        <w:rPr>
          <w:noProof/>
        </w:rPr>
        <w:t> </w:t>
      </w:r>
      <w:r w:rsidR="00DD1DFA" w:rsidRPr="00DD1DFA">
        <w:rPr>
          <w:noProof/>
        </w:rPr>
        <w:t>akr</w:t>
      </w:r>
      <w:r w:rsidR="00D27BCC" w:rsidRPr="00DD1DFA">
        <w:rPr>
          <w:noProof/>
        </w:rPr>
        <w:t>edytację oraz sporządzenie oceny tego podmiotu pod kątem spełniania odpowiednich wymogów</w:t>
      </w:r>
      <w:r w:rsidR="00DD1DFA" w:rsidRPr="00DD1DFA">
        <w:rPr>
          <w:noProof/>
        </w:rPr>
        <w:t xml:space="preserve"> i</w:t>
      </w:r>
      <w:r w:rsidR="00DD1DFA">
        <w:rPr>
          <w:noProof/>
        </w:rPr>
        <w:t> </w:t>
      </w:r>
      <w:r w:rsidR="00DD1DFA" w:rsidRPr="00DD1DFA">
        <w:rPr>
          <w:noProof/>
        </w:rPr>
        <w:t>wyk</w:t>
      </w:r>
      <w:r w:rsidR="00D27BCC" w:rsidRPr="00DD1DFA">
        <w:rPr>
          <w:noProof/>
        </w:rPr>
        <w:t>onania zadań określonych</w:t>
      </w:r>
      <w:r w:rsidR="00DD1DFA" w:rsidRPr="00DD1DFA">
        <w:rPr>
          <w:noProof/>
        </w:rPr>
        <w:t xml:space="preserve"> w</w:t>
      </w:r>
      <w:r w:rsidR="00DD1DFA">
        <w:rPr>
          <w:noProof/>
        </w:rPr>
        <w:t> </w:t>
      </w:r>
      <w:r w:rsidR="00DD1DFA" w:rsidRPr="00DD1DFA">
        <w:rPr>
          <w:noProof/>
        </w:rPr>
        <w:t>nin</w:t>
      </w:r>
      <w:r w:rsidR="00D27BCC" w:rsidRPr="00DD1DFA">
        <w:rPr>
          <w:noProof/>
        </w:rPr>
        <w:t>iejszym rozporządzeniu.</w:t>
      </w:r>
    </w:p>
    <w:p w14:paraId="63367B0A" w14:textId="6B703562" w:rsidR="00D27BCC" w:rsidRPr="00DD1DFA" w:rsidRDefault="005F7EFA" w:rsidP="005F7EFA">
      <w:pPr>
        <w:pStyle w:val="ManualNumPar1"/>
        <w:rPr>
          <w:noProof/>
        </w:rPr>
      </w:pPr>
      <w:r w:rsidRPr="005F7EFA">
        <w:t>3.</w:t>
      </w:r>
      <w:r w:rsidRPr="005F7EFA">
        <w:tab/>
      </w:r>
      <w:r w:rsidR="00D27BCC" w:rsidRPr="00DD1DFA">
        <w:rPr>
          <w:noProof/>
        </w:rPr>
        <w:t>W przypadku gdy organ notyfikujący przekazuje ocenę, notyfikację lub monitorowanie,</w:t>
      </w:r>
      <w:r w:rsidR="00DD1DFA" w:rsidRPr="00DD1DFA">
        <w:rPr>
          <w:noProof/>
        </w:rPr>
        <w:t xml:space="preserve"> o</w:t>
      </w:r>
      <w:r w:rsidR="00DD1DFA">
        <w:rPr>
          <w:noProof/>
        </w:rPr>
        <w:t> </w:t>
      </w:r>
      <w:r w:rsidR="00DD1DFA" w:rsidRPr="00DD1DFA">
        <w:rPr>
          <w:noProof/>
        </w:rPr>
        <w:t>któ</w:t>
      </w:r>
      <w:r w:rsidR="00D27BCC" w:rsidRPr="00DD1DFA">
        <w:rPr>
          <w:noProof/>
        </w:rPr>
        <w:t>rych mowa</w:t>
      </w:r>
      <w:r w:rsidR="00DD1DFA" w:rsidRPr="00DD1DFA">
        <w:rPr>
          <w:noProof/>
        </w:rPr>
        <w:t xml:space="preserve"> w</w:t>
      </w:r>
      <w:r w:rsidR="00DD1DFA">
        <w:rPr>
          <w:noProof/>
        </w:rPr>
        <w:t> </w:t>
      </w:r>
      <w:r w:rsidR="00DD1DFA" w:rsidRPr="00DD1DFA">
        <w:rPr>
          <w:noProof/>
        </w:rPr>
        <w:t>ust</w:t>
      </w:r>
      <w:r w:rsidR="00D27BCC" w:rsidRPr="00DD1DFA">
        <w:rPr>
          <w:noProof/>
        </w:rPr>
        <w:t>.</w:t>
      </w:r>
      <w:r w:rsidR="00DD1DFA" w:rsidRPr="00DD1DFA">
        <w:rPr>
          <w:noProof/>
        </w:rPr>
        <w:t> </w:t>
      </w:r>
      <w:r w:rsidR="00D27BCC" w:rsidRPr="00DD1DFA">
        <w:rPr>
          <w:noProof/>
        </w:rPr>
        <w:t>1, podmiotowi, który nie jest instytucją rządową, podmiot ten musi być osobą prawną oraz spełniać wymagania określone</w:t>
      </w:r>
      <w:r w:rsidR="00DD1DFA" w:rsidRPr="00DD1DFA">
        <w:rPr>
          <w:noProof/>
        </w:rPr>
        <w:t xml:space="preserve"> w</w:t>
      </w:r>
      <w:r w:rsidR="00DD1DFA">
        <w:rPr>
          <w:noProof/>
        </w:rPr>
        <w:t> </w:t>
      </w:r>
      <w:r w:rsidR="00DD1DFA" w:rsidRPr="00DD1DFA">
        <w:rPr>
          <w:noProof/>
        </w:rPr>
        <w:t>art</w:t>
      </w:r>
      <w:r w:rsidR="00D27BCC" w:rsidRPr="00DD1DFA">
        <w:rPr>
          <w:noProof/>
        </w:rPr>
        <w:t>.</w:t>
      </w:r>
      <w:r w:rsidR="00DD1DFA" w:rsidRPr="00DD1DFA">
        <w:rPr>
          <w:noProof/>
        </w:rPr>
        <w:t> </w:t>
      </w:r>
      <w:r w:rsidR="00D27BCC" w:rsidRPr="00DD1DFA">
        <w:rPr>
          <w:noProof/>
        </w:rPr>
        <w:t>49. Podmiot taki musi być ponadto przygotowany na zaspokajanie zobowiązań wynikających</w:t>
      </w:r>
      <w:r w:rsidR="00DD1DFA" w:rsidRPr="00DD1DFA">
        <w:rPr>
          <w:noProof/>
        </w:rPr>
        <w:t xml:space="preserve"> z</w:t>
      </w:r>
      <w:r w:rsidR="00DD1DFA">
        <w:rPr>
          <w:noProof/>
        </w:rPr>
        <w:t> </w:t>
      </w:r>
      <w:r w:rsidR="00DD1DFA" w:rsidRPr="00DD1DFA">
        <w:rPr>
          <w:noProof/>
        </w:rPr>
        <w:t>jeg</w:t>
      </w:r>
      <w:r w:rsidR="00D27BCC" w:rsidRPr="00DD1DFA">
        <w:rPr>
          <w:noProof/>
        </w:rPr>
        <w:t>o działalności.</w:t>
      </w:r>
    </w:p>
    <w:p w14:paraId="3C1B1D61" w14:textId="1A488703" w:rsidR="00D27BCC" w:rsidRPr="00DD1DFA" w:rsidRDefault="005F7EFA" w:rsidP="005F7EFA">
      <w:pPr>
        <w:pStyle w:val="ManualNumPar1"/>
        <w:rPr>
          <w:noProof/>
        </w:rPr>
      </w:pPr>
      <w:r w:rsidRPr="005F7EFA">
        <w:t>4.</w:t>
      </w:r>
      <w:r w:rsidRPr="005F7EFA">
        <w:tab/>
      </w:r>
      <w:r w:rsidR="00D27BCC" w:rsidRPr="00DD1DFA">
        <w:rPr>
          <w:noProof/>
        </w:rPr>
        <w:t>Organ notyfikujący ponosi pełną odpowiedzialność za zadania wykonywane przez podmiot,</w:t>
      </w:r>
      <w:r w:rsidR="00DD1DFA" w:rsidRPr="00DD1DFA">
        <w:rPr>
          <w:noProof/>
        </w:rPr>
        <w:t xml:space="preserve"> o</w:t>
      </w:r>
      <w:r w:rsidR="00DD1DFA">
        <w:rPr>
          <w:noProof/>
        </w:rPr>
        <w:t> </w:t>
      </w:r>
      <w:r w:rsidR="00DD1DFA" w:rsidRPr="00DD1DFA">
        <w:rPr>
          <w:noProof/>
        </w:rPr>
        <w:t>któ</w:t>
      </w:r>
      <w:r w:rsidR="00D27BCC" w:rsidRPr="00DD1DFA">
        <w:rPr>
          <w:noProof/>
        </w:rPr>
        <w:t>rym mowa</w:t>
      </w:r>
      <w:r w:rsidR="00DD1DFA" w:rsidRPr="00DD1DFA">
        <w:rPr>
          <w:noProof/>
        </w:rPr>
        <w:t xml:space="preserve"> w</w:t>
      </w:r>
      <w:r w:rsidR="00DD1DFA">
        <w:rPr>
          <w:noProof/>
        </w:rPr>
        <w:t> </w:t>
      </w:r>
      <w:r w:rsidR="00DD1DFA" w:rsidRPr="00DD1DFA">
        <w:rPr>
          <w:noProof/>
        </w:rPr>
        <w:t>ust</w:t>
      </w:r>
      <w:r w:rsidR="00D27BCC" w:rsidRPr="00DD1DFA">
        <w:rPr>
          <w:noProof/>
        </w:rPr>
        <w:t>.</w:t>
      </w:r>
      <w:r w:rsidR="00DD1DFA" w:rsidRPr="00DD1DFA">
        <w:rPr>
          <w:noProof/>
        </w:rPr>
        <w:t> </w:t>
      </w:r>
      <w:r w:rsidR="00D27BCC" w:rsidRPr="00DD1DFA">
        <w:rPr>
          <w:noProof/>
        </w:rPr>
        <w:t>2</w:t>
      </w:r>
      <w:r w:rsidR="00DD1DFA" w:rsidRPr="00DD1DFA">
        <w:rPr>
          <w:noProof/>
        </w:rPr>
        <w:t xml:space="preserve"> i</w:t>
      </w:r>
      <w:r w:rsidR="00DD1DFA">
        <w:rPr>
          <w:noProof/>
        </w:rPr>
        <w:t> </w:t>
      </w:r>
      <w:r w:rsidR="00DD1DFA" w:rsidRPr="00DD1DFA">
        <w:rPr>
          <w:noProof/>
        </w:rPr>
        <w:t>3</w:t>
      </w:r>
      <w:r w:rsidR="00D27BCC" w:rsidRPr="00DD1DFA">
        <w:rPr>
          <w:noProof/>
        </w:rPr>
        <w:t>.</w:t>
      </w:r>
    </w:p>
    <w:p w14:paraId="7742EE8C" w14:textId="669C6E83" w:rsidR="00BC1E12" w:rsidRPr="00DD1DFA" w:rsidRDefault="005F7EFA" w:rsidP="005F7EFA">
      <w:pPr>
        <w:pStyle w:val="ManualNumPar1"/>
        <w:rPr>
          <w:noProof/>
        </w:rPr>
      </w:pPr>
      <w:r w:rsidRPr="005F7EFA">
        <w:t>5.</w:t>
      </w:r>
      <w:r w:rsidRPr="005F7EFA">
        <w:tab/>
      </w:r>
      <w:r w:rsidR="00D27BCC" w:rsidRPr="00DD1DFA">
        <w:rPr>
          <w:noProof/>
        </w:rPr>
        <w:t>Komisja zapewnia organizuję wymiany doświadczeń między krajowymi organami państw członkowskich odpowiedzialnymi za politykę</w:t>
      </w:r>
      <w:r w:rsidR="00DD1DFA" w:rsidRPr="00DD1DFA">
        <w:rPr>
          <w:noProof/>
        </w:rPr>
        <w:t xml:space="preserve"> w</w:t>
      </w:r>
      <w:r w:rsidR="00DD1DFA">
        <w:rPr>
          <w:noProof/>
        </w:rPr>
        <w:t> </w:t>
      </w:r>
      <w:r w:rsidR="00DD1DFA" w:rsidRPr="00DD1DFA">
        <w:rPr>
          <w:noProof/>
        </w:rPr>
        <w:t>obs</w:t>
      </w:r>
      <w:r w:rsidR="00D27BCC" w:rsidRPr="00DD1DFA">
        <w:rPr>
          <w:noProof/>
        </w:rPr>
        <w:t>zarze notyfikowania</w:t>
      </w:r>
      <w:r w:rsidR="00DD1DFA" w:rsidRPr="00DD1DFA">
        <w:rPr>
          <w:noProof/>
        </w:rPr>
        <w:t xml:space="preserve"> a</w:t>
      </w:r>
      <w:r w:rsidR="00DD1DFA">
        <w:rPr>
          <w:noProof/>
        </w:rPr>
        <w:t> </w:t>
      </w:r>
      <w:r w:rsidR="00DD1DFA" w:rsidRPr="00DD1DFA">
        <w:rPr>
          <w:noProof/>
        </w:rPr>
        <w:t>org</w:t>
      </w:r>
      <w:r w:rsidR="00D27BCC" w:rsidRPr="00DD1DFA">
        <w:rPr>
          <w:noProof/>
        </w:rPr>
        <w:t>anami notyfikującymi.</w:t>
      </w:r>
    </w:p>
    <w:p w14:paraId="5DC668AB" w14:textId="77777777" w:rsidR="00BC1E12" w:rsidRPr="00DD1DFA" w:rsidRDefault="00BC1E12" w:rsidP="00AB3DCC">
      <w:pPr>
        <w:pStyle w:val="Titrearticle"/>
        <w:rPr>
          <w:noProof/>
        </w:rPr>
      </w:pPr>
      <w:r w:rsidRPr="00DD1DFA">
        <w:rPr>
          <w:noProof/>
        </w:rPr>
        <w:t>Artykuł 49</w:t>
      </w:r>
    </w:p>
    <w:p w14:paraId="1FAA530C" w14:textId="77777777" w:rsidR="00BC1E12" w:rsidRPr="00DD1DFA" w:rsidRDefault="00BC1E12" w:rsidP="00AB3DCC">
      <w:pPr>
        <w:pStyle w:val="Titrearticle"/>
        <w:rPr>
          <w:b/>
          <w:noProof/>
        </w:rPr>
      </w:pPr>
      <w:r w:rsidRPr="00DD1DFA">
        <w:rPr>
          <w:b/>
          <w:noProof/>
        </w:rPr>
        <w:t>Wymagania dotyczące organów notyfikujących</w:t>
      </w:r>
    </w:p>
    <w:p w14:paraId="6440AE8D" w14:textId="74A48558" w:rsidR="00D27BCC" w:rsidRPr="00DD1DFA" w:rsidRDefault="005F7EFA" w:rsidP="005F7EFA">
      <w:pPr>
        <w:pStyle w:val="ManualNumPar1"/>
        <w:rPr>
          <w:noProof/>
        </w:rPr>
      </w:pPr>
      <w:r w:rsidRPr="005F7EFA">
        <w:t>1.</w:t>
      </w:r>
      <w:r w:rsidRPr="005F7EFA">
        <w:tab/>
      </w:r>
      <w:r w:rsidR="00D27BCC" w:rsidRPr="00DD1DFA">
        <w:rPr>
          <w:noProof/>
        </w:rPr>
        <w:t>Organ notyfikujący ustanawiany jest</w:t>
      </w:r>
      <w:r w:rsidR="00DD1DFA" w:rsidRPr="00DD1DFA">
        <w:rPr>
          <w:noProof/>
        </w:rPr>
        <w:t xml:space="preserve"> w</w:t>
      </w:r>
      <w:r w:rsidR="00DD1DFA">
        <w:rPr>
          <w:noProof/>
        </w:rPr>
        <w:t> </w:t>
      </w:r>
      <w:r w:rsidR="00DD1DFA" w:rsidRPr="00DD1DFA">
        <w:rPr>
          <w:noProof/>
        </w:rPr>
        <w:t>spo</w:t>
      </w:r>
      <w:r w:rsidR="00D27BCC" w:rsidRPr="00DD1DFA">
        <w:rPr>
          <w:noProof/>
        </w:rPr>
        <w:t>sób niepowodujący konfliktu interesów</w:t>
      </w:r>
      <w:r w:rsidR="00DD1DFA" w:rsidRPr="00DD1DFA">
        <w:rPr>
          <w:noProof/>
        </w:rPr>
        <w:t xml:space="preserve"> z</w:t>
      </w:r>
      <w:r w:rsidR="00DD1DFA">
        <w:rPr>
          <w:noProof/>
        </w:rPr>
        <w:t> </w:t>
      </w:r>
      <w:r w:rsidR="00DD1DFA" w:rsidRPr="00DD1DFA">
        <w:rPr>
          <w:noProof/>
        </w:rPr>
        <w:t>jed</w:t>
      </w:r>
      <w:r w:rsidR="00D27BCC" w:rsidRPr="00DD1DFA">
        <w:rPr>
          <w:noProof/>
        </w:rPr>
        <w:t>nostkami notyfikowanymi.</w:t>
      </w:r>
    </w:p>
    <w:p w14:paraId="20754419" w14:textId="55889AB9" w:rsidR="00D27BCC" w:rsidRPr="00DD1DFA" w:rsidRDefault="005F7EFA" w:rsidP="005F7EFA">
      <w:pPr>
        <w:pStyle w:val="ManualNumPar1"/>
        <w:rPr>
          <w:noProof/>
        </w:rPr>
      </w:pPr>
      <w:r w:rsidRPr="005F7EFA">
        <w:t>2.</w:t>
      </w:r>
      <w:r w:rsidRPr="005F7EFA">
        <w:tab/>
      </w:r>
      <w:r w:rsidR="00D27BCC" w:rsidRPr="00DD1DFA">
        <w:rPr>
          <w:noProof/>
        </w:rPr>
        <w:t>Sposób organizacji</w:t>
      </w:r>
      <w:r w:rsidR="00DD1DFA" w:rsidRPr="00DD1DFA">
        <w:rPr>
          <w:noProof/>
        </w:rPr>
        <w:t xml:space="preserve"> i</w:t>
      </w:r>
      <w:r w:rsidR="00DD1DFA">
        <w:rPr>
          <w:noProof/>
        </w:rPr>
        <w:t> </w:t>
      </w:r>
      <w:r w:rsidR="00DD1DFA" w:rsidRPr="00DD1DFA">
        <w:rPr>
          <w:noProof/>
        </w:rPr>
        <w:t>dzi</w:t>
      </w:r>
      <w:r w:rsidR="00D27BCC" w:rsidRPr="00DD1DFA">
        <w:rPr>
          <w:noProof/>
        </w:rPr>
        <w:t>ałania organu notyfikującego zapewnia obiektywność</w:t>
      </w:r>
      <w:r w:rsidR="00DD1DFA" w:rsidRPr="00DD1DFA">
        <w:rPr>
          <w:noProof/>
        </w:rPr>
        <w:t xml:space="preserve"> i</w:t>
      </w:r>
      <w:r w:rsidR="00DD1DFA">
        <w:rPr>
          <w:noProof/>
        </w:rPr>
        <w:t> </w:t>
      </w:r>
      <w:r w:rsidR="00DD1DFA" w:rsidRPr="00DD1DFA">
        <w:rPr>
          <w:noProof/>
        </w:rPr>
        <w:t>bez</w:t>
      </w:r>
      <w:r w:rsidR="00D27BCC" w:rsidRPr="00DD1DFA">
        <w:rPr>
          <w:noProof/>
        </w:rPr>
        <w:t>stronność jego działalności.</w:t>
      </w:r>
    </w:p>
    <w:p w14:paraId="4DC223A3" w14:textId="20180BC7" w:rsidR="00D27BCC" w:rsidRPr="00DD1DFA" w:rsidRDefault="005F7EFA" w:rsidP="005F7EFA">
      <w:pPr>
        <w:pStyle w:val="ManualNumPar1"/>
        <w:rPr>
          <w:noProof/>
        </w:rPr>
      </w:pPr>
      <w:r w:rsidRPr="005F7EFA">
        <w:t>3.</w:t>
      </w:r>
      <w:r w:rsidRPr="005F7EFA">
        <w:tab/>
      </w:r>
      <w:r w:rsidR="00D27BCC" w:rsidRPr="00DD1DFA">
        <w:rPr>
          <w:noProof/>
        </w:rPr>
        <w:t>Sposób organizacji organu notyfikującego gwarantuje, że każda decyzja związana</w:t>
      </w:r>
      <w:r w:rsidR="00DD1DFA" w:rsidRPr="00DD1DFA">
        <w:rPr>
          <w:noProof/>
        </w:rPr>
        <w:t xml:space="preserve"> z</w:t>
      </w:r>
      <w:r w:rsidR="00DD1DFA">
        <w:rPr>
          <w:noProof/>
        </w:rPr>
        <w:t> </w:t>
      </w:r>
      <w:r w:rsidR="00DD1DFA" w:rsidRPr="00DD1DFA">
        <w:rPr>
          <w:noProof/>
        </w:rPr>
        <w:t>not</w:t>
      </w:r>
      <w:r w:rsidR="00D27BCC" w:rsidRPr="00DD1DFA">
        <w:rPr>
          <w:noProof/>
        </w:rPr>
        <w:t>yfikacją jednostki, która ma zostać upoważniona do wykonywania zadań strony trzeciej</w:t>
      </w:r>
      <w:r w:rsidR="00DD1DFA" w:rsidRPr="00DD1DFA">
        <w:rPr>
          <w:noProof/>
        </w:rPr>
        <w:t xml:space="preserve"> w</w:t>
      </w:r>
      <w:r w:rsidR="00DD1DFA">
        <w:rPr>
          <w:noProof/>
        </w:rPr>
        <w:t> </w:t>
      </w:r>
      <w:r w:rsidR="00DD1DFA" w:rsidRPr="00DD1DFA">
        <w:rPr>
          <w:noProof/>
        </w:rPr>
        <w:t>pro</w:t>
      </w:r>
      <w:r w:rsidR="00D27BCC" w:rsidRPr="00DD1DFA">
        <w:rPr>
          <w:noProof/>
        </w:rPr>
        <w:t>cesie oceny</w:t>
      </w:r>
      <w:r w:rsidR="00DD1DFA" w:rsidRPr="00DD1DFA">
        <w:rPr>
          <w:noProof/>
        </w:rPr>
        <w:t xml:space="preserve"> i</w:t>
      </w:r>
      <w:r w:rsidR="00DD1DFA">
        <w:rPr>
          <w:noProof/>
        </w:rPr>
        <w:t> </w:t>
      </w:r>
      <w:r w:rsidR="00DD1DFA" w:rsidRPr="00DD1DFA">
        <w:rPr>
          <w:noProof/>
        </w:rPr>
        <w:t>wer</w:t>
      </w:r>
      <w:r w:rsidR="00D27BCC" w:rsidRPr="00DD1DFA">
        <w:rPr>
          <w:noProof/>
        </w:rPr>
        <w:t>yfikacji, jest podejmowana przez kompetentne osoby spoza grona osób, które przeprowadziły ocenę.</w:t>
      </w:r>
    </w:p>
    <w:p w14:paraId="2BDDF2AB" w14:textId="15BD7401" w:rsidR="00D27BCC" w:rsidRPr="00DD1DFA" w:rsidRDefault="005F7EFA" w:rsidP="005F7EFA">
      <w:pPr>
        <w:pStyle w:val="ManualNumPar1"/>
        <w:rPr>
          <w:noProof/>
        </w:rPr>
      </w:pPr>
      <w:r w:rsidRPr="005F7EFA">
        <w:t>4.</w:t>
      </w:r>
      <w:r w:rsidRPr="005F7EFA">
        <w:tab/>
      </w:r>
      <w:r w:rsidR="00D27BCC" w:rsidRPr="00DD1DFA">
        <w:rPr>
          <w:noProof/>
        </w:rPr>
        <w:t>Organ notyfikujący nie może oferować ani realizować zadań wykonywanych przez jednostki notyfikowane ani usług doradczych na zasadach komercyjnych bądź konkurencyjnych.</w:t>
      </w:r>
    </w:p>
    <w:p w14:paraId="7CB34469" w14:textId="2E7691A0" w:rsidR="00D27BCC" w:rsidRPr="00DD1DFA" w:rsidRDefault="005F7EFA" w:rsidP="005F7EFA">
      <w:pPr>
        <w:pStyle w:val="ManualNumPar1"/>
        <w:rPr>
          <w:noProof/>
        </w:rPr>
      </w:pPr>
      <w:r w:rsidRPr="005F7EFA">
        <w:t>5.</w:t>
      </w:r>
      <w:r w:rsidRPr="005F7EFA">
        <w:tab/>
      </w:r>
      <w:r w:rsidR="00D27BCC" w:rsidRPr="00DD1DFA">
        <w:rPr>
          <w:noProof/>
        </w:rPr>
        <w:t>Organ notyfikujący zabezpiecza poufność uzyskanych informacji. Na żądanie prowadzi on jednak wymianę informacji na temat jednostek notyfikowanych</w:t>
      </w:r>
      <w:r w:rsidR="00DD1DFA" w:rsidRPr="00DD1DFA">
        <w:rPr>
          <w:noProof/>
        </w:rPr>
        <w:t xml:space="preserve"> z</w:t>
      </w:r>
      <w:r w:rsidR="00DD1DFA">
        <w:rPr>
          <w:noProof/>
        </w:rPr>
        <w:t> </w:t>
      </w:r>
      <w:r w:rsidR="00DD1DFA" w:rsidRPr="00DD1DFA">
        <w:rPr>
          <w:noProof/>
        </w:rPr>
        <w:t>Kom</w:t>
      </w:r>
      <w:r w:rsidR="00D27BCC" w:rsidRPr="00DD1DFA">
        <w:rPr>
          <w:noProof/>
        </w:rPr>
        <w:t>isją,</w:t>
      </w:r>
      <w:r w:rsidR="00DD1DFA" w:rsidRPr="00DD1DFA">
        <w:rPr>
          <w:noProof/>
        </w:rPr>
        <w:t xml:space="preserve"> z</w:t>
      </w:r>
      <w:r w:rsidR="00DD1DFA">
        <w:rPr>
          <w:noProof/>
        </w:rPr>
        <w:t> </w:t>
      </w:r>
      <w:r w:rsidR="00DD1DFA" w:rsidRPr="00DD1DFA">
        <w:rPr>
          <w:noProof/>
        </w:rPr>
        <w:t>org</w:t>
      </w:r>
      <w:r w:rsidR="00D27BCC" w:rsidRPr="00DD1DFA">
        <w:rPr>
          <w:noProof/>
        </w:rPr>
        <w:t>anami notyfikującymi</w:t>
      </w:r>
      <w:r w:rsidR="00DD1DFA" w:rsidRPr="00DD1DFA">
        <w:rPr>
          <w:noProof/>
        </w:rPr>
        <w:t xml:space="preserve"> z</w:t>
      </w:r>
      <w:r w:rsidR="00DD1DFA">
        <w:rPr>
          <w:noProof/>
        </w:rPr>
        <w:t> </w:t>
      </w:r>
      <w:r w:rsidR="00DD1DFA" w:rsidRPr="00DD1DFA">
        <w:rPr>
          <w:noProof/>
        </w:rPr>
        <w:t>inn</w:t>
      </w:r>
      <w:r w:rsidR="00D27BCC" w:rsidRPr="00DD1DFA">
        <w:rPr>
          <w:noProof/>
        </w:rPr>
        <w:t>ych państw członkowskich oraz</w:t>
      </w:r>
      <w:r w:rsidR="00DD1DFA" w:rsidRPr="00DD1DFA">
        <w:rPr>
          <w:noProof/>
        </w:rPr>
        <w:t xml:space="preserve"> z</w:t>
      </w:r>
      <w:r w:rsidR="00DD1DFA">
        <w:rPr>
          <w:noProof/>
        </w:rPr>
        <w:t> </w:t>
      </w:r>
      <w:r w:rsidR="00DD1DFA" w:rsidRPr="00DD1DFA">
        <w:rPr>
          <w:noProof/>
        </w:rPr>
        <w:t>inn</w:t>
      </w:r>
      <w:r w:rsidR="00D27BCC" w:rsidRPr="00DD1DFA">
        <w:rPr>
          <w:noProof/>
        </w:rPr>
        <w:t>ymi istotnymi organami krajowymi.</w:t>
      </w:r>
    </w:p>
    <w:p w14:paraId="04547C7D" w14:textId="40022C9E" w:rsidR="00D27BCC" w:rsidRPr="00DD1DFA" w:rsidRDefault="005F7EFA" w:rsidP="005F7EFA">
      <w:pPr>
        <w:pStyle w:val="ManualNumPar1"/>
        <w:rPr>
          <w:noProof/>
        </w:rPr>
      </w:pPr>
      <w:r w:rsidRPr="005F7EFA">
        <w:t>6.</w:t>
      </w:r>
      <w:r w:rsidRPr="005F7EFA">
        <w:tab/>
      </w:r>
      <w:r w:rsidR="00D27BCC" w:rsidRPr="00DD1DFA">
        <w:rPr>
          <w:noProof/>
        </w:rPr>
        <w:t>Organ notyfikujący musi dysponować odpowiednią liczbą pracowników posiadających kompetencje do właściwego wykonywania swoich zadań</w:t>
      </w:r>
      <w:r w:rsidR="00DD1DFA" w:rsidRPr="00DD1DFA">
        <w:rPr>
          <w:noProof/>
        </w:rPr>
        <w:t xml:space="preserve"> i</w:t>
      </w:r>
      <w:r w:rsidR="00DD1DFA">
        <w:rPr>
          <w:noProof/>
        </w:rPr>
        <w:t> </w:t>
      </w:r>
      <w:r w:rsidR="00DD1DFA" w:rsidRPr="00DD1DFA">
        <w:rPr>
          <w:noProof/>
        </w:rPr>
        <w:t>dos</w:t>
      </w:r>
      <w:r w:rsidR="00D27BCC" w:rsidRPr="00DD1DFA">
        <w:rPr>
          <w:noProof/>
        </w:rPr>
        <w:t>tatecznym finansowaniem. Komisja może przyjąć akty wykonawcze określające minimalną liczbę ekwiwalentów pełnego czasu pracy uznanych za wystarczające do właściwego monitorowania jednostek notyfikowanych,</w:t>
      </w:r>
      <w:r w:rsidR="00DD1DFA" w:rsidRPr="00DD1DFA">
        <w:rPr>
          <w:noProof/>
        </w:rPr>
        <w:t xml:space="preserve"> w</w:t>
      </w:r>
      <w:r w:rsidR="00DD1DFA">
        <w:rPr>
          <w:noProof/>
        </w:rPr>
        <w:t> </w:t>
      </w:r>
      <w:r w:rsidR="00DD1DFA" w:rsidRPr="00DD1DFA">
        <w:rPr>
          <w:noProof/>
        </w:rPr>
        <w:t>sto</w:t>
      </w:r>
      <w:r w:rsidR="00D27BCC" w:rsidRPr="00DD1DFA">
        <w:rPr>
          <w:noProof/>
        </w:rPr>
        <w:t>sownych przypadkach</w:t>
      </w:r>
      <w:r w:rsidR="00DD1DFA" w:rsidRPr="00DD1DFA">
        <w:rPr>
          <w:noProof/>
        </w:rPr>
        <w:t xml:space="preserve"> w</w:t>
      </w:r>
      <w:r w:rsidR="00DD1DFA">
        <w:rPr>
          <w:noProof/>
        </w:rPr>
        <w:t> </w:t>
      </w:r>
      <w:r w:rsidR="00DD1DFA" w:rsidRPr="00DD1DFA">
        <w:rPr>
          <w:noProof/>
        </w:rPr>
        <w:t>odn</w:t>
      </w:r>
      <w:r w:rsidR="00D27BCC" w:rsidRPr="00DD1DFA">
        <w:rPr>
          <w:noProof/>
        </w:rPr>
        <w:t>iesieniu do konkretnych zadań związanych</w:t>
      </w:r>
      <w:r w:rsidR="00DD1DFA" w:rsidRPr="00DD1DFA">
        <w:rPr>
          <w:noProof/>
        </w:rPr>
        <w:t xml:space="preserve"> z</w:t>
      </w:r>
      <w:r w:rsidR="00DD1DFA">
        <w:rPr>
          <w:noProof/>
        </w:rPr>
        <w:t> </w:t>
      </w:r>
      <w:r w:rsidR="00DD1DFA" w:rsidRPr="00DD1DFA">
        <w:rPr>
          <w:noProof/>
        </w:rPr>
        <w:t>oce</w:t>
      </w:r>
      <w:r w:rsidR="00D27BCC" w:rsidRPr="00DD1DFA">
        <w:rPr>
          <w:noProof/>
        </w:rPr>
        <w:t>ną zgodności. Jeżeli monitorowanie prowadzi krajowa jednostka akredytująca lub jednostka,</w:t>
      </w:r>
      <w:r w:rsidR="00DD1DFA" w:rsidRPr="00DD1DFA">
        <w:rPr>
          <w:noProof/>
        </w:rPr>
        <w:t xml:space="preserve"> o</w:t>
      </w:r>
      <w:r w:rsidR="00DD1DFA">
        <w:rPr>
          <w:noProof/>
        </w:rPr>
        <w:t> </w:t>
      </w:r>
      <w:r w:rsidR="00DD1DFA" w:rsidRPr="00DD1DFA">
        <w:rPr>
          <w:noProof/>
        </w:rPr>
        <w:t>któ</w:t>
      </w:r>
      <w:r w:rsidR="00D27BCC" w:rsidRPr="00DD1DFA">
        <w:rPr>
          <w:noProof/>
        </w:rPr>
        <w:t>rej mowa</w:t>
      </w:r>
      <w:r w:rsidR="00DD1DFA" w:rsidRPr="00DD1DFA">
        <w:rPr>
          <w:noProof/>
        </w:rPr>
        <w:t xml:space="preserve"> w</w:t>
      </w:r>
      <w:r w:rsidR="00DD1DFA">
        <w:rPr>
          <w:noProof/>
        </w:rPr>
        <w:t> </w:t>
      </w:r>
      <w:r w:rsidR="00DD1DFA" w:rsidRPr="00DD1DFA">
        <w:rPr>
          <w:noProof/>
        </w:rPr>
        <w:t>art</w:t>
      </w:r>
      <w:r w:rsidR="00D27BCC" w:rsidRPr="00DD1DFA">
        <w:rPr>
          <w:noProof/>
        </w:rPr>
        <w:t>.</w:t>
      </w:r>
      <w:r w:rsidR="00DD1DFA" w:rsidRPr="00DD1DFA">
        <w:rPr>
          <w:noProof/>
        </w:rPr>
        <w:t> </w:t>
      </w:r>
      <w:r w:rsidR="00D27BCC" w:rsidRPr="00DD1DFA">
        <w:rPr>
          <w:noProof/>
        </w:rPr>
        <w:t>48 ust.</w:t>
      </w:r>
      <w:r w:rsidR="00DD1DFA" w:rsidRPr="00DD1DFA">
        <w:rPr>
          <w:noProof/>
        </w:rPr>
        <w:t> </w:t>
      </w:r>
      <w:r w:rsidR="00D27BCC" w:rsidRPr="00DD1DFA">
        <w:rPr>
          <w:noProof/>
        </w:rPr>
        <w:t>3, ta liczba minimalna ma zastosowanie do tej jednostki.</w:t>
      </w:r>
    </w:p>
    <w:p w14:paraId="38388321" w14:textId="609F211B" w:rsidR="00BC1E12" w:rsidRPr="00DD1DFA" w:rsidRDefault="00D27BCC" w:rsidP="00D27BCC">
      <w:pPr>
        <w:pStyle w:val="Text1"/>
        <w:rPr>
          <w:rFonts w:eastAsia="Times New Roman"/>
          <w:noProof/>
          <w:color w:val="000000"/>
          <w:szCs w:val="24"/>
        </w:rPr>
      </w:pPr>
      <w:r w:rsidRPr="00DD1DFA">
        <w:rPr>
          <w:noProof/>
        </w:rPr>
        <w:t>Te akty wykonawcze przyjmuje się zgodnie</w:t>
      </w:r>
      <w:r w:rsidR="00DD1DFA" w:rsidRPr="00DD1DFA">
        <w:rPr>
          <w:noProof/>
        </w:rPr>
        <w:t xml:space="preserve"> z</w:t>
      </w:r>
      <w:r w:rsidR="00DD1DFA">
        <w:rPr>
          <w:noProof/>
        </w:rPr>
        <w:t> </w:t>
      </w:r>
      <w:r w:rsidR="00DD1DFA" w:rsidRPr="00DD1DFA">
        <w:rPr>
          <w:noProof/>
        </w:rPr>
        <w:t>pro</w:t>
      </w:r>
      <w:r w:rsidRPr="00DD1DFA">
        <w:rPr>
          <w:noProof/>
        </w:rPr>
        <w:t>cedurą sprawdzającą,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2.</w:t>
      </w:r>
    </w:p>
    <w:p w14:paraId="6B0B59E9" w14:textId="77777777" w:rsidR="00BC1E12" w:rsidRPr="00DD1DFA" w:rsidRDefault="00BC1E12" w:rsidP="00940FD6">
      <w:pPr>
        <w:pStyle w:val="Titrearticle"/>
        <w:rPr>
          <w:noProof/>
        </w:rPr>
      </w:pPr>
      <w:r w:rsidRPr="00DD1DFA">
        <w:rPr>
          <w:noProof/>
        </w:rPr>
        <w:t>Artykuł 50</w:t>
      </w:r>
    </w:p>
    <w:p w14:paraId="2D852014" w14:textId="77777777" w:rsidR="00BC1E12" w:rsidRPr="00DD1DFA" w:rsidRDefault="00BC1E12" w:rsidP="00940FD6">
      <w:pPr>
        <w:pStyle w:val="Titrearticle"/>
        <w:rPr>
          <w:b/>
          <w:noProof/>
        </w:rPr>
      </w:pPr>
      <w:r w:rsidRPr="00DD1DFA">
        <w:rPr>
          <w:b/>
          <w:noProof/>
        </w:rPr>
        <w:t>Wymagania dotyczące jednostek notyfikowanych</w:t>
      </w:r>
    </w:p>
    <w:p w14:paraId="672C7069" w14:textId="7F216A91" w:rsidR="00D27BCC" w:rsidRPr="00DD1DFA" w:rsidRDefault="005F7EFA" w:rsidP="005F7EFA">
      <w:pPr>
        <w:pStyle w:val="ManualNumPar1"/>
        <w:rPr>
          <w:noProof/>
          <w:szCs w:val="24"/>
        </w:rPr>
      </w:pPr>
      <w:r w:rsidRPr="005F7EFA">
        <w:t>1.</w:t>
      </w:r>
      <w:r w:rsidRPr="005F7EFA">
        <w:tab/>
      </w:r>
      <w:r w:rsidR="00D27BCC" w:rsidRPr="00DD1DFA">
        <w:rPr>
          <w:noProof/>
        </w:rPr>
        <w:t>Do celów notyfikacji jednostka oceniająca zgodność musi spełniać wymagania określone</w:t>
      </w:r>
      <w:r w:rsidR="00DD1DFA" w:rsidRPr="00DD1DFA">
        <w:rPr>
          <w:noProof/>
        </w:rPr>
        <w:t xml:space="preserve"> w</w:t>
      </w:r>
      <w:r w:rsidR="00DD1DFA">
        <w:rPr>
          <w:noProof/>
        </w:rPr>
        <w:t> </w:t>
      </w:r>
      <w:r w:rsidR="00DD1DFA" w:rsidRPr="00DD1DFA">
        <w:rPr>
          <w:noProof/>
        </w:rPr>
        <w:t>ust</w:t>
      </w:r>
      <w:r w:rsidR="00D27BCC" w:rsidRPr="00DD1DFA">
        <w:rPr>
          <w:noProof/>
        </w:rPr>
        <w:t>.</w:t>
      </w:r>
      <w:r w:rsidR="00DD1DFA" w:rsidRPr="00DD1DFA">
        <w:rPr>
          <w:noProof/>
        </w:rPr>
        <w:t> </w:t>
      </w:r>
      <w:r w:rsidR="00D27BCC" w:rsidRPr="00DD1DFA">
        <w:rPr>
          <w:noProof/>
        </w:rPr>
        <w:t>2–11.</w:t>
      </w:r>
    </w:p>
    <w:p w14:paraId="2EE1617C" w14:textId="08494D26" w:rsidR="00D27BCC" w:rsidRPr="00DD1DFA" w:rsidRDefault="005F7EFA" w:rsidP="005F7EFA">
      <w:pPr>
        <w:pStyle w:val="ManualNumPar1"/>
        <w:rPr>
          <w:rFonts w:eastAsia="Calibri"/>
          <w:noProof/>
          <w:szCs w:val="24"/>
        </w:rPr>
      </w:pPr>
      <w:r w:rsidRPr="005F7EFA">
        <w:t>2.</w:t>
      </w:r>
      <w:r w:rsidRPr="005F7EFA">
        <w:tab/>
      </w:r>
      <w:r w:rsidR="00D27BCC" w:rsidRPr="00DD1DFA">
        <w:rPr>
          <w:noProof/>
        </w:rPr>
        <w:t>Jednostka oceniająca zgodność musi być powołana na podstawie prawa krajowego</w:t>
      </w:r>
      <w:r w:rsidR="00DD1DFA" w:rsidRPr="00DD1DFA">
        <w:rPr>
          <w:noProof/>
        </w:rPr>
        <w:t xml:space="preserve"> i</w:t>
      </w:r>
      <w:r w:rsidR="00DD1DFA">
        <w:rPr>
          <w:noProof/>
        </w:rPr>
        <w:t> </w:t>
      </w:r>
      <w:r w:rsidR="00DD1DFA" w:rsidRPr="00DD1DFA">
        <w:rPr>
          <w:noProof/>
        </w:rPr>
        <w:t>pos</w:t>
      </w:r>
      <w:r w:rsidR="00D27BCC" w:rsidRPr="00DD1DFA">
        <w:rPr>
          <w:noProof/>
        </w:rPr>
        <w:t>iadać osobowość prawną.</w:t>
      </w:r>
    </w:p>
    <w:p w14:paraId="176596C2" w14:textId="5BAC9E7F" w:rsidR="00D27BCC" w:rsidRPr="00DD1DFA" w:rsidRDefault="005F7EFA" w:rsidP="005F7EFA">
      <w:pPr>
        <w:pStyle w:val="ManualNumPar1"/>
        <w:rPr>
          <w:rFonts w:eastAsia="Calibri"/>
          <w:noProof/>
          <w:szCs w:val="24"/>
        </w:rPr>
      </w:pPr>
      <w:r w:rsidRPr="005F7EFA">
        <w:t>3.</w:t>
      </w:r>
      <w:r w:rsidRPr="005F7EFA">
        <w:tab/>
      </w:r>
      <w:r w:rsidR="00D27BCC" w:rsidRPr="00DD1DFA">
        <w:rPr>
          <w:noProof/>
        </w:rPr>
        <w:t>Jednostka oceniająca zgodność musi być niezależna od organizacji lub produktu, który ocenia.</w:t>
      </w:r>
    </w:p>
    <w:p w14:paraId="2F55599C" w14:textId="2A66CF6E" w:rsidR="00D27BCC" w:rsidRPr="00DD1DFA" w:rsidRDefault="00D27BCC" w:rsidP="00D27BCC">
      <w:pPr>
        <w:pStyle w:val="Text1"/>
        <w:rPr>
          <w:noProof/>
          <w:szCs w:val="24"/>
        </w:rPr>
      </w:pPr>
      <w:r w:rsidRPr="00DD1DFA">
        <w:rPr>
          <w:noProof/>
        </w:rPr>
        <w:t>Musi ona funkcjonować niezależnie od wszelkich więzi gospodarczych</w:t>
      </w:r>
      <w:r w:rsidR="00DD1DFA" w:rsidRPr="00DD1DFA">
        <w:rPr>
          <w:noProof/>
        </w:rPr>
        <w:t xml:space="preserve"> z</w:t>
      </w:r>
      <w:r w:rsidR="00DD1DFA">
        <w:rPr>
          <w:noProof/>
        </w:rPr>
        <w:t> </w:t>
      </w:r>
      <w:r w:rsidR="00DD1DFA" w:rsidRPr="00DD1DFA">
        <w:rPr>
          <w:noProof/>
        </w:rPr>
        <w:t>org</w:t>
      </w:r>
      <w:r w:rsidRPr="00DD1DFA">
        <w:rPr>
          <w:noProof/>
        </w:rPr>
        <w:t>anizacjami zainteresowanymi wyrobami, które ocenia, producentami, ich partnerami handlowymi lub inwestorami posiadającymi</w:t>
      </w:r>
      <w:r w:rsidR="00DD1DFA" w:rsidRPr="00DD1DFA">
        <w:rPr>
          <w:noProof/>
        </w:rPr>
        <w:t xml:space="preserve"> w</w:t>
      </w:r>
      <w:r w:rsidR="00DD1DFA">
        <w:rPr>
          <w:noProof/>
        </w:rPr>
        <w:t> </w:t>
      </w:r>
      <w:r w:rsidR="00DD1DFA" w:rsidRPr="00DD1DFA">
        <w:rPr>
          <w:noProof/>
        </w:rPr>
        <w:t>nic</w:t>
      </w:r>
      <w:r w:rsidRPr="00DD1DFA">
        <w:rPr>
          <w:noProof/>
        </w:rPr>
        <w:t>h udziały,</w:t>
      </w:r>
      <w:r w:rsidR="00DD1DFA" w:rsidRPr="00DD1DFA">
        <w:rPr>
          <w:noProof/>
        </w:rPr>
        <w:t xml:space="preserve"> a</w:t>
      </w:r>
      <w:r w:rsidR="00DD1DFA">
        <w:rPr>
          <w:noProof/>
        </w:rPr>
        <w:t> </w:t>
      </w:r>
      <w:r w:rsidR="00DD1DFA" w:rsidRPr="00DD1DFA">
        <w:rPr>
          <w:noProof/>
        </w:rPr>
        <w:t>tak</w:t>
      </w:r>
      <w:r w:rsidRPr="00DD1DFA">
        <w:rPr>
          <w:noProof/>
        </w:rPr>
        <w:t>że</w:t>
      </w:r>
      <w:r w:rsidR="00DD1DFA" w:rsidRPr="00DD1DFA">
        <w:rPr>
          <w:noProof/>
        </w:rPr>
        <w:t xml:space="preserve"> z</w:t>
      </w:r>
      <w:r w:rsidR="00DD1DFA">
        <w:rPr>
          <w:noProof/>
        </w:rPr>
        <w:t> </w:t>
      </w:r>
      <w:r w:rsidR="00DD1DFA" w:rsidRPr="00DD1DFA">
        <w:rPr>
          <w:noProof/>
        </w:rPr>
        <w:t>inn</w:t>
      </w:r>
      <w:r w:rsidRPr="00DD1DFA">
        <w:rPr>
          <w:noProof/>
        </w:rPr>
        <w:t>ymi jednostkami notyfikowanymi</w:t>
      </w:r>
      <w:r w:rsidR="00DD1DFA" w:rsidRPr="00DD1DFA">
        <w:rPr>
          <w:noProof/>
        </w:rPr>
        <w:t xml:space="preserve"> i</w:t>
      </w:r>
      <w:r w:rsidR="00DD1DFA">
        <w:rPr>
          <w:noProof/>
        </w:rPr>
        <w:t> </w:t>
      </w:r>
      <w:r w:rsidR="00DD1DFA" w:rsidRPr="00DD1DFA">
        <w:rPr>
          <w:noProof/>
        </w:rPr>
        <w:t>ich</w:t>
      </w:r>
      <w:r w:rsidRPr="00DD1DFA">
        <w:rPr>
          <w:noProof/>
        </w:rPr>
        <w:t xml:space="preserve"> stowarzyszeniami przedsiębiorców, spółkami dominującymi lub zależnymi. Nie wyklucza to prowadzenia przez jednostkę notyfikowaną działań</w:t>
      </w:r>
      <w:r w:rsidR="00DD1DFA" w:rsidRPr="00DD1DFA">
        <w:rPr>
          <w:noProof/>
        </w:rPr>
        <w:t xml:space="preserve"> w</w:t>
      </w:r>
      <w:r w:rsidR="00DD1DFA">
        <w:rPr>
          <w:noProof/>
        </w:rPr>
        <w:t> </w:t>
      </w:r>
      <w:r w:rsidR="00DD1DFA" w:rsidRPr="00DD1DFA">
        <w:rPr>
          <w:noProof/>
        </w:rPr>
        <w:t>ram</w:t>
      </w:r>
      <w:r w:rsidRPr="00DD1DFA">
        <w:rPr>
          <w:noProof/>
        </w:rPr>
        <w:t>ach oceny</w:t>
      </w:r>
      <w:r w:rsidR="00DD1DFA" w:rsidRPr="00DD1DFA">
        <w:rPr>
          <w:noProof/>
        </w:rPr>
        <w:t xml:space="preserve"> i</w:t>
      </w:r>
      <w:r w:rsidR="00DD1DFA">
        <w:rPr>
          <w:noProof/>
        </w:rPr>
        <w:t> </w:t>
      </w:r>
      <w:r w:rsidR="00DD1DFA" w:rsidRPr="00DD1DFA">
        <w:rPr>
          <w:noProof/>
        </w:rPr>
        <w:t>wer</w:t>
      </w:r>
      <w:r w:rsidRPr="00DD1DFA">
        <w:rPr>
          <w:noProof/>
        </w:rPr>
        <w:t>yfikacji dotyczących konkurencyjnych producentów.</w:t>
      </w:r>
    </w:p>
    <w:p w14:paraId="785B73EF" w14:textId="1F8DFE93" w:rsidR="00D27BCC" w:rsidRPr="00DD1DFA" w:rsidRDefault="00D27BCC" w:rsidP="00D27BCC">
      <w:pPr>
        <w:pStyle w:val="Text1"/>
        <w:rPr>
          <w:noProof/>
        </w:rPr>
      </w:pPr>
      <w:r w:rsidRPr="00DD1DFA">
        <w:rPr>
          <w:noProof/>
        </w:rPr>
        <w:t>Jednostkę należącą do stowarzyszenia przedsiębiorców lub zrzeszenia zawodowego reprezentującego przedsiębiorstwa zaangażowane</w:t>
      </w:r>
      <w:r w:rsidR="00DD1DFA" w:rsidRPr="00DD1DFA">
        <w:rPr>
          <w:noProof/>
        </w:rPr>
        <w:t xml:space="preserve"> w</w:t>
      </w:r>
      <w:r w:rsidR="00DD1DFA">
        <w:rPr>
          <w:noProof/>
        </w:rPr>
        <w:t> </w:t>
      </w:r>
      <w:r w:rsidR="00DD1DFA" w:rsidRPr="00DD1DFA">
        <w:rPr>
          <w:noProof/>
        </w:rPr>
        <w:t>pro</w:t>
      </w:r>
      <w:r w:rsidRPr="00DD1DFA">
        <w:rPr>
          <w:noProof/>
        </w:rPr>
        <w:t>jektowanie, produkcję, dostarczanie, montowanie, wykorzystywanie lub konserwację produktów, które ocenia, można uważać za taką niezależną jednostkę, pod warunkiem że wykazano jej niezależność</w:t>
      </w:r>
      <w:r w:rsidR="00DD1DFA" w:rsidRPr="00DD1DFA">
        <w:rPr>
          <w:noProof/>
        </w:rPr>
        <w:t xml:space="preserve"> i</w:t>
      </w:r>
      <w:r w:rsidR="00DD1DFA">
        <w:rPr>
          <w:noProof/>
        </w:rPr>
        <w:t> </w:t>
      </w:r>
      <w:r w:rsidR="00DD1DFA" w:rsidRPr="00DD1DFA">
        <w:rPr>
          <w:noProof/>
        </w:rPr>
        <w:t>bra</w:t>
      </w:r>
      <w:r w:rsidRPr="00DD1DFA">
        <w:rPr>
          <w:noProof/>
        </w:rPr>
        <w:t>k konfliktu interesów.</w:t>
      </w:r>
    </w:p>
    <w:p w14:paraId="677B95DA" w14:textId="087DC2F3" w:rsidR="00D27BCC" w:rsidRPr="00DD1DFA" w:rsidRDefault="005F7EFA" w:rsidP="005F7EFA">
      <w:pPr>
        <w:pStyle w:val="ManualNumPar1"/>
        <w:rPr>
          <w:rFonts w:eastAsia="Calibri"/>
          <w:noProof/>
          <w:szCs w:val="24"/>
        </w:rPr>
      </w:pPr>
      <w:r w:rsidRPr="005F7EFA">
        <w:t>4.</w:t>
      </w:r>
      <w:r w:rsidRPr="005F7EFA">
        <w:tab/>
      </w:r>
      <w:r w:rsidR="00D27BCC" w:rsidRPr="00DD1DFA">
        <w:rPr>
          <w:noProof/>
        </w:rPr>
        <w:t>Jednostka notyfikowana, jej ścisłe kierownictwo oraz pracownicy odpowiedzialni za wykonywanie zadań strony trzeciej</w:t>
      </w:r>
      <w:r w:rsidR="00DD1DFA" w:rsidRPr="00DD1DFA">
        <w:rPr>
          <w:noProof/>
        </w:rPr>
        <w:t xml:space="preserve"> w</w:t>
      </w:r>
      <w:r w:rsidR="00DD1DFA">
        <w:rPr>
          <w:noProof/>
        </w:rPr>
        <w:t> </w:t>
      </w:r>
      <w:r w:rsidR="00DD1DFA" w:rsidRPr="00DD1DFA">
        <w:rPr>
          <w:noProof/>
        </w:rPr>
        <w:t>pro</w:t>
      </w:r>
      <w:r w:rsidR="00D27BCC" w:rsidRPr="00DD1DFA">
        <w:rPr>
          <w:noProof/>
        </w:rPr>
        <w:t>cesie oceny</w:t>
      </w:r>
      <w:r w:rsidR="00DD1DFA" w:rsidRPr="00DD1DFA">
        <w:rPr>
          <w:noProof/>
        </w:rPr>
        <w:t xml:space="preserve"> i</w:t>
      </w:r>
      <w:r w:rsidR="00DD1DFA">
        <w:rPr>
          <w:noProof/>
        </w:rPr>
        <w:t> </w:t>
      </w:r>
      <w:r w:rsidR="00DD1DFA" w:rsidRPr="00DD1DFA">
        <w:rPr>
          <w:noProof/>
        </w:rPr>
        <w:t>wer</w:t>
      </w:r>
      <w:r w:rsidR="00D27BCC" w:rsidRPr="00DD1DFA">
        <w:rPr>
          <w:noProof/>
        </w:rPr>
        <w:t>yfikacji nie mogą być projektantami, producentami, dostawcami, importerami, dystrybutorami, instalatorami, nabywcami, właścicielami, użytkownikami ani konserwatorami wyrobów, które oceniają, ani przedstawicielami żadnej</w:t>
      </w:r>
      <w:r w:rsidR="00DD1DFA" w:rsidRPr="00DD1DFA">
        <w:rPr>
          <w:noProof/>
        </w:rPr>
        <w:t xml:space="preserve"> z</w:t>
      </w:r>
      <w:r w:rsidR="00DD1DFA">
        <w:rPr>
          <w:noProof/>
        </w:rPr>
        <w:t> </w:t>
      </w:r>
      <w:r w:rsidR="00DD1DFA" w:rsidRPr="00DD1DFA">
        <w:rPr>
          <w:noProof/>
        </w:rPr>
        <w:t>tyc</w:t>
      </w:r>
      <w:r w:rsidR="00D27BCC" w:rsidRPr="00DD1DFA">
        <w:rPr>
          <w:noProof/>
        </w:rPr>
        <w:t>h stron. Nie wyklucza to wykorzystania ocenianych wyrobów, które są potrzebne jednostce notyfikowanej do realizacji jej zadań ani wykorzystania tych wyrobów do celów osobistych.</w:t>
      </w:r>
    </w:p>
    <w:p w14:paraId="0B30BA1E" w14:textId="5FBCA3AD" w:rsidR="00D27BCC" w:rsidRPr="00DD1DFA" w:rsidRDefault="00D27BCC" w:rsidP="00D27BCC">
      <w:pPr>
        <w:pStyle w:val="Text1"/>
        <w:rPr>
          <w:noProof/>
        </w:rPr>
      </w:pPr>
      <w:r w:rsidRPr="00DD1DFA">
        <w:rPr>
          <w:noProof/>
        </w:rPr>
        <w:t>Jednostka notyfikowana, jej ścisłe kierownictwo oraz pracownicy odpowiedzialni za wykonywanie zadań strony trzeciej</w:t>
      </w:r>
      <w:r w:rsidR="00DD1DFA" w:rsidRPr="00DD1DFA">
        <w:rPr>
          <w:noProof/>
        </w:rPr>
        <w:t xml:space="preserve"> w</w:t>
      </w:r>
      <w:r w:rsidR="00DD1DFA">
        <w:rPr>
          <w:noProof/>
        </w:rPr>
        <w:t> </w:t>
      </w:r>
      <w:r w:rsidR="00DD1DFA" w:rsidRPr="00DD1DFA">
        <w:rPr>
          <w:noProof/>
        </w:rPr>
        <w:t>pro</w:t>
      </w:r>
      <w:r w:rsidRPr="00DD1DFA">
        <w:rPr>
          <w:noProof/>
        </w:rPr>
        <w:t>cesie oceny</w:t>
      </w:r>
      <w:r w:rsidR="00DD1DFA" w:rsidRPr="00DD1DFA">
        <w:rPr>
          <w:noProof/>
        </w:rPr>
        <w:t xml:space="preserve"> i</w:t>
      </w:r>
      <w:r w:rsidR="00DD1DFA">
        <w:rPr>
          <w:noProof/>
        </w:rPr>
        <w:t> </w:t>
      </w:r>
      <w:r w:rsidR="00DD1DFA" w:rsidRPr="00DD1DFA">
        <w:rPr>
          <w:noProof/>
        </w:rPr>
        <w:t>wer</w:t>
      </w:r>
      <w:r w:rsidRPr="00DD1DFA">
        <w:rPr>
          <w:noProof/>
        </w:rPr>
        <w:t>yfikacji nie mogą bezpośrednio uczestniczyć</w:t>
      </w:r>
      <w:r w:rsidR="00DD1DFA" w:rsidRPr="00DD1DFA">
        <w:rPr>
          <w:noProof/>
        </w:rPr>
        <w:t xml:space="preserve"> w</w:t>
      </w:r>
      <w:r w:rsidR="00DD1DFA">
        <w:rPr>
          <w:noProof/>
        </w:rPr>
        <w:t> </w:t>
      </w:r>
      <w:r w:rsidR="00DD1DFA" w:rsidRPr="00DD1DFA">
        <w:rPr>
          <w:noProof/>
        </w:rPr>
        <w:t>pro</w:t>
      </w:r>
      <w:r w:rsidRPr="00DD1DFA">
        <w:rPr>
          <w:noProof/>
        </w:rPr>
        <w:t>jektowaniu, produkcji lub budowie, wprowadzaniu do obrotu, instalowaniu, stosowaniu lub konserwacji tych wyrobów ani też reprezentować stron zaangażowanych w te działania. Nie mogą się angażować</w:t>
      </w:r>
      <w:r w:rsidR="00DD1DFA" w:rsidRPr="00DD1DFA">
        <w:rPr>
          <w:noProof/>
        </w:rPr>
        <w:t xml:space="preserve"> w</w:t>
      </w:r>
      <w:r w:rsidR="00DD1DFA">
        <w:rPr>
          <w:noProof/>
        </w:rPr>
        <w:t> </w:t>
      </w:r>
      <w:r w:rsidR="00DD1DFA" w:rsidRPr="00DD1DFA">
        <w:rPr>
          <w:noProof/>
        </w:rPr>
        <w:t>żad</w:t>
      </w:r>
      <w:r w:rsidRPr="00DD1DFA">
        <w:rPr>
          <w:noProof/>
        </w:rPr>
        <w:t>ną działalność, która mogłaby uchybiać niezależności ich opinii</w:t>
      </w:r>
      <w:r w:rsidR="00DD1DFA" w:rsidRPr="00DD1DFA">
        <w:rPr>
          <w:noProof/>
        </w:rPr>
        <w:t xml:space="preserve"> i</w:t>
      </w:r>
      <w:r w:rsidR="00DD1DFA">
        <w:rPr>
          <w:noProof/>
        </w:rPr>
        <w:t> </w:t>
      </w:r>
      <w:r w:rsidR="00DD1DFA" w:rsidRPr="00DD1DFA">
        <w:rPr>
          <w:noProof/>
        </w:rPr>
        <w:t>ucz</w:t>
      </w:r>
      <w:r w:rsidRPr="00DD1DFA">
        <w:rPr>
          <w:noProof/>
        </w:rPr>
        <w:t>ciwości</w:t>
      </w:r>
      <w:r w:rsidR="00DD1DFA" w:rsidRPr="00DD1DFA">
        <w:rPr>
          <w:noProof/>
        </w:rPr>
        <w:t xml:space="preserve"> w</w:t>
      </w:r>
      <w:r w:rsidR="00DD1DFA">
        <w:rPr>
          <w:noProof/>
        </w:rPr>
        <w:t> </w:t>
      </w:r>
      <w:r w:rsidR="00DD1DFA" w:rsidRPr="00DD1DFA">
        <w:rPr>
          <w:noProof/>
        </w:rPr>
        <w:t>odn</w:t>
      </w:r>
      <w:r w:rsidRPr="00DD1DFA">
        <w:rPr>
          <w:noProof/>
        </w:rPr>
        <w:t>iesieniu do zadań, do których zostali notyfikowani</w:t>
      </w:r>
      <w:r w:rsidR="00DD1DFA" w:rsidRPr="00DD1DFA">
        <w:rPr>
          <w:noProof/>
        </w:rPr>
        <w:t xml:space="preserve"> i</w:t>
      </w:r>
      <w:r w:rsidR="00DD1DFA">
        <w:rPr>
          <w:noProof/>
        </w:rPr>
        <w:t> </w:t>
      </w:r>
      <w:r w:rsidR="00DD1DFA" w:rsidRPr="00DD1DFA">
        <w:rPr>
          <w:noProof/>
        </w:rPr>
        <w:t>nie</w:t>
      </w:r>
      <w:r w:rsidRPr="00DD1DFA">
        <w:rPr>
          <w:noProof/>
        </w:rPr>
        <w:t xml:space="preserve"> mogą świadczyć usług doradczych.</w:t>
      </w:r>
    </w:p>
    <w:p w14:paraId="6760D648" w14:textId="0DFE2F28" w:rsidR="00D27BCC" w:rsidRPr="00DD1DFA" w:rsidRDefault="00D27BCC" w:rsidP="00D27BCC">
      <w:pPr>
        <w:pStyle w:val="Text1"/>
        <w:rPr>
          <w:noProof/>
        </w:rPr>
      </w:pPr>
      <w:r w:rsidRPr="00DD1DFA">
        <w:rPr>
          <w:noProof/>
        </w:rPr>
        <w:t>Jednostka notyfikowana gwarantuje, że działalność jej spółek dominujących lub spółek-sióstr, jej spółek zależnych lub podwykonawców nie wpływa na poufność, obiektywizm</w:t>
      </w:r>
      <w:r w:rsidR="00DD1DFA" w:rsidRPr="00DD1DFA">
        <w:rPr>
          <w:noProof/>
        </w:rPr>
        <w:t xml:space="preserve"> i</w:t>
      </w:r>
      <w:r w:rsidR="00DD1DFA">
        <w:rPr>
          <w:noProof/>
        </w:rPr>
        <w:t> </w:t>
      </w:r>
      <w:r w:rsidR="00DD1DFA" w:rsidRPr="00DD1DFA">
        <w:rPr>
          <w:noProof/>
        </w:rPr>
        <w:t>bez</w:t>
      </w:r>
      <w:r w:rsidRPr="00DD1DFA">
        <w:rPr>
          <w:noProof/>
        </w:rPr>
        <w:t>stronność jej działalności związanej</w:t>
      </w:r>
      <w:r w:rsidR="00DD1DFA" w:rsidRPr="00DD1DFA">
        <w:rPr>
          <w:noProof/>
        </w:rPr>
        <w:t xml:space="preserve"> z</w:t>
      </w:r>
      <w:r w:rsidR="00DD1DFA">
        <w:rPr>
          <w:noProof/>
        </w:rPr>
        <w:t> </w:t>
      </w:r>
      <w:r w:rsidR="00DD1DFA" w:rsidRPr="00DD1DFA">
        <w:rPr>
          <w:noProof/>
        </w:rPr>
        <w:t>oce</w:t>
      </w:r>
      <w:r w:rsidRPr="00DD1DFA">
        <w:rPr>
          <w:noProof/>
        </w:rPr>
        <w:t>ną lub weryfikacją.</w:t>
      </w:r>
    </w:p>
    <w:p w14:paraId="090969A4" w14:textId="16BAFC91" w:rsidR="00D27BCC" w:rsidRPr="00DD1DFA" w:rsidRDefault="00D27BCC" w:rsidP="00D27BCC">
      <w:pPr>
        <w:pStyle w:val="Text1"/>
        <w:rPr>
          <w:noProof/>
        </w:rPr>
      </w:pPr>
      <w:r w:rsidRPr="00DD1DFA">
        <w:rPr>
          <w:noProof/>
        </w:rPr>
        <w:t>Podwykonawcy ani spółce zależnej nie można zlecać ustanawiania procedur wewnętrznych, ogólnych polityk, kodeksów postępowania lub innych przepisów wewnętrznych, ani sprawowania nadzoru nad tymi kwestiami,</w:t>
      </w:r>
      <w:r w:rsidR="00DD1DFA" w:rsidRPr="00DD1DFA">
        <w:rPr>
          <w:noProof/>
        </w:rPr>
        <w:t xml:space="preserve"> a</w:t>
      </w:r>
      <w:r w:rsidR="00DD1DFA">
        <w:rPr>
          <w:noProof/>
        </w:rPr>
        <w:t> </w:t>
      </w:r>
      <w:r w:rsidR="00DD1DFA" w:rsidRPr="00DD1DFA">
        <w:rPr>
          <w:noProof/>
        </w:rPr>
        <w:t>tak</w:t>
      </w:r>
      <w:r w:rsidRPr="00DD1DFA">
        <w:rPr>
          <w:noProof/>
        </w:rPr>
        <w:t>że przydzielania pracowników do poszczególnych zadań oraz podejmowania decyzji dotyczących oceny zgodności.</w:t>
      </w:r>
    </w:p>
    <w:p w14:paraId="4926781E" w14:textId="2DA0AF9C" w:rsidR="00D27BCC" w:rsidRPr="00DD1DFA" w:rsidRDefault="005F7EFA" w:rsidP="005F7EFA">
      <w:pPr>
        <w:pStyle w:val="ManualNumPar1"/>
        <w:rPr>
          <w:rFonts w:eastAsia="Calibri"/>
          <w:noProof/>
          <w:szCs w:val="24"/>
        </w:rPr>
      </w:pPr>
      <w:r w:rsidRPr="005F7EFA">
        <w:t>5.</w:t>
      </w:r>
      <w:r w:rsidRPr="005F7EFA">
        <w:tab/>
      </w:r>
      <w:r w:rsidR="00D27BCC" w:rsidRPr="00DD1DFA">
        <w:rPr>
          <w:noProof/>
        </w:rPr>
        <w:t>Jednostka notyfikowana</w:t>
      </w:r>
      <w:r w:rsidR="00DD1DFA" w:rsidRPr="00DD1DFA">
        <w:rPr>
          <w:noProof/>
        </w:rPr>
        <w:t xml:space="preserve"> i</w:t>
      </w:r>
      <w:r w:rsidR="00DD1DFA">
        <w:rPr>
          <w:noProof/>
        </w:rPr>
        <w:t> </w:t>
      </w:r>
      <w:r w:rsidR="00DD1DFA" w:rsidRPr="00DD1DFA">
        <w:rPr>
          <w:noProof/>
        </w:rPr>
        <w:t>jej</w:t>
      </w:r>
      <w:r w:rsidR="00D27BCC" w:rsidRPr="00DD1DFA">
        <w:rPr>
          <w:noProof/>
        </w:rPr>
        <w:t xml:space="preserve"> pracownicy wykonują zadania strony trzeciej</w:t>
      </w:r>
      <w:r w:rsidR="00DD1DFA" w:rsidRPr="00DD1DFA">
        <w:rPr>
          <w:noProof/>
        </w:rPr>
        <w:t xml:space="preserve"> w</w:t>
      </w:r>
      <w:r w:rsidR="00DD1DFA">
        <w:rPr>
          <w:noProof/>
        </w:rPr>
        <w:t> </w:t>
      </w:r>
      <w:r w:rsidR="00DD1DFA" w:rsidRPr="00DD1DFA">
        <w:rPr>
          <w:noProof/>
        </w:rPr>
        <w:t>pro</w:t>
      </w:r>
      <w:r w:rsidR="00D27BCC" w:rsidRPr="00DD1DFA">
        <w:rPr>
          <w:noProof/>
        </w:rPr>
        <w:t>cesie oceny</w:t>
      </w:r>
      <w:r w:rsidR="00DD1DFA" w:rsidRPr="00DD1DFA">
        <w:rPr>
          <w:noProof/>
        </w:rPr>
        <w:t xml:space="preserve"> i</w:t>
      </w:r>
      <w:r w:rsidR="00DD1DFA">
        <w:rPr>
          <w:noProof/>
        </w:rPr>
        <w:t> </w:t>
      </w:r>
      <w:r w:rsidR="00DD1DFA" w:rsidRPr="00DD1DFA">
        <w:rPr>
          <w:noProof/>
        </w:rPr>
        <w:t>wer</w:t>
      </w:r>
      <w:r w:rsidR="00D27BCC" w:rsidRPr="00DD1DFA">
        <w:rPr>
          <w:noProof/>
        </w:rPr>
        <w:t>yfikacji, zachowując najwyższy stopień uczciwości zawodowej</w:t>
      </w:r>
      <w:r w:rsidR="00DD1DFA" w:rsidRPr="00DD1DFA">
        <w:rPr>
          <w:noProof/>
        </w:rPr>
        <w:t xml:space="preserve"> i</w:t>
      </w:r>
      <w:r w:rsidR="00DD1DFA">
        <w:rPr>
          <w:noProof/>
        </w:rPr>
        <w:t> </w:t>
      </w:r>
      <w:r w:rsidR="00DD1DFA" w:rsidRPr="00DD1DFA">
        <w:rPr>
          <w:noProof/>
        </w:rPr>
        <w:t>wym</w:t>
      </w:r>
      <w:r w:rsidR="00D27BCC" w:rsidRPr="00DD1DFA">
        <w:rPr>
          <w:noProof/>
        </w:rPr>
        <w:t>aganych technicznych kompetencji</w:t>
      </w:r>
      <w:r w:rsidR="00DD1DFA" w:rsidRPr="00DD1DFA">
        <w:rPr>
          <w:noProof/>
        </w:rPr>
        <w:t xml:space="preserve"> w</w:t>
      </w:r>
      <w:r w:rsidR="00DD1DFA">
        <w:rPr>
          <w:noProof/>
        </w:rPr>
        <w:t> </w:t>
      </w:r>
      <w:r w:rsidR="00DD1DFA" w:rsidRPr="00DD1DFA">
        <w:rPr>
          <w:noProof/>
        </w:rPr>
        <w:t>dan</w:t>
      </w:r>
      <w:r w:rsidR="00D27BCC" w:rsidRPr="00DD1DFA">
        <w:rPr>
          <w:noProof/>
        </w:rPr>
        <w:t>ej dziedzinie oraz są wolni od wszelkich nacisków</w:t>
      </w:r>
      <w:r w:rsidR="00DD1DFA" w:rsidRPr="00DD1DFA">
        <w:rPr>
          <w:noProof/>
        </w:rPr>
        <w:t xml:space="preserve"> i</w:t>
      </w:r>
      <w:r w:rsidR="00DD1DFA">
        <w:rPr>
          <w:noProof/>
        </w:rPr>
        <w:t> </w:t>
      </w:r>
      <w:r w:rsidR="00DD1DFA" w:rsidRPr="00DD1DFA">
        <w:rPr>
          <w:noProof/>
        </w:rPr>
        <w:t>bod</w:t>
      </w:r>
      <w:r w:rsidR="00D27BCC" w:rsidRPr="00DD1DFA">
        <w:rPr>
          <w:noProof/>
        </w:rPr>
        <w:t>źców, zwłaszcza finansowych, mogących wpływać na ich opinię lub wyniki oceny</w:t>
      </w:r>
      <w:r w:rsidR="00DD1DFA" w:rsidRPr="00DD1DFA">
        <w:rPr>
          <w:noProof/>
        </w:rPr>
        <w:t xml:space="preserve"> i</w:t>
      </w:r>
      <w:r w:rsidR="00DD1DFA">
        <w:rPr>
          <w:noProof/>
        </w:rPr>
        <w:t> </w:t>
      </w:r>
      <w:r w:rsidR="00DD1DFA" w:rsidRPr="00DD1DFA">
        <w:rPr>
          <w:noProof/>
        </w:rPr>
        <w:t>wer</w:t>
      </w:r>
      <w:r w:rsidR="00D27BCC" w:rsidRPr="00DD1DFA">
        <w:rPr>
          <w:noProof/>
        </w:rPr>
        <w:t>yfikacji, szczególnie ze strony osób lub grup osób zainteresowanych wynikami tej działalności.</w:t>
      </w:r>
    </w:p>
    <w:p w14:paraId="63DAF1EF" w14:textId="42ED88AA" w:rsidR="00D27BCC" w:rsidRPr="00DD1DFA" w:rsidRDefault="005F7EFA" w:rsidP="005F7EFA">
      <w:pPr>
        <w:pStyle w:val="ManualNumPar1"/>
        <w:rPr>
          <w:rFonts w:eastAsia="Calibri"/>
          <w:noProof/>
          <w:szCs w:val="24"/>
        </w:rPr>
      </w:pPr>
      <w:r w:rsidRPr="005F7EFA">
        <w:t>6.</w:t>
      </w:r>
      <w:r w:rsidRPr="005F7EFA">
        <w:tab/>
      </w:r>
      <w:r w:rsidR="00D27BCC" w:rsidRPr="00DD1DFA">
        <w:rPr>
          <w:noProof/>
        </w:rPr>
        <w:t>Jednostka notyfikowana jest zdolna do wykonywania wszystkich zadań strony trzeciej</w:t>
      </w:r>
      <w:r w:rsidR="00DD1DFA" w:rsidRPr="00DD1DFA">
        <w:rPr>
          <w:noProof/>
        </w:rPr>
        <w:t xml:space="preserve"> w</w:t>
      </w:r>
      <w:r w:rsidR="00DD1DFA">
        <w:rPr>
          <w:noProof/>
        </w:rPr>
        <w:t> </w:t>
      </w:r>
      <w:r w:rsidR="00DD1DFA" w:rsidRPr="00DD1DFA">
        <w:rPr>
          <w:noProof/>
        </w:rPr>
        <w:t>pro</w:t>
      </w:r>
      <w:r w:rsidR="00D27BCC" w:rsidRPr="00DD1DFA">
        <w:rPr>
          <w:noProof/>
        </w:rPr>
        <w:t>cesie oceny</w:t>
      </w:r>
      <w:r w:rsidR="00DD1DFA" w:rsidRPr="00DD1DFA">
        <w:rPr>
          <w:noProof/>
        </w:rPr>
        <w:t xml:space="preserve"> i</w:t>
      </w:r>
      <w:r w:rsidR="00DD1DFA">
        <w:rPr>
          <w:noProof/>
        </w:rPr>
        <w:t> </w:t>
      </w:r>
      <w:r w:rsidR="00DD1DFA" w:rsidRPr="00DD1DFA">
        <w:rPr>
          <w:noProof/>
        </w:rPr>
        <w:t>wer</w:t>
      </w:r>
      <w:r w:rsidR="00D27BCC" w:rsidRPr="00DD1DFA">
        <w:rPr>
          <w:noProof/>
        </w:rPr>
        <w:t>yfikacji, przydzielonych jej zgodnie</w:t>
      </w:r>
      <w:r w:rsidR="00DD1DFA" w:rsidRPr="00DD1DFA">
        <w:rPr>
          <w:noProof/>
        </w:rPr>
        <w:t xml:space="preserve"> z</w:t>
      </w:r>
      <w:r w:rsidR="00DD1DFA">
        <w:rPr>
          <w:noProof/>
        </w:rPr>
        <w:t> </w:t>
      </w:r>
      <w:r w:rsidR="00DD1DFA" w:rsidRPr="00DD1DFA">
        <w:rPr>
          <w:noProof/>
        </w:rPr>
        <w:t>zał</w:t>
      </w:r>
      <w:r w:rsidR="00D27BCC" w:rsidRPr="00DD1DFA">
        <w:rPr>
          <w:noProof/>
        </w:rPr>
        <w:t>ącznikiem V</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odn</w:t>
      </w:r>
      <w:r w:rsidR="00D27BCC" w:rsidRPr="00DD1DFA">
        <w:rPr>
          <w:noProof/>
        </w:rPr>
        <w:t>iesieniu do których została notyfikowana, niezależnie od tego, czy dana jednostka notyfikowana wykonuje wspomniane zadania samodzielnie, czy też są one realizowane</w:t>
      </w:r>
      <w:r w:rsidR="00DD1DFA" w:rsidRPr="00DD1DFA">
        <w:rPr>
          <w:noProof/>
        </w:rPr>
        <w:t xml:space="preserve"> w</w:t>
      </w:r>
      <w:r w:rsidR="00DD1DFA">
        <w:rPr>
          <w:noProof/>
        </w:rPr>
        <w:t> </w:t>
      </w:r>
      <w:r w:rsidR="00DD1DFA" w:rsidRPr="00DD1DFA">
        <w:rPr>
          <w:noProof/>
        </w:rPr>
        <w:t>jej</w:t>
      </w:r>
      <w:r w:rsidR="00D27BCC" w:rsidRPr="00DD1DFA">
        <w:rPr>
          <w:noProof/>
        </w:rPr>
        <w:t xml:space="preserve"> imieniu i na jej odpowiedzialność.</w:t>
      </w:r>
    </w:p>
    <w:p w14:paraId="61805243" w14:textId="6C807B75" w:rsidR="00D27BCC" w:rsidRPr="00DD1DFA" w:rsidRDefault="00D27BCC" w:rsidP="00D27BCC">
      <w:pPr>
        <w:pStyle w:val="Text1"/>
        <w:rPr>
          <w:noProof/>
        </w:rPr>
      </w:pPr>
      <w:r w:rsidRPr="00DD1DFA">
        <w:rPr>
          <w:noProof/>
        </w:rPr>
        <w:t>Przez cały czas dla każdego systemu oceny</w:t>
      </w:r>
      <w:r w:rsidR="00DD1DFA" w:rsidRPr="00DD1DFA">
        <w:rPr>
          <w:noProof/>
        </w:rPr>
        <w:t xml:space="preserve"> i</w:t>
      </w:r>
      <w:r w:rsidR="00DD1DFA">
        <w:rPr>
          <w:noProof/>
        </w:rPr>
        <w:t> </w:t>
      </w:r>
      <w:r w:rsidR="00DD1DFA" w:rsidRPr="00DD1DFA">
        <w:rPr>
          <w:noProof/>
        </w:rPr>
        <w:t>wer</w:t>
      </w:r>
      <w:r w:rsidRPr="00DD1DFA">
        <w:rPr>
          <w:noProof/>
        </w:rPr>
        <w:t>yfikacji oraz dla każdego rodzaju lub każdej kategorii wyrobów, zasadniczych charakterystyk</w:t>
      </w:r>
      <w:r w:rsidR="00DD1DFA" w:rsidRPr="00DD1DFA">
        <w:rPr>
          <w:noProof/>
        </w:rPr>
        <w:t xml:space="preserve"> i</w:t>
      </w:r>
      <w:r w:rsidR="00DD1DFA">
        <w:rPr>
          <w:noProof/>
        </w:rPr>
        <w:t> </w:t>
      </w:r>
      <w:r w:rsidR="00DD1DFA" w:rsidRPr="00DD1DFA">
        <w:rPr>
          <w:noProof/>
        </w:rPr>
        <w:t>zad</w:t>
      </w:r>
      <w:r w:rsidRPr="00DD1DFA">
        <w:rPr>
          <w:noProof/>
        </w:rPr>
        <w:t>ań,</w:t>
      </w:r>
      <w:r w:rsidR="00DD1DFA" w:rsidRPr="00DD1DFA">
        <w:rPr>
          <w:noProof/>
        </w:rPr>
        <w:t xml:space="preserve"> w</w:t>
      </w:r>
      <w:r w:rsidR="00DD1DFA">
        <w:rPr>
          <w:noProof/>
        </w:rPr>
        <w:t> </w:t>
      </w:r>
      <w:r w:rsidR="00DD1DFA" w:rsidRPr="00DD1DFA">
        <w:rPr>
          <w:noProof/>
        </w:rPr>
        <w:t>odn</w:t>
      </w:r>
      <w:r w:rsidRPr="00DD1DFA">
        <w:rPr>
          <w:noProof/>
        </w:rPr>
        <w:t>iesieniu do których została notyfikowana, jednostka notyfikowana dysponuje:</w:t>
      </w:r>
    </w:p>
    <w:p w14:paraId="12E0B886" w14:textId="6107FC3C" w:rsidR="00D27BCC" w:rsidRPr="00DD1DFA" w:rsidRDefault="003C1401" w:rsidP="003C1401">
      <w:pPr>
        <w:pStyle w:val="Point1"/>
        <w:rPr>
          <w:noProof/>
        </w:rPr>
      </w:pPr>
      <w:r w:rsidRPr="003C1401">
        <w:rPr>
          <w:noProof/>
        </w:rPr>
        <w:t>a)</w:t>
      </w:r>
      <w:r w:rsidRPr="003C1401">
        <w:rPr>
          <w:noProof/>
        </w:rPr>
        <w:tab/>
      </w:r>
      <w:r w:rsidR="00D27BCC" w:rsidRPr="00DD1DFA">
        <w:rPr>
          <w:noProof/>
        </w:rPr>
        <w:t>potrzebnymi pracownikami posiadającymi wiedzę techniczną oraz wystarczające</w:t>
      </w:r>
      <w:r w:rsidR="00DD1DFA" w:rsidRPr="00DD1DFA">
        <w:rPr>
          <w:noProof/>
        </w:rPr>
        <w:t xml:space="preserve"> i</w:t>
      </w:r>
      <w:r w:rsidR="00DD1DFA">
        <w:rPr>
          <w:noProof/>
        </w:rPr>
        <w:t> </w:t>
      </w:r>
      <w:r w:rsidR="00DD1DFA" w:rsidRPr="00DD1DFA">
        <w:rPr>
          <w:noProof/>
        </w:rPr>
        <w:t>odp</w:t>
      </w:r>
      <w:r w:rsidR="00D27BCC" w:rsidRPr="00DD1DFA">
        <w:rPr>
          <w:noProof/>
        </w:rPr>
        <w:t>owiednie doświadczenie do wykonywania zadań strony trzeciej</w:t>
      </w:r>
      <w:r w:rsidR="00DD1DFA" w:rsidRPr="00DD1DFA">
        <w:rPr>
          <w:noProof/>
        </w:rPr>
        <w:t xml:space="preserve"> w</w:t>
      </w:r>
      <w:r w:rsidR="00DD1DFA">
        <w:rPr>
          <w:noProof/>
        </w:rPr>
        <w:t> </w:t>
      </w:r>
      <w:r w:rsidR="00DD1DFA" w:rsidRPr="00DD1DFA">
        <w:rPr>
          <w:noProof/>
        </w:rPr>
        <w:t>pro</w:t>
      </w:r>
      <w:r w:rsidR="00D27BCC" w:rsidRPr="00DD1DFA">
        <w:rPr>
          <w:noProof/>
        </w:rPr>
        <w:t>cesie oceny</w:t>
      </w:r>
      <w:r w:rsidR="00DD1DFA" w:rsidRPr="00DD1DFA">
        <w:rPr>
          <w:noProof/>
        </w:rPr>
        <w:t xml:space="preserve"> i</w:t>
      </w:r>
      <w:r w:rsidR="00DD1DFA">
        <w:rPr>
          <w:noProof/>
        </w:rPr>
        <w:t> </w:t>
      </w:r>
      <w:r w:rsidR="00DD1DFA" w:rsidRPr="00DD1DFA">
        <w:rPr>
          <w:noProof/>
        </w:rPr>
        <w:t>wer</w:t>
      </w:r>
      <w:r w:rsidR="00D27BCC" w:rsidRPr="00DD1DFA">
        <w:rPr>
          <w:noProof/>
        </w:rPr>
        <w:t>yfikacji; Pracownicy odpowiedzialni za podejmowanie decyzji dotyczących oceny są zatrudnieni</w:t>
      </w:r>
      <w:r w:rsidR="00DD1DFA" w:rsidRPr="00DD1DFA">
        <w:rPr>
          <w:noProof/>
        </w:rPr>
        <w:t xml:space="preserve"> w</w:t>
      </w:r>
      <w:r w:rsidR="00DD1DFA">
        <w:rPr>
          <w:noProof/>
        </w:rPr>
        <w:t> </w:t>
      </w:r>
      <w:r w:rsidR="00DD1DFA" w:rsidRPr="00DD1DFA">
        <w:rPr>
          <w:noProof/>
        </w:rPr>
        <w:t>jed</w:t>
      </w:r>
      <w:r w:rsidR="00D27BCC" w:rsidRPr="00DD1DFA">
        <w:rPr>
          <w:noProof/>
        </w:rPr>
        <w:t>nostce notyfikowanej zgodnie</w:t>
      </w:r>
      <w:r w:rsidR="00DD1DFA" w:rsidRPr="00DD1DFA">
        <w:rPr>
          <w:noProof/>
        </w:rPr>
        <w:t xml:space="preserve"> z</w:t>
      </w:r>
      <w:r w:rsidR="00DD1DFA">
        <w:rPr>
          <w:noProof/>
        </w:rPr>
        <w:t> </w:t>
      </w:r>
      <w:r w:rsidR="00DD1DFA" w:rsidRPr="00DD1DFA">
        <w:rPr>
          <w:noProof/>
        </w:rPr>
        <w:t>pra</w:t>
      </w:r>
      <w:r w:rsidR="00D27BCC" w:rsidRPr="00DD1DFA">
        <w:rPr>
          <w:noProof/>
        </w:rPr>
        <w:t>wem krajowym notyfikującego państwa członkowskiego, nie mają innych potencjalnie sprzecznych obowiązków lojalnościowych ani potencjalnego konfliktu interesów,</w:t>
      </w:r>
      <w:r w:rsidR="00DD1DFA" w:rsidRPr="00DD1DFA">
        <w:rPr>
          <w:noProof/>
        </w:rPr>
        <w:t xml:space="preserve"> a</w:t>
      </w:r>
      <w:r w:rsidR="00DD1DFA">
        <w:rPr>
          <w:noProof/>
        </w:rPr>
        <w:t> </w:t>
      </w:r>
      <w:r w:rsidR="00DD1DFA" w:rsidRPr="00DD1DFA">
        <w:rPr>
          <w:noProof/>
        </w:rPr>
        <w:t>tak</w:t>
      </w:r>
      <w:r w:rsidR="00D27BCC" w:rsidRPr="00DD1DFA">
        <w:rPr>
          <w:noProof/>
        </w:rPr>
        <w:t>że posiadają kompetencje do weryfikowania ocen dokonywanych przez innych pracowników, ekspertów zewnętrznych lub podwykonawców. Ich liczba powinna być wystarczająca, aby zapewnić ciągłość działania</w:t>
      </w:r>
      <w:r w:rsidR="00DD1DFA" w:rsidRPr="00DD1DFA">
        <w:rPr>
          <w:noProof/>
        </w:rPr>
        <w:t xml:space="preserve"> i</w:t>
      </w:r>
      <w:r w:rsidR="00DD1DFA">
        <w:rPr>
          <w:noProof/>
        </w:rPr>
        <w:t> </w:t>
      </w:r>
      <w:r w:rsidR="00DD1DFA" w:rsidRPr="00DD1DFA">
        <w:rPr>
          <w:noProof/>
        </w:rPr>
        <w:t>spó</w:t>
      </w:r>
      <w:r w:rsidR="00D27BCC" w:rsidRPr="00DD1DFA">
        <w:rPr>
          <w:noProof/>
        </w:rPr>
        <w:t>jne podejście do ocen zgodności;</w:t>
      </w:r>
    </w:p>
    <w:p w14:paraId="52139A89" w14:textId="5AB7C6AB" w:rsidR="00D27BCC" w:rsidRPr="00DD1DFA" w:rsidRDefault="003C1401" w:rsidP="003C1401">
      <w:pPr>
        <w:pStyle w:val="Point1"/>
        <w:rPr>
          <w:noProof/>
        </w:rPr>
      </w:pPr>
      <w:r w:rsidRPr="003C1401">
        <w:rPr>
          <w:noProof/>
        </w:rPr>
        <w:t>b)</w:t>
      </w:r>
      <w:r w:rsidRPr="003C1401">
        <w:rPr>
          <w:noProof/>
        </w:rPr>
        <w:tab/>
      </w:r>
      <w:r w:rsidR="00D27BCC" w:rsidRPr="00DD1DFA">
        <w:rPr>
          <w:noProof/>
        </w:rPr>
        <w:t>niezbędny opis procedur, zgodnie</w:t>
      </w:r>
      <w:r w:rsidR="00DD1DFA" w:rsidRPr="00DD1DFA">
        <w:rPr>
          <w:noProof/>
        </w:rPr>
        <w:t xml:space="preserve"> z</w:t>
      </w:r>
      <w:r w:rsidR="00DD1DFA">
        <w:rPr>
          <w:noProof/>
        </w:rPr>
        <w:t> </w:t>
      </w:r>
      <w:r w:rsidR="00DD1DFA" w:rsidRPr="00DD1DFA">
        <w:rPr>
          <w:noProof/>
        </w:rPr>
        <w:t>któ</w:t>
      </w:r>
      <w:r w:rsidR="00D27BCC" w:rsidRPr="00DD1DFA">
        <w:rPr>
          <w:noProof/>
        </w:rPr>
        <w:t>rymi przeprowadzany jest proces oceny, zapewniający przejrzystość</w:t>
      </w:r>
      <w:r w:rsidR="00DD1DFA" w:rsidRPr="00DD1DFA">
        <w:rPr>
          <w:noProof/>
        </w:rPr>
        <w:t xml:space="preserve"> i</w:t>
      </w:r>
      <w:r w:rsidR="00DD1DFA">
        <w:rPr>
          <w:noProof/>
        </w:rPr>
        <w:t> </w:t>
      </w:r>
      <w:r w:rsidR="00DD1DFA" w:rsidRPr="00DD1DFA">
        <w:rPr>
          <w:noProof/>
        </w:rPr>
        <w:t>moż</w:t>
      </w:r>
      <w:r w:rsidR="00D27BCC" w:rsidRPr="00DD1DFA">
        <w:rPr>
          <w:noProof/>
        </w:rPr>
        <w:t>liwość odtworzenia tych procedur. Obejmuje to strukturę kwalifikacji dopasowującą odpowiednich pracowników, ich status</w:t>
      </w:r>
      <w:r w:rsidR="00DD1DFA" w:rsidRPr="00DD1DFA">
        <w:rPr>
          <w:noProof/>
        </w:rPr>
        <w:t xml:space="preserve"> i</w:t>
      </w:r>
      <w:r w:rsidR="00DD1DFA">
        <w:rPr>
          <w:noProof/>
        </w:rPr>
        <w:t> </w:t>
      </w:r>
      <w:r w:rsidR="00DD1DFA" w:rsidRPr="00DD1DFA">
        <w:rPr>
          <w:noProof/>
        </w:rPr>
        <w:t>zad</w:t>
      </w:r>
      <w:r w:rsidR="00D27BCC" w:rsidRPr="00DD1DFA">
        <w:rPr>
          <w:noProof/>
        </w:rPr>
        <w:t>ania</w:t>
      </w:r>
      <w:r w:rsidR="00DD1DFA" w:rsidRPr="00DD1DFA">
        <w:rPr>
          <w:noProof/>
        </w:rPr>
        <w:t xml:space="preserve"> w</w:t>
      </w:r>
      <w:r w:rsidR="00DD1DFA">
        <w:rPr>
          <w:noProof/>
        </w:rPr>
        <w:t> </w:t>
      </w:r>
      <w:r w:rsidR="00DD1DFA" w:rsidRPr="00DD1DFA">
        <w:rPr>
          <w:noProof/>
        </w:rPr>
        <w:t>ram</w:t>
      </w:r>
      <w:r w:rsidR="00D27BCC" w:rsidRPr="00DD1DFA">
        <w:rPr>
          <w:noProof/>
        </w:rPr>
        <w:t>ach jednostki oceniającej zgodność do zadań związanych</w:t>
      </w:r>
      <w:r w:rsidR="00DD1DFA" w:rsidRPr="00DD1DFA">
        <w:rPr>
          <w:noProof/>
        </w:rPr>
        <w:t xml:space="preserve"> z</w:t>
      </w:r>
      <w:r w:rsidR="00DD1DFA">
        <w:rPr>
          <w:noProof/>
        </w:rPr>
        <w:t> </w:t>
      </w:r>
      <w:r w:rsidR="00DD1DFA" w:rsidRPr="00DD1DFA">
        <w:rPr>
          <w:noProof/>
        </w:rPr>
        <w:t>oce</w:t>
      </w:r>
      <w:r w:rsidR="00D27BCC" w:rsidRPr="00DD1DFA">
        <w:rPr>
          <w:noProof/>
        </w:rPr>
        <w:t>ną zgodności,</w:t>
      </w:r>
      <w:r w:rsidR="00DD1DFA" w:rsidRPr="00DD1DFA">
        <w:rPr>
          <w:noProof/>
        </w:rPr>
        <w:t xml:space="preserve"> w</w:t>
      </w:r>
      <w:r w:rsidR="00DD1DFA">
        <w:rPr>
          <w:noProof/>
        </w:rPr>
        <w:t> </w:t>
      </w:r>
      <w:r w:rsidR="00DD1DFA" w:rsidRPr="00DD1DFA">
        <w:rPr>
          <w:noProof/>
        </w:rPr>
        <w:t>odn</w:t>
      </w:r>
      <w:r w:rsidR="00D27BCC" w:rsidRPr="00DD1DFA">
        <w:rPr>
          <w:noProof/>
        </w:rPr>
        <w:t>iesieniu do których dana jednostka ubiega się</w:t>
      </w:r>
      <w:r w:rsidR="00DD1DFA" w:rsidRPr="00DD1DFA">
        <w:rPr>
          <w:noProof/>
        </w:rPr>
        <w:t xml:space="preserve"> o</w:t>
      </w:r>
      <w:r w:rsidR="00DD1DFA">
        <w:rPr>
          <w:noProof/>
        </w:rPr>
        <w:t> </w:t>
      </w:r>
      <w:r w:rsidR="00DD1DFA" w:rsidRPr="00DD1DFA">
        <w:rPr>
          <w:noProof/>
        </w:rPr>
        <w:t>not</w:t>
      </w:r>
      <w:r w:rsidR="00D27BCC" w:rsidRPr="00DD1DFA">
        <w:rPr>
          <w:noProof/>
        </w:rPr>
        <w:t>yfikację;</w:t>
      </w:r>
    </w:p>
    <w:p w14:paraId="551C59E7" w14:textId="6F03CE2B" w:rsidR="00D27BCC" w:rsidRPr="00DD1DFA" w:rsidRDefault="003C1401" w:rsidP="003C1401">
      <w:pPr>
        <w:pStyle w:val="Point1"/>
        <w:rPr>
          <w:noProof/>
        </w:rPr>
      </w:pPr>
      <w:r w:rsidRPr="003C1401">
        <w:rPr>
          <w:noProof/>
        </w:rPr>
        <w:t>c)</w:t>
      </w:r>
      <w:r w:rsidRPr="003C1401">
        <w:rPr>
          <w:noProof/>
        </w:rPr>
        <w:tab/>
      </w:r>
      <w:r w:rsidR="00D27BCC" w:rsidRPr="00DD1DFA">
        <w:rPr>
          <w:noProof/>
        </w:rPr>
        <w:t>odpowiednią politykę</w:t>
      </w:r>
      <w:r w:rsidR="00DD1DFA" w:rsidRPr="00DD1DFA">
        <w:rPr>
          <w:noProof/>
        </w:rPr>
        <w:t xml:space="preserve"> i</w:t>
      </w:r>
      <w:r w:rsidR="00DD1DFA">
        <w:rPr>
          <w:noProof/>
        </w:rPr>
        <w:t> </w:t>
      </w:r>
      <w:r w:rsidR="00DD1DFA" w:rsidRPr="00DD1DFA">
        <w:rPr>
          <w:noProof/>
        </w:rPr>
        <w:t>sto</w:t>
      </w:r>
      <w:r w:rsidR="00D27BCC" w:rsidRPr="00DD1DFA">
        <w:rPr>
          <w:noProof/>
        </w:rPr>
        <w:t>sowne procedury, dzięki którym możliwe jest odróżnienie zadań wykonywanych jako jednostka notyfikowana od pozostałych działań;</w:t>
      </w:r>
    </w:p>
    <w:p w14:paraId="3BB1CE7B" w14:textId="69BA401C" w:rsidR="00D27BCC" w:rsidRPr="00DD1DFA" w:rsidRDefault="003C1401" w:rsidP="003C1401">
      <w:pPr>
        <w:pStyle w:val="Point1"/>
        <w:rPr>
          <w:noProof/>
        </w:rPr>
      </w:pPr>
      <w:r w:rsidRPr="003C1401">
        <w:rPr>
          <w:noProof/>
        </w:rPr>
        <w:t>d)</w:t>
      </w:r>
      <w:r w:rsidRPr="003C1401">
        <w:rPr>
          <w:noProof/>
        </w:rPr>
        <w:tab/>
      </w:r>
      <w:r w:rsidR="00D27BCC" w:rsidRPr="00DD1DFA">
        <w:rPr>
          <w:noProof/>
        </w:rPr>
        <w:t>potrzebnymi procedurami służącymi prowadzeniu jej działalności przy uwzględnieniu wielkości przedsiębiorstwa, sektora,</w:t>
      </w:r>
      <w:r w:rsidR="00DD1DFA" w:rsidRPr="00DD1DFA">
        <w:rPr>
          <w:noProof/>
        </w:rPr>
        <w:t xml:space="preserve"> w</w:t>
      </w:r>
      <w:r w:rsidR="00DD1DFA">
        <w:rPr>
          <w:noProof/>
        </w:rPr>
        <w:t> </w:t>
      </w:r>
      <w:r w:rsidR="00DD1DFA" w:rsidRPr="00DD1DFA">
        <w:rPr>
          <w:noProof/>
        </w:rPr>
        <w:t>któ</w:t>
      </w:r>
      <w:r w:rsidR="00D27BCC" w:rsidRPr="00DD1DFA">
        <w:rPr>
          <w:noProof/>
        </w:rPr>
        <w:t>rym prowadzi działalność, struktury przedsiębiorstwa, stopnia złożoności technologii wytwarzania danego wyrobu oraz masowego lub seryjnego charakteru procesu produkcyjnego.</w:t>
      </w:r>
    </w:p>
    <w:p w14:paraId="2F4B1D2D" w14:textId="22BDD891" w:rsidR="00D27BCC" w:rsidRPr="00DD1DFA" w:rsidRDefault="00D27BCC" w:rsidP="00D27BCC">
      <w:pPr>
        <w:pStyle w:val="Text1"/>
        <w:rPr>
          <w:noProof/>
        </w:rPr>
      </w:pPr>
      <w:r w:rsidRPr="00DD1DFA">
        <w:rPr>
          <w:noProof/>
        </w:rPr>
        <w:t>Jednostka notyfikowana posiada środki konieczne do prawidłowej realizacji zadań</w:t>
      </w:r>
      <w:r w:rsidR="00DD1DFA" w:rsidRPr="00DD1DFA">
        <w:rPr>
          <w:noProof/>
        </w:rPr>
        <w:t xml:space="preserve"> o</w:t>
      </w:r>
      <w:r w:rsidR="00DD1DFA">
        <w:rPr>
          <w:noProof/>
        </w:rPr>
        <w:t> </w:t>
      </w:r>
      <w:r w:rsidR="00DD1DFA" w:rsidRPr="00DD1DFA">
        <w:rPr>
          <w:noProof/>
        </w:rPr>
        <w:t>cha</w:t>
      </w:r>
      <w:r w:rsidRPr="00DD1DFA">
        <w:rPr>
          <w:noProof/>
        </w:rPr>
        <w:t>rakterze technicznym</w:t>
      </w:r>
      <w:r w:rsidR="00DD1DFA" w:rsidRPr="00DD1DFA">
        <w:rPr>
          <w:noProof/>
        </w:rPr>
        <w:t xml:space="preserve"> i</w:t>
      </w:r>
      <w:r w:rsidR="00DD1DFA">
        <w:rPr>
          <w:noProof/>
        </w:rPr>
        <w:t> </w:t>
      </w:r>
      <w:r w:rsidR="00DD1DFA" w:rsidRPr="00DD1DFA">
        <w:rPr>
          <w:noProof/>
        </w:rPr>
        <w:t>adm</w:t>
      </w:r>
      <w:r w:rsidRPr="00DD1DFA">
        <w:rPr>
          <w:noProof/>
        </w:rPr>
        <w:t>inistracyjnym związanych</w:t>
      </w:r>
      <w:r w:rsidR="00DD1DFA" w:rsidRPr="00DD1DFA">
        <w:rPr>
          <w:noProof/>
        </w:rPr>
        <w:t xml:space="preserve"> z</w:t>
      </w:r>
      <w:r w:rsidR="00DD1DFA">
        <w:rPr>
          <w:noProof/>
        </w:rPr>
        <w:t> </w:t>
      </w:r>
      <w:r w:rsidR="00DD1DFA" w:rsidRPr="00DD1DFA">
        <w:rPr>
          <w:noProof/>
        </w:rPr>
        <w:t>dzi</w:t>
      </w:r>
      <w:r w:rsidRPr="00DD1DFA">
        <w:rPr>
          <w:noProof/>
        </w:rPr>
        <w:t>ałalnością,</w:t>
      </w:r>
      <w:r w:rsidR="00DD1DFA" w:rsidRPr="00DD1DFA">
        <w:rPr>
          <w:noProof/>
        </w:rPr>
        <w:t xml:space="preserve"> w</w:t>
      </w:r>
      <w:r w:rsidR="00DD1DFA">
        <w:rPr>
          <w:noProof/>
        </w:rPr>
        <w:t> </w:t>
      </w:r>
      <w:r w:rsidR="00DD1DFA" w:rsidRPr="00DD1DFA">
        <w:rPr>
          <w:noProof/>
        </w:rPr>
        <w:t>odn</w:t>
      </w:r>
      <w:r w:rsidRPr="00DD1DFA">
        <w:rPr>
          <w:noProof/>
        </w:rPr>
        <w:t>iesieniu do której ubiega się</w:t>
      </w:r>
      <w:r w:rsidR="00DD1DFA" w:rsidRPr="00DD1DFA">
        <w:rPr>
          <w:noProof/>
        </w:rPr>
        <w:t xml:space="preserve"> o</w:t>
      </w:r>
      <w:r w:rsidR="00DD1DFA">
        <w:rPr>
          <w:noProof/>
        </w:rPr>
        <w:t> </w:t>
      </w:r>
      <w:r w:rsidR="00DD1DFA" w:rsidRPr="00DD1DFA">
        <w:rPr>
          <w:noProof/>
        </w:rPr>
        <w:t>not</w:t>
      </w:r>
      <w:r w:rsidRPr="00DD1DFA">
        <w:rPr>
          <w:noProof/>
        </w:rPr>
        <w:t>yfikację, oraz ma dostęp do wszystkich niezbędnych urządzeń lub wyposażenia.</w:t>
      </w:r>
    </w:p>
    <w:p w14:paraId="6FAB0EAD" w14:textId="300B7753" w:rsidR="00D27BCC" w:rsidRPr="00DD1DFA" w:rsidRDefault="005F7EFA" w:rsidP="005F7EFA">
      <w:pPr>
        <w:pStyle w:val="ManualNumPar1"/>
        <w:rPr>
          <w:rFonts w:eastAsia="Calibri"/>
          <w:noProof/>
          <w:szCs w:val="24"/>
        </w:rPr>
      </w:pPr>
      <w:r w:rsidRPr="005F7EFA">
        <w:t>7.</w:t>
      </w:r>
      <w:r w:rsidRPr="005F7EFA">
        <w:tab/>
      </w:r>
      <w:r w:rsidR="00D27BCC" w:rsidRPr="00DD1DFA">
        <w:rPr>
          <w:noProof/>
        </w:rPr>
        <w:t>Pracownicy odpowiedzialni za wykonywanie zadań,</w:t>
      </w:r>
      <w:r w:rsidR="00DD1DFA" w:rsidRPr="00DD1DFA">
        <w:rPr>
          <w:noProof/>
        </w:rPr>
        <w:t xml:space="preserve"> w</w:t>
      </w:r>
      <w:r w:rsidR="00DD1DFA">
        <w:rPr>
          <w:noProof/>
        </w:rPr>
        <w:t> </w:t>
      </w:r>
      <w:r w:rsidR="00DD1DFA" w:rsidRPr="00DD1DFA">
        <w:rPr>
          <w:noProof/>
        </w:rPr>
        <w:t>odn</w:t>
      </w:r>
      <w:r w:rsidR="00D27BCC" w:rsidRPr="00DD1DFA">
        <w:rPr>
          <w:noProof/>
        </w:rPr>
        <w:t>iesieniu do których jednostka ubiega się</w:t>
      </w:r>
      <w:r w:rsidR="00DD1DFA" w:rsidRPr="00DD1DFA">
        <w:rPr>
          <w:noProof/>
        </w:rPr>
        <w:t xml:space="preserve"> o</w:t>
      </w:r>
      <w:r w:rsidR="00DD1DFA">
        <w:rPr>
          <w:noProof/>
        </w:rPr>
        <w:t> </w:t>
      </w:r>
      <w:r w:rsidR="00DD1DFA" w:rsidRPr="00DD1DFA">
        <w:rPr>
          <w:noProof/>
        </w:rPr>
        <w:t>not</w:t>
      </w:r>
      <w:r w:rsidR="00D27BCC" w:rsidRPr="00DD1DFA">
        <w:rPr>
          <w:noProof/>
        </w:rPr>
        <w:t>yfikację, posiadają:</w:t>
      </w:r>
    </w:p>
    <w:p w14:paraId="105F000E" w14:textId="24A1C2A1" w:rsidR="00D27BCC" w:rsidRPr="00DD1DFA" w:rsidRDefault="003C1401" w:rsidP="003C1401">
      <w:pPr>
        <w:pStyle w:val="Point1"/>
        <w:rPr>
          <w:noProof/>
        </w:rPr>
      </w:pPr>
      <w:r w:rsidRPr="003C1401">
        <w:rPr>
          <w:noProof/>
        </w:rPr>
        <w:t>a)</w:t>
      </w:r>
      <w:r w:rsidRPr="003C1401">
        <w:rPr>
          <w:noProof/>
        </w:rPr>
        <w:tab/>
      </w:r>
      <w:r w:rsidR="00D27BCC" w:rsidRPr="00DD1DFA">
        <w:rPr>
          <w:noProof/>
        </w:rPr>
        <w:t>solidne wyszkolenie techniczne</w:t>
      </w:r>
      <w:r w:rsidR="00DD1DFA" w:rsidRPr="00DD1DFA">
        <w:rPr>
          <w:noProof/>
        </w:rPr>
        <w:t xml:space="preserve"> i</w:t>
      </w:r>
      <w:r w:rsidR="00DD1DFA">
        <w:rPr>
          <w:noProof/>
        </w:rPr>
        <w:t> </w:t>
      </w:r>
      <w:r w:rsidR="00DD1DFA" w:rsidRPr="00DD1DFA">
        <w:rPr>
          <w:noProof/>
        </w:rPr>
        <w:t>zaw</w:t>
      </w:r>
      <w:r w:rsidR="00D27BCC" w:rsidRPr="00DD1DFA">
        <w:rPr>
          <w:noProof/>
        </w:rPr>
        <w:t>odowe obejmujące wszystkie zadania strony trzeciej</w:t>
      </w:r>
      <w:r w:rsidR="00DD1DFA" w:rsidRPr="00DD1DFA">
        <w:rPr>
          <w:noProof/>
        </w:rPr>
        <w:t xml:space="preserve"> w</w:t>
      </w:r>
      <w:r w:rsidR="00DD1DFA">
        <w:rPr>
          <w:noProof/>
        </w:rPr>
        <w:t> </w:t>
      </w:r>
      <w:r w:rsidR="00DD1DFA" w:rsidRPr="00DD1DFA">
        <w:rPr>
          <w:noProof/>
        </w:rPr>
        <w:t>pro</w:t>
      </w:r>
      <w:r w:rsidR="00D27BCC" w:rsidRPr="00DD1DFA">
        <w:rPr>
          <w:noProof/>
        </w:rPr>
        <w:t>cesie oceny</w:t>
      </w:r>
      <w:r w:rsidR="00DD1DFA" w:rsidRPr="00DD1DFA">
        <w:rPr>
          <w:noProof/>
        </w:rPr>
        <w:t xml:space="preserve"> i</w:t>
      </w:r>
      <w:r w:rsidR="00DD1DFA">
        <w:rPr>
          <w:noProof/>
        </w:rPr>
        <w:t> </w:t>
      </w:r>
      <w:r w:rsidR="00DD1DFA" w:rsidRPr="00DD1DFA">
        <w:rPr>
          <w:noProof/>
        </w:rPr>
        <w:t>wer</w:t>
      </w:r>
      <w:r w:rsidR="00D27BCC" w:rsidRPr="00DD1DFA">
        <w:rPr>
          <w:noProof/>
        </w:rPr>
        <w:t>yfikacji</w:t>
      </w:r>
      <w:r w:rsidR="00DD1DFA" w:rsidRPr="00DD1DFA">
        <w:rPr>
          <w:noProof/>
        </w:rPr>
        <w:t xml:space="preserve"> w</w:t>
      </w:r>
      <w:r w:rsidR="00DD1DFA">
        <w:rPr>
          <w:noProof/>
        </w:rPr>
        <w:t> </w:t>
      </w:r>
      <w:r w:rsidR="00DD1DFA" w:rsidRPr="00DD1DFA">
        <w:rPr>
          <w:noProof/>
        </w:rPr>
        <w:t>odp</w:t>
      </w:r>
      <w:r w:rsidR="00D27BCC" w:rsidRPr="00DD1DFA">
        <w:rPr>
          <w:noProof/>
        </w:rPr>
        <w:t>owiednim zakresie,</w:t>
      </w:r>
      <w:r w:rsidR="00DD1DFA" w:rsidRPr="00DD1DFA">
        <w:rPr>
          <w:noProof/>
        </w:rPr>
        <w:t xml:space="preserve"> w</w:t>
      </w:r>
      <w:r w:rsidR="00DD1DFA">
        <w:rPr>
          <w:noProof/>
        </w:rPr>
        <w:t> </w:t>
      </w:r>
      <w:r w:rsidR="00DD1DFA" w:rsidRPr="00DD1DFA">
        <w:rPr>
          <w:noProof/>
        </w:rPr>
        <w:t>odn</w:t>
      </w:r>
      <w:r w:rsidR="00D27BCC" w:rsidRPr="00DD1DFA">
        <w:rPr>
          <w:noProof/>
        </w:rPr>
        <w:t>iesieniu do którego jednostka ubiega się</w:t>
      </w:r>
      <w:r w:rsidR="00DD1DFA" w:rsidRPr="00DD1DFA">
        <w:rPr>
          <w:noProof/>
        </w:rPr>
        <w:t xml:space="preserve"> o</w:t>
      </w:r>
      <w:r w:rsidR="00DD1DFA">
        <w:rPr>
          <w:noProof/>
        </w:rPr>
        <w:t> </w:t>
      </w:r>
      <w:r w:rsidR="00DD1DFA" w:rsidRPr="00DD1DFA">
        <w:rPr>
          <w:noProof/>
        </w:rPr>
        <w:t>not</w:t>
      </w:r>
      <w:r w:rsidR="00D27BCC" w:rsidRPr="00DD1DFA">
        <w:rPr>
          <w:noProof/>
        </w:rPr>
        <w:t>yfikację;</w:t>
      </w:r>
    </w:p>
    <w:p w14:paraId="2791E0A5" w14:textId="6322B498" w:rsidR="00D27BCC" w:rsidRPr="00DD1DFA" w:rsidRDefault="003C1401" w:rsidP="003C1401">
      <w:pPr>
        <w:pStyle w:val="Point1"/>
        <w:rPr>
          <w:noProof/>
        </w:rPr>
      </w:pPr>
      <w:r w:rsidRPr="003C1401">
        <w:rPr>
          <w:noProof/>
        </w:rPr>
        <w:t>b)</w:t>
      </w:r>
      <w:r w:rsidRPr="003C1401">
        <w:rPr>
          <w:noProof/>
        </w:rPr>
        <w:tab/>
      </w:r>
      <w:r w:rsidR="00D27BCC" w:rsidRPr="00DD1DFA">
        <w:rPr>
          <w:noProof/>
        </w:rPr>
        <w:t>dostateczną znajomość wymagań dotyczących ocen</w:t>
      </w:r>
      <w:r w:rsidR="00DD1DFA" w:rsidRPr="00DD1DFA">
        <w:rPr>
          <w:noProof/>
        </w:rPr>
        <w:t xml:space="preserve"> i</w:t>
      </w:r>
      <w:r w:rsidR="00DD1DFA">
        <w:rPr>
          <w:noProof/>
        </w:rPr>
        <w:t> </w:t>
      </w:r>
      <w:r w:rsidR="00DD1DFA" w:rsidRPr="00DD1DFA">
        <w:rPr>
          <w:noProof/>
        </w:rPr>
        <w:t>wer</w:t>
      </w:r>
      <w:r w:rsidR="00D27BCC" w:rsidRPr="00DD1DFA">
        <w:rPr>
          <w:noProof/>
        </w:rPr>
        <w:t>yfikacji, które wykonuje, oraz odpowiednie upoważnienia do wykonywania takich działań;</w:t>
      </w:r>
    </w:p>
    <w:p w14:paraId="2263DF54" w14:textId="3D7E4F5D" w:rsidR="00D27BCC" w:rsidRPr="00DD1DFA" w:rsidRDefault="003C1401" w:rsidP="003C1401">
      <w:pPr>
        <w:pStyle w:val="Point1"/>
        <w:rPr>
          <w:noProof/>
        </w:rPr>
      </w:pPr>
      <w:r w:rsidRPr="003C1401">
        <w:rPr>
          <w:noProof/>
        </w:rPr>
        <w:t>c)</w:t>
      </w:r>
      <w:r w:rsidRPr="003C1401">
        <w:rPr>
          <w:noProof/>
        </w:rPr>
        <w:tab/>
      </w:r>
      <w:r w:rsidR="00D27BCC" w:rsidRPr="00DD1DFA">
        <w:rPr>
          <w:noProof/>
        </w:rPr>
        <w:t>właściwą znajomość</w:t>
      </w:r>
      <w:r w:rsidR="00DD1DFA" w:rsidRPr="00DD1DFA">
        <w:rPr>
          <w:noProof/>
        </w:rPr>
        <w:t xml:space="preserve"> i</w:t>
      </w:r>
      <w:r w:rsidR="00DD1DFA">
        <w:rPr>
          <w:noProof/>
        </w:rPr>
        <w:t> </w:t>
      </w:r>
      <w:r w:rsidR="00DD1DFA" w:rsidRPr="00DD1DFA">
        <w:rPr>
          <w:noProof/>
        </w:rPr>
        <w:t>zro</w:t>
      </w:r>
      <w:r w:rsidR="00D27BCC" w:rsidRPr="00DD1DFA">
        <w:rPr>
          <w:noProof/>
        </w:rPr>
        <w:t>zumienie mających zastosowanie zharmonizowanych specyfikacji technicznych</w:t>
      </w:r>
      <w:r w:rsidR="00DD1DFA" w:rsidRPr="00DD1DFA">
        <w:rPr>
          <w:noProof/>
        </w:rPr>
        <w:t xml:space="preserve"> i</w:t>
      </w:r>
      <w:r w:rsidR="00DD1DFA">
        <w:rPr>
          <w:noProof/>
        </w:rPr>
        <w:t> </w:t>
      </w:r>
      <w:r w:rsidR="00DD1DFA" w:rsidRPr="00DD1DFA">
        <w:rPr>
          <w:noProof/>
        </w:rPr>
        <w:t>odp</w:t>
      </w:r>
      <w:r w:rsidR="00D27BCC" w:rsidRPr="00DD1DFA">
        <w:rPr>
          <w:noProof/>
        </w:rPr>
        <w:t>owiednich przepisów niniejszego rozporządzenia;</w:t>
      </w:r>
    </w:p>
    <w:p w14:paraId="6C7B54A2" w14:textId="0E2C0D91" w:rsidR="00D27BCC" w:rsidRPr="00DD1DFA" w:rsidRDefault="003C1401" w:rsidP="003C1401">
      <w:pPr>
        <w:pStyle w:val="Point1"/>
        <w:rPr>
          <w:noProof/>
        </w:rPr>
      </w:pPr>
      <w:r w:rsidRPr="003C1401">
        <w:rPr>
          <w:noProof/>
        </w:rPr>
        <w:t>d)</w:t>
      </w:r>
      <w:r w:rsidRPr="003C1401">
        <w:rPr>
          <w:noProof/>
        </w:rPr>
        <w:tab/>
      </w:r>
      <w:r w:rsidR="00D27BCC" w:rsidRPr="00DD1DFA">
        <w:rPr>
          <w:noProof/>
        </w:rPr>
        <w:t>umiejętności wymagane do sporządzania certyfikatów, ewidencji</w:t>
      </w:r>
      <w:r w:rsidR="00DD1DFA" w:rsidRPr="00DD1DFA">
        <w:rPr>
          <w:noProof/>
        </w:rPr>
        <w:t xml:space="preserve"> i</w:t>
      </w:r>
      <w:r w:rsidR="00DD1DFA">
        <w:rPr>
          <w:noProof/>
        </w:rPr>
        <w:t> </w:t>
      </w:r>
      <w:r w:rsidR="00DD1DFA" w:rsidRPr="00DD1DFA">
        <w:rPr>
          <w:noProof/>
        </w:rPr>
        <w:t>spr</w:t>
      </w:r>
      <w:r w:rsidR="00D27BCC" w:rsidRPr="00DD1DFA">
        <w:rPr>
          <w:noProof/>
        </w:rPr>
        <w:t>awozdań, aby wykazać, że oceny</w:t>
      </w:r>
      <w:r w:rsidR="00DD1DFA" w:rsidRPr="00DD1DFA">
        <w:rPr>
          <w:noProof/>
        </w:rPr>
        <w:t xml:space="preserve"> i</w:t>
      </w:r>
      <w:r w:rsidR="00DD1DFA">
        <w:rPr>
          <w:noProof/>
        </w:rPr>
        <w:t> </w:t>
      </w:r>
      <w:r w:rsidR="00DD1DFA" w:rsidRPr="00DD1DFA">
        <w:rPr>
          <w:noProof/>
        </w:rPr>
        <w:t>wer</w:t>
      </w:r>
      <w:r w:rsidR="00D27BCC" w:rsidRPr="00DD1DFA">
        <w:rPr>
          <w:noProof/>
        </w:rPr>
        <w:t>yfikacje zostały przeprowadzone.</w:t>
      </w:r>
    </w:p>
    <w:p w14:paraId="526AB0C1" w14:textId="377F772B" w:rsidR="00D27BCC" w:rsidRPr="00DD1DFA" w:rsidRDefault="005F7EFA" w:rsidP="005F7EFA">
      <w:pPr>
        <w:pStyle w:val="ManualNumPar1"/>
        <w:rPr>
          <w:noProof/>
        </w:rPr>
      </w:pPr>
      <w:r w:rsidRPr="005F7EFA">
        <w:t>8.</w:t>
      </w:r>
      <w:r w:rsidRPr="005F7EFA">
        <w:tab/>
      </w:r>
      <w:r w:rsidR="00D27BCC" w:rsidRPr="00DD1DFA">
        <w:rPr>
          <w:noProof/>
        </w:rPr>
        <w:t>Gwarantuje się bezstronność jednostki, jej ścisłego kierownictwa</w:t>
      </w:r>
      <w:r w:rsidR="00DD1DFA" w:rsidRPr="00DD1DFA">
        <w:rPr>
          <w:noProof/>
        </w:rPr>
        <w:t xml:space="preserve"> i</w:t>
      </w:r>
      <w:r w:rsidR="00DD1DFA">
        <w:rPr>
          <w:noProof/>
        </w:rPr>
        <w:t> </w:t>
      </w:r>
      <w:r w:rsidR="00DD1DFA" w:rsidRPr="00DD1DFA">
        <w:rPr>
          <w:noProof/>
        </w:rPr>
        <w:t>pra</w:t>
      </w:r>
      <w:r w:rsidR="00D27BCC" w:rsidRPr="00DD1DFA">
        <w:rPr>
          <w:noProof/>
        </w:rPr>
        <w:t>cowników wykonujących ocenę.</w:t>
      </w:r>
    </w:p>
    <w:p w14:paraId="620BB726" w14:textId="77777777" w:rsidR="00D27BCC" w:rsidRPr="00DD1DFA" w:rsidRDefault="00D27BCC" w:rsidP="00B06992">
      <w:pPr>
        <w:pStyle w:val="Text1"/>
        <w:rPr>
          <w:noProof/>
        </w:rPr>
      </w:pPr>
      <w:r w:rsidRPr="00DD1DFA">
        <w:rPr>
          <w:noProof/>
        </w:rPr>
        <w:t>Wynagrodzenie ścisłego kierownictwa jednostki oraz jej pracowników wykonujących ocenę nie jest zależne od liczby wykonanych ocen ani od wyników tych ocen.</w:t>
      </w:r>
    </w:p>
    <w:p w14:paraId="767E213E" w14:textId="68198E92" w:rsidR="00D27BCC" w:rsidRPr="00DD1DFA" w:rsidRDefault="005F7EFA" w:rsidP="005F7EFA">
      <w:pPr>
        <w:pStyle w:val="ManualNumPar1"/>
        <w:rPr>
          <w:noProof/>
        </w:rPr>
      </w:pPr>
      <w:r w:rsidRPr="005F7EFA">
        <w:t>9.</w:t>
      </w:r>
      <w:r w:rsidRPr="005F7EFA">
        <w:tab/>
      </w:r>
      <w:r w:rsidR="00D27BCC" w:rsidRPr="00DD1DFA">
        <w:rPr>
          <w:noProof/>
        </w:rPr>
        <w:t>Jednostka notyfikowana uzyskuje ubezpieczenie od odpowiedzialności cywilnej, chyba że zgodnie</w:t>
      </w:r>
      <w:r w:rsidR="00DD1DFA" w:rsidRPr="00DD1DFA">
        <w:rPr>
          <w:noProof/>
        </w:rPr>
        <w:t xml:space="preserve"> z</w:t>
      </w:r>
      <w:r w:rsidR="00DD1DFA">
        <w:rPr>
          <w:noProof/>
        </w:rPr>
        <w:t> </w:t>
      </w:r>
      <w:r w:rsidR="00DD1DFA" w:rsidRPr="00DD1DFA">
        <w:rPr>
          <w:noProof/>
        </w:rPr>
        <w:t>pra</w:t>
      </w:r>
      <w:r w:rsidR="00D27BCC" w:rsidRPr="00DD1DFA">
        <w:rPr>
          <w:noProof/>
        </w:rPr>
        <w:t>wem krajowym odpowiedzialność spoczywa na państwie członkowskim, lub za dokonaną ocenę lub weryfikację bezpośrednio odpowiada samo państwo członkowskie.</w:t>
      </w:r>
    </w:p>
    <w:p w14:paraId="5FCE2BB3" w14:textId="581CE8BD" w:rsidR="00D27BCC" w:rsidRPr="00DD1DFA" w:rsidRDefault="005F7EFA" w:rsidP="005F7EFA">
      <w:pPr>
        <w:pStyle w:val="ManualNumPar1"/>
        <w:rPr>
          <w:noProof/>
        </w:rPr>
      </w:pPr>
      <w:r w:rsidRPr="005F7EFA">
        <w:t>10.</w:t>
      </w:r>
      <w:r w:rsidRPr="005F7EFA">
        <w:tab/>
      </w:r>
      <w:r w:rsidR="00D27BCC" w:rsidRPr="00DD1DFA">
        <w:rPr>
          <w:noProof/>
        </w:rPr>
        <w:t>Pracownicy jednostki notyfikowanej są zobowiązani dochować tajemnicy służbowej</w:t>
      </w:r>
      <w:r w:rsidR="00DD1DFA" w:rsidRPr="00DD1DFA">
        <w:rPr>
          <w:noProof/>
        </w:rPr>
        <w:t xml:space="preserve"> w</w:t>
      </w:r>
      <w:r w:rsidR="00DD1DFA">
        <w:rPr>
          <w:noProof/>
        </w:rPr>
        <w:t> </w:t>
      </w:r>
      <w:r w:rsidR="00DD1DFA" w:rsidRPr="00DD1DFA">
        <w:rPr>
          <w:noProof/>
        </w:rPr>
        <w:t>odn</w:t>
      </w:r>
      <w:r w:rsidR="00D27BCC" w:rsidRPr="00DD1DFA">
        <w:rPr>
          <w:noProof/>
        </w:rPr>
        <w:t>iesieniu do wszystkich informacji, które uzyskują</w:t>
      </w:r>
      <w:r w:rsidR="00DD1DFA" w:rsidRPr="00DD1DFA">
        <w:rPr>
          <w:noProof/>
        </w:rPr>
        <w:t xml:space="preserve"> w</w:t>
      </w:r>
      <w:r w:rsidR="00DD1DFA">
        <w:rPr>
          <w:noProof/>
        </w:rPr>
        <w:t> </w:t>
      </w:r>
      <w:r w:rsidR="00DD1DFA" w:rsidRPr="00DD1DFA">
        <w:rPr>
          <w:noProof/>
        </w:rPr>
        <w:t>tra</w:t>
      </w:r>
      <w:r w:rsidR="00D27BCC" w:rsidRPr="00DD1DFA">
        <w:rPr>
          <w:noProof/>
        </w:rPr>
        <w:t>kcie wykonywania swoich zadań zgodnie</w:t>
      </w:r>
      <w:r w:rsidR="00DD1DFA" w:rsidRPr="00DD1DFA">
        <w:rPr>
          <w:noProof/>
        </w:rPr>
        <w:t xml:space="preserve"> z</w:t>
      </w:r>
      <w:r w:rsidR="00DD1DFA">
        <w:rPr>
          <w:noProof/>
        </w:rPr>
        <w:t> </w:t>
      </w:r>
      <w:r w:rsidR="00DD1DFA" w:rsidRPr="00DD1DFA">
        <w:rPr>
          <w:noProof/>
        </w:rPr>
        <w:t>zał</w:t>
      </w:r>
      <w:r w:rsidR="00D27BCC" w:rsidRPr="00DD1DFA">
        <w:rPr>
          <w:noProof/>
        </w:rPr>
        <w:t>ącznikiem V,</w:t>
      </w:r>
      <w:r w:rsidR="00DD1DFA" w:rsidRPr="00DD1DFA">
        <w:rPr>
          <w:noProof/>
        </w:rPr>
        <w:t xml:space="preserve"> z</w:t>
      </w:r>
      <w:r w:rsidR="00DD1DFA">
        <w:rPr>
          <w:noProof/>
        </w:rPr>
        <w:t> </w:t>
      </w:r>
      <w:r w:rsidR="00DD1DFA" w:rsidRPr="00DD1DFA">
        <w:rPr>
          <w:noProof/>
        </w:rPr>
        <w:t>wyj</w:t>
      </w:r>
      <w:r w:rsidR="00D27BCC" w:rsidRPr="00DD1DFA">
        <w:rPr>
          <w:noProof/>
        </w:rPr>
        <w:t>ątkiem dochowania tajemnicy wobec właściwych organów administracyjnych państwa członkowskiego,</w:t>
      </w:r>
      <w:r w:rsidR="00DD1DFA" w:rsidRPr="00DD1DFA">
        <w:rPr>
          <w:noProof/>
        </w:rPr>
        <w:t xml:space="preserve"> w</w:t>
      </w:r>
      <w:r w:rsidR="00DD1DFA">
        <w:rPr>
          <w:noProof/>
        </w:rPr>
        <w:t> </w:t>
      </w:r>
      <w:r w:rsidR="00DD1DFA" w:rsidRPr="00DD1DFA">
        <w:rPr>
          <w:noProof/>
        </w:rPr>
        <w:t>któ</w:t>
      </w:r>
      <w:r w:rsidR="00D27BCC" w:rsidRPr="00DD1DFA">
        <w:rPr>
          <w:noProof/>
        </w:rPr>
        <w:t>rym realizowane są jej zadania. Prawo własności podlega ochronie.</w:t>
      </w:r>
    </w:p>
    <w:p w14:paraId="036F6CB0" w14:textId="76EC08DC" w:rsidR="00BC1E12" w:rsidRPr="00DD1DFA" w:rsidRDefault="005F7EFA" w:rsidP="005F7EFA">
      <w:pPr>
        <w:pStyle w:val="ManualNumPar1"/>
        <w:rPr>
          <w:noProof/>
        </w:rPr>
      </w:pPr>
      <w:r w:rsidRPr="005F7EFA">
        <w:t>11.</w:t>
      </w:r>
      <w:r w:rsidRPr="005F7EFA">
        <w:tab/>
      </w:r>
      <w:r w:rsidR="00D27BCC" w:rsidRPr="00DD1DFA">
        <w:rPr>
          <w:noProof/>
        </w:rPr>
        <w:t>Jednostka notyfikowana zobowiązana jest zapewnić przekazanie swoim pracownikom wykonującym ocenę informacji na temat stosownych działań normalizacyjnych,</w:t>
      </w:r>
      <w:r w:rsidR="00DD1DFA" w:rsidRPr="00DD1DFA">
        <w:rPr>
          <w:noProof/>
        </w:rPr>
        <w:t xml:space="preserve"> a</w:t>
      </w:r>
      <w:r w:rsidR="00DD1DFA">
        <w:rPr>
          <w:noProof/>
        </w:rPr>
        <w:t> </w:t>
      </w:r>
      <w:r w:rsidR="00DD1DFA" w:rsidRPr="00DD1DFA">
        <w:rPr>
          <w:noProof/>
        </w:rPr>
        <w:t>tak</w:t>
      </w:r>
      <w:r w:rsidR="00D27BCC" w:rsidRPr="00DD1DFA">
        <w:rPr>
          <w:noProof/>
        </w:rPr>
        <w:t>że uczestniczyć</w:t>
      </w:r>
      <w:r w:rsidR="00DD1DFA" w:rsidRPr="00DD1DFA">
        <w:rPr>
          <w:noProof/>
        </w:rPr>
        <w:t xml:space="preserve"> w</w:t>
      </w:r>
      <w:r w:rsidR="00DD1DFA">
        <w:rPr>
          <w:noProof/>
        </w:rPr>
        <w:t> </w:t>
      </w:r>
      <w:r w:rsidR="00DD1DFA" w:rsidRPr="00DD1DFA">
        <w:rPr>
          <w:noProof/>
        </w:rPr>
        <w:t>pra</w:t>
      </w:r>
      <w:r w:rsidR="00D27BCC" w:rsidRPr="00DD1DFA">
        <w:rPr>
          <w:noProof/>
        </w:rPr>
        <w:t>cach grupy koordynującej jednostki notyfikowanej, powołanej na mocy niniejszego rozporządzenia, oraz zapewnić przekazanie swoim pracownikom wykonującym ocenę informacji na ten temat,</w:t>
      </w:r>
      <w:r w:rsidR="00DD1DFA" w:rsidRPr="00DD1DFA">
        <w:rPr>
          <w:noProof/>
        </w:rPr>
        <w:t xml:space="preserve"> a</w:t>
      </w:r>
      <w:r w:rsidR="00DD1DFA">
        <w:rPr>
          <w:noProof/>
        </w:rPr>
        <w:t> </w:t>
      </w:r>
      <w:r w:rsidR="00DD1DFA" w:rsidRPr="00DD1DFA">
        <w:rPr>
          <w:noProof/>
        </w:rPr>
        <w:t>tak</w:t>
      </w:r>
      <w:r w:rsidR="00D27BCC" w:rsidRPr="00DD1DFA">
        <w:rPr>
          <w:noProof/>
        </w:rPr>
        <w:t>że stosować decyzje administracyjne</w:t>
      </w:r>
      <w:r w:rsidR="00DD1DFA" w:rsidRPr="00DD1DFA">
        <w:rPr>
          <w:noProof/>
        </w:rPr>
        <w:t xml:space="preserve"> i</w:t>
      </w:r>
      <w:r w:rsidR="00DD1DFA">
        <w:rPr>
          <w:noProof/>
        </w:rPr>
        <w:t> </w:t>
      </w:r>
      <w:r w:rsidR="00DD1DFA" w:rsidRPr="00DD1DFA">
        <w:rPr>
          <w:noProof/>
        </w:rPr>
        <w:t>dok</w:t>
      </w:r>
      <w:r w:rsidR="00D27BCC" w:rsidRPr="00DD1DFA">
        <w:rPr>
          <w:noProof/>
        </w:rPr>
        <w:t>umenty opracowane</w:t>
      </w:r>
      <w:r w:rsidR="00DD1DFA" w:rsidRPr="00DD1DFA">
        <w:rPr>
          <w:noProof/>
        </w:rPr>
        <w:t xml:space="preserve"> w</w:t>
      </w:r>
      <w:r w:rsidR="00DD1DFA">
        <w:rPr>
          <w:noProof/>
        </w:rPr>
        <w:t> </w:t>
      </w:r>
      <w:r w:rsidR="00DD1DFA" w:rsidRPr="00DD1DFA">
        <w:rPr>
          <w:noProof/>
        </w:rPr>
        <w:t>wyn</w:t>
      </w:r>
      <w:r w:rsidR="00D27BCC" w:rsidRPr="00DD1DFA">
        <w:rPr>
          <w:noProof/>
        </w:rPr>
        <w:t>iku prac takiej grupy jako ogólne wytyczne.</w:t>
      </w:r>
    </w:p>
    <w:p w14:paraId="64A95CAC" w14:textId="77777777" w:rsidR="00BC1E12" w:rsidRPr="00DD1DFA" w:rsidRDefault="00F53F9F" w:rsidP="009D1CF5">
      <w:pPr>
        <w:pStyle w:val="Titrearticle"/>
        <w:rPr>
          <w:noProof/>
        </w:rPr>
      </w:pPr>
      <w:r w:rsidRPr="00DD1DFA">
        <w:rPr>
          <w:noProof/>
        </w:rPr>
        <w:t>Artykuł 51</w:t>
      </w:r>
    </w:p>
    <w:p w14:paraId="5055304A" w14:textId="77777777" w:rsidR="00BC1E12" w:rsidRPr="00DD1DFA" w:rsidRDefault="00BC1E12" w:rsidP="009D1CF5">
      <w:pPr>
        <w:pStyle w:val="Titrearticle"/>
        <w:rPr>
          <w:rFonts w:ascii="Calibri" w:eastAsia="Calibri" w:hAnsi="Calibri" w:cs="DejaVu Sans"/>
          <w:noProof/>
          <w:color w:val="00000A"/>
          <w:sz w:val="22"/>
        </w:rPr>
      </w:pPr>
      <w:r w:rsidRPr="00DD1DFA">
        <w:rPr>
          <w:b/>
          <w:bCs/>
          <w:noProof/>
        </w:rPr>
        <w:t>Domniemanie zgodności</w:t>
      </w:r>
    </w:p>
    <w:p w14:paraId="6F2A5FBF" w14:textId="7076D48E" w:rsidR="00BC1E12" w:rsidRPr="00DD1DFA" w:rsidRDefault="006C2512" w:rsidP="00BC1E12">
      <w:pPr>
        <w:overflowPunct w:val="0"/>
        <w:spacing w:after="0"/>
        <w:rPr>
          <w:rFonts w:eastAsia="Times New Roman"/>
          <w:noProof/>
          <w:color w:val="000000"/>
          <w:szCs w:val="24"/>
        </w:rPr>
      </w:pPr>
      <w:r w:rsidRPr="00DD1DFA">
        <w:rPr>
          <w:noProof/>
          <w:color w:val="000000"/>
        </w:rPr>
        <w:t>Jeżeli jednostka oceniająca zgodność, która ma być upoważniona do wykonywania zadań strony trzeciej</w:t>
      </w:r>
      <w:r w:rsidR="00DD1DFA" w:rsidRPr="00DD1DFA">
        <w:rPr>
          <w:noProof/>
          <w:color w:val="000000"/>
        </w:rPr>
        <w:t xml:space="preserve"> w</w:t>
      </w:r>
      <w:r w:rsidR="00DD1DFA">
        <w:rPr>
          <w:noProof/>
          <w:color w:val="000000"/>
        </w:rPr>
        <w:t> </w:t>
      </w:r>
      <w:r w:rsidR="00DD1DFA" w:rsidRPr="00DD1DFA">
        <w:rPr>
          <w:noProof/>
          <w:color w:val="000000"/>
        </w:rPr>
        <w:t>pro</w:t>
      </w:r>
      <w:r w:rsidRPr="00DD1DFA">
        <w:rPr>
          <w:noProof/>
          <w:color w:val="000000"/>
        </w:rPr>
        <w:t>cesie oceny</w:t>
      </w:r>
      <w:r w:rsidR="00DD1DFA" w:rsidRPr="00DD1DFA">
        <w:rPr>
          <w:noProof/>
          <w:color w:val="000000"/>
        </w:rPr>
        <w:t xml:space="preserve"> i</w:t>
      </w:r>
      <w:r w:rsidR="00DD1DFA">
        <w:rPr>
          <w:noProof/>
          <w:color w:val="000000"/>
        </w:rPr>
        <w:t> </w:t>
      </w:r>
      <w:r w:rsidR="00DD1DFA" w:rsidRPr="00DD1DFA">
        <w:rPr>
          <w:noProof/>
          <w:color w:val="000000"/>
        </w:rPr>
        <w:t>wer</w:t>
      </w:r>
      <w:r w:rsidRPr="00DD1DFA">
        <w:rPr>
          <w:noProof/>
          <w:color w:val="000000"/>
        </w:rPr>
        <w:t>yfikacji wykaże, że spełnia kryteria ustanowione</w:t>
      </w:r>
      <w:r w:rsidR="00DD1DFA" w:rsidRPr="00DD1DFA">
        <w:rPr>
          <w:noProof/>
          <w:color w:val="000000"/>
        </w:rPr>
        <w:t xml:space="preserve"> w</w:t>
      </w:r>
      <w:r w:rsidR="00DD1DFA">
        <w:rPr>
          <w:noProof/>
          <w:color w:val="000000"/>
        </w:rPr>
        <w:t> </w:t>
      </w:r>
      <w:r w:rsidR="00DD1DFA" w:rsidRPr="00DD1DFA">
        <w:rPr>
          <w:noProof/>
          <w:color w:val="000000"/>
        </w:rPr>
        <w:t>odp</w:t>
      </w:r>
      <w:r w:rsidRPr="00DD1DFA">
        <w:rPr>
          <w:noProof/>
          <w:color w:val="000000"/>
        </w:rPr>
        <w:t>owiednich normach zharmonizowanych lub</w:t>
      </w:r>
      <w:r w:rsidR="00DD1DFA" w:rsidRPr="00DD1DFA">
        <w:rPr>
          <w:noProof/>
          <w:color w:val="000000"/>
        </w:rPr>
        <w:t xml:space="preserve"> w</w:t>
      </w:r>
      <w:r w:rsidR="00DD1DFA">
        <w:rPr>
          <w:noProof/>
          <w:color w:val="000000"/>
        </w:rPr>
        <w:t> </w:t>
      </w:r>
      <w:r w:rsidR="00DD1DFA" w:rsidRPr="00DD1DFA">
        <w:rPr>
          <w:noProof/>
          <w:color w:val="000000"/>
        </w:rPr>
        <w:t>ich</w:t>
      </w:r>
      <w:r w:rsidRPr="00DD1DFA">
        <w:rPr>
          <w:noProof/>
          <w:color w:val="000000"/>
        </w:rPr>
        <w:t xml:space="preserve"> częściach, do których odniesienia opublikowano</w:t>
      </w:r>
      <w:r w:rsidR="00DD1DFA" w:rsidRPr="00DD1DFA">
        <w:rPr>
          <w:noProof/>
          <w:color w:val="000000"/>
        </w:rPr>
        <w:t xml:space="preserve"> w</w:t>
      </w:r>
      <w:r w:rsidR="00DD1DFA">
        <w:rPr>
          <w:noProof/>
          <w:color w:val="000000"/>
        </w:rPr>
        <w:t> </w:t>
      </w:r>
      <w:r w:rsidR="00DD1DFA" w:rsidRPr="00DD1DFA">
        <w:rPr>
          <w:i/>
          <w:noProof/>
          <w:color w:val="000000"/>
        </w:rPr>
        <w:t>Dzi</w:t>
      </w:r>
      <w:r w:rsidRPr="00DD1DFA">
        <w:rPr>
          <w:i/>
          <w:noProof/>
          <w:color w:val="000000"/>
        </w:rPr>
        <w:t>enniku Urzędowym Unii Europejskiej</w:t>
      </w:r>
      <w:r w:rsidRPr="00DD1DFA">
        <w:rPr>
          <w:noProof/>
          <w:color w:val="000000"/>
        </w:rPr>
        <w:t>, domniemywa się, że jednostka ta spełnia wymagania określone</w:t>
      </w:r>
      <w:r w:rsidR="00DD1DFA" w:rsidRPr="00DD1DFA">
        <w:rPr>
          <w:noProof/>
          <w:color w:val="000000"/>
        </w:rPr>
        <w:t xml:space="preserve"> w</w:t>
      </w:r>
      <w:r w:rsidR="00DD1DFA">
        <w:rPr>
          <w:noProof/>
          <w:color w:val="000000"/>
        </w:rPr>
        <w:t> </w:t>
      </w:r>
      <w:r w:rsidR="00DD1DFA" w:rsidRPr="00DD1DFA">
        <w:rPr>
          <w:noProof/>
          <w:color w:val="000000"/>
        </w:rPr>
        <w:t>art</w:t>
      </w:r>
      <w:r w:rsidRPr="00DD1DFA">
        <w:rPr>
          <w:noProof/>
          <w:color w:val="000000"/>
        </w:rPr>
        <w:t>.</w:t>
      </w:r>
      <w:r w:rsidR="00DD1DFA" w:rsidRPr="00DD1DFA">
        <w:rPr>
          <w:noProof/>
          <w:color w:val="000000"/>
        </w:rPr>
        <w:t> </w:t>
      </w:r>
      <w:r w:rsidRPr="00DD1DFA">
        <w:rPr>
          <w:noProof/>
          <w:color w:val="000000"/>
        </w:rPr>
        <w:t>50</w:t>
      </w:r>
      <w:r w:rsidR="00DD1DFA" w:rsidRPr="00DD1DFA">
        <w:rPr>
          <w:noProof/>
          <w:color w:val="000000"/>
        </w:rPr>
        <w:t xml:space="preserve"> w</w:t>
      </w:r>
      <w:r w:rsidR="00DD1DFA">
        <w:rPr>
          <w:noProof/>
          <w:color w:val="000000"/>
        </w:rPr>
        <w:t> </w:t>
      </w:r>
      <w:r w:rsidR="00DD1DFA" w:rsidRPr="00DD1DFA">
        <w:rPr>
          <w:noProof/>
          <w:color w:val="000000"/>
        </w:rPr>
        <w:t>zak</w:t>
      </w:r>
      <w:r w:rsidRPr="00DD1DFA">
        <w:rPr>
          <w:noProof/>
          <w:color w:val="000000"/>
        </w:rPr>
        <w:t>resie,</w:t>
      </w:r>
      <w:r w:rsidR="00DD1DFA" w:rsidRPr="00DD1DFA">
        <w:rPr>
          <w:noProof/>
          <w:color w:val="000000"/>
        </w:rPr>
        <w:t xml:space="preserve"> w</w:t>
      </w:r>
      <w:r w:rsidR="00DD1DFA">
        <w:rPr>
          <w:noProof/>
          <w:color w:val="000000"/>
        </w:rPr>
        <w:t> </w:t>
      </w:r>
      <w:r w:rsidR="00DD1DFA" w:rsidRPr="00DD1DFA">
        <w:rPr>
          <w:noProof/>
          <w:color w:val="000000"/>
        </w:rPr>
        <w:t>jak</w:t>
      </w:r>
      <w:r w:rsidRPr="00DD1DFA">
        <w:rPr>
          <w:noProof/>
          <w:color w:val="000000"/>
        </w:rPr>
        <w:t>im wymagania te są objęte mającymi zastosowanie normami zharmonizowanymi.</w:t>
      </w:r>
    </w:p>
    <w:p w14:paraId="47A80C8F" w14:textId="77777777" w:rsidR="00BC1E12" w:rsidRPr="00DD1DFA" w:rsidRDefault="00F53F9F" w:rsidP="008D74AE">
      <w:pPr>
        <w:pStyle w:val="Titrearticle"/>
        <w:rPr>
          <w:noProof/>
        </w:rPr>
      </w:pPr>
      <w:r w:rsidRPr="00DD1DFA">
        <w:rPr>
          <w:noProof/>
        </w:rPr>
        <w:t>Artykuł 52</w:t>
      </w:r>
    </w:p>
    <w:p w14:paraId="14F6B2A1" w14:textId="77777777" w:rsidR="00BC1E12" w:rsidRPr="00DD1DFA" w:rsidRDefault="00BC1E12" w:rsidP="008D74AE">
      <w:pPr>
        <w:pStyle w:val="Titrearticle"/>
        <w:rPr>
          <w:b/>
          <w:noProof/>
        </w:rPr>
      </w:pPr>
      <w:r w:rsidRPr="00DD1DFA">
        <w:rPr>
          <w:b/>
          <w:noProof/>
        </w:rPr>
        <w:t>Formalny sprzeciw</w:t>
      </w:r>
    </w:p>
    <w:p w14:paraId="572F7472" w14:textId="1F5522B5" w:rsidR="00BC1E12" w:rsidRPr="00DD1DFA" w:rsidRDefault="006C2512" w:rsidP="00BC1E12">
      <w:pPr>
        <w:overflowPunct w:val="0"/>
        <w:spacing w:after="0"/>
        <w:rPr>
          <w:rFonts w:eastAsia="Times New Roman"/>
          <w:noProof/>
          <w:color w:val="000000"/>
          <w:szCs w:val="24"/>
        </w:rPr>
      </w:pPr>
      <w:r w:rsidRPr="00DD1DFA">
        <w:rPr>
          <w:noProof/>
          <w:color w:val="000000"/>
        </w:rPr>
        <w:t>Jeżeli jedno</w:t>
      </w:r>
      <w:r w:rsidR="00DD1DFA" w:rsidRPr="00DD1DFA">
        <w:rPr>
          <w:noProof/>
          <w:color w:val="000000"/>
        </w:rPr>
        <w:t xml:space="preserve"> z</w:t>
      </w:r>
      <w:r w:rsidR="00DD1DFA">
        <w:rPr>
          <w:noProof/>
          <w:color w:val="000000"/>
        </w:rPr>
        <w:t> </w:t>
      </w:r>
      <w:r w:rsidR="00DD1DFA" w:rsidRPr="00DD1DFA">
        <w:rPr>
          <w:noProof/>
          <w:color w:val="000000"/>
        </w:rPr>
        <w:t>pań</w:t>
      </w:r>
      <w:r w:rsidRPr="00DD1DFA">
        <w:rPr>
          <w:noProof/>
          <w:color w:val="000000"/>
        </w:rPr>
        <w:t>stw członkowskich lub Komisja zgłasza formalny sprzeciw wobec norm zharmonizowanych,</w:t>
      </w:r>
      <w:r w:rsidR="00DD1DFA" w:rsidRPr="00DD1DFA">
        <w:rPr>
          <w:noProof/>
          <w:color w:val="000000"/>
        </w:rPr>
        <w:t xml:space="preserve"> o</w:t>
      </w:r>
      <w:r w:rsidR="00DD1DFA">
        <w:rPr>
          <w:noProof/>
          <w:color w:val="000000"/>
        </w:rPr>
        <w:t> </w:t>
      </w:r>
      <w:r w:rsidR="00DD1DFA" w:rsidRPr="00DD1DFA">
        <w:rPr>
          <w:noProof/>
          <w:color w:val="000000"/>
        </w:rPr>
        <w:t>któ</w:t>
      </w:r>
      <w:r w:rsidRPr="00DD1DFA">
        <w:rPr>
          <w:noProof/>
          <w:color w:val="000000"/>
        </w:rPr>
        <w:t>rych mowa</w:t>
      </w:r>
      <w:r w:rsidR="00DD1DFA" w:rsidRPr="00DD1DFA">
        <w:rPr>
          <w:noProof/>
          <w:color w:val="000000"/>
        </w:rPr>
        <w:t xml:space="preserve"> w</w:t>
      </w:r>
      <w:r w:rsidR="00DD1DFA">
        <w:rPr>
          <w:noProof/>
          <w:color w:val="000000"/>
        </w:rPr>
        <w:t> </w:t>
      </w:r>
      <w:r w:rsidR="00DD1DFA" w:rsidRPr="00DD1DFA">
        <w:rPr>
          <w:noProof/>
          <w:color w:val="000000"/>
        </w:rPr>
        <w:t>art</w:t>
      </w:r>
      <w:r w:rsidRPr="00DD1DFA">
        <w:rPr>
          <w:noProof/>
          <w:color w:val="000000"/>
        </w:rPr>
        <w:t>.</w:t>
      </w:r>
      <w:r w:rsidR="00DD1DFA" w:rsidRPr="00DD1DFA">
        <w:rPr>
          <w:noProof/>
          <w:color w:val="000000"/>
        </w:rPr>
        <w:t> </w:t>
      </w:r>
      <w:r w:rsidRPr="00DD1DFA">
        <w:rPr>
          <w:noProof/>
          <w:color w:val="000000"/>
        </w:rPr>
        <w:t>51, zastosowanie mają przepisy art.</w:t>
      </w:r>
      <w:r w:rsidR="00DD1DFA" w:rsidRPr="00DD1DFA">
        <w:rPr>
          <w:noProof/>
          <w:color w:val="000000"/>
        </w:rPr>
        <w:t> </w:t>
      </w:r>
      <w:r w:rsidRPr="00DD1DFA">
        <w:rPr>
          <w:noProof/>
          <w:color w:val="000000"/>
        </w:rPr>
        <w:t>11 rozporządzenia (UE) 1025/2012.</w:t>
      </w:r>
    </w:p>
    <w:p w14:paraId="52932ED3" w14:textId="77777777" w:rsidR="00BC1E12" w:rsidRPr="00DD1DFA" w:rsidRDefault="00F53F9F" w:rsidP="008D74AE">
      <w:pPr>
        <w:pStyle w:val="Titrearticle"/>
        <w:rPr>
          <w:noProof/>
        </w:rPr>
      </w:pPr>
      <w:r w:rsidRPr="00DD1DFA">
        <w:rPr>
          <w:noProof/>
        </w:rPr>
        <w:t>Artykuł 53</w:t>
      </w:r>
    </w:p>
    <w:p w14:paraId="737846B1" w14:textId="21DF6523" w:rsidR="00BC1E12" w:rsidRPr="00DD1DFA" w:rsidRDefault="00BC1E12" w:rsidP="008D74AE">
      <w:pPr>
        <w:pStyle w:val="Titrearticle"/>
        <w:rPr>
          <w:b/>
          <w:noProof/>
        </w:rPr>
      </w:pPr>
      <w:r w:rsidRPr="00DD1DFA">
        <w:rPr>
          <w:b/>
          <w:noProof/>
        </w:rPr>
        <w:t>Spółki zależne</w:t>
      </w:r>
      <w:r w:rsidR="00DD1DFA" w:rsidRPr="00DD1DFA">
        <w:rPr>
          <w:b/>
          <w:noProof/>
        </w:rPr>
        <w:t xml:space="preserve"> i</w:t>
      </w:r>
      <w:r w:rsidR="00DD1DFA">
        <w:rPr>
          <w:b/>
          <w:noProof/>
        </w:rPr>
        <w:t> </w:t>
      </w:r>
      <w:r w:rsidR="00DD1DFA" w:rsidRPr="00DD1DFA">
        <w:rPr>
          <w:b/>
          <w:noProof/>
        </w:rPr>
        <w:t>pod</w:t>
      </w:r>
      <w:r w:rsidRPr="00DD1DFA">
        <w:rPr>
          <w:b/>
          <w:noProof/>
        </w:rPr>
        <w:t>wykonawcy jednostek notyfikowanych</w:t>
      </w:r>
    </w:p>
    <w:p w14:paraId="683CDFAC" w14:textId="2328FFDA" w:rsidR="00BC1E12" w:rsidRPr="00DD1DFA" w:rsidRDefault="005F7EFA" w:rsidP="005F7EFA">
      <w:pPr>
        <w:pStyle w:val="ManualNumPar1"/>
        <w:rPr>
          <w:noProof/>
        </w:rPr>
      </w:pPr>
      <w:r w:rsidRPr="005F7EFA">
        <w:t>1.</w:t>
      </w:r>
      <w:r w:rsidRPr="005F7EFA">
        <w:tab/>
      </w:r>
      <w:r w:rsidR="004B768E" w:rsidRPr="00DD1DFA">
        <w:rPr>
          <w:noProof/>
        </w:rPr>
        <w:t>W przypadku gdy jednostka notyfikowana zleca określone zadania związane</w:t>
      </w:r>
      <w:r w:rsidR="00DD1DFA" w:rsidRPr="00DD1DFA">
        <w:rPr>
          <w:noProof/>
        </w:rPr>
        <w:t xml:space="preserve"> z</w:t>
      </w:r>
      <w:r w:rsidR="00DD1DFA">
        <w:rPr>
          <w:noProof/>
        </w:rPr>
        <w:t> </w:t>
      </w:r>
      <w:r w:rsidR="00DD1DFA" w:rsidRPr="00DD1DFA">
        <w:rPr>
          <w:noProof/>
        </w:rPr>
        <w:t>wyk</w:t>
      </w:r>
      <w:r w:rsidR="004B768E" w:rsidRPr="00DD1DFA">
        <w:rPr>
          <w:noProof/>
        </w:rPr>
        <w:t>onywaniem zadań strony trzeciej</w:t>
      </w:r>
      <w:r w:rsidR="00DD1DFA" w:rsidRPr="00DD1DFA">
        <w:rPr>
          <w:noProof/>
        </w:rPr>
        <w:t xml:space="preserve"> w</w:t>
      </w:r>
      <w:r w:rsidR="00DD1DFA">
        <w:rPr>
          <w:noProof/>
        </w:rPr>
        <w:t> </w:t>
      </w:r>
      <w:r w:rsidR="00DD1DFA" w:rsidRPr="00DD1DFA">
        <w:rPr>
          <w:noProof/>
        </w:rPr>
        <w:t>pro</w:t>
      </w:r>
      <w:r w:rsidR="004B768E" w:rsidRPr="00DD1DFA">
        <w:rPr>
          <w:noProof/>
        </w:rPr>
        <w:t>cesie oceny</w:t>
      </w:r>
      <w:r w:rsidR="00DD1DFA" w:rsidRPr="00DD1DFA">
        <w:rPr>
          <w:noProof/>
        </w:rPr>
        <w:t xml:space="preserve"> i</w:t>
      </w:r>
      <w:r w:rsidR="00DD1DFA">
        <w:rPr>
          <w:noProof/>
        </w:rPr>
        <w:t> </w:t>
      </w:r>
      <w:r w:rsidR="00DD1DFA" w:rsidRPr="00DD1DFA">
        <w:rPr>
          <w:noProof/>
        </w:rPr>
        <w:t>wer</w:t>
      </w:r>
      <w:r w:rsidR="004B768E" w:rsidRPr="00DD1DFA">
        <w:rPr>
          <w:noProof/>
        </w:rPr>
        <w:t>yfikacji lub gdy korzysta</w:t>
      </w:r>
      <w:r w:rsidR="00DD1DFA" w:rsidRPr="00DD1DFA">
        <w:rPr>
          <w:noProof/>
        </w:rPr>
        <w:t xml:space="preserve"> z</w:t>
      </w:r>
      <w:r w:rsidR="00DD1DFA">
        <w:rPr>
          <w:noProof/>
        </w:rPr>
        <w:t> </w:t>
      </w:r>
      <w:r w:rsidR="00DD1DFA" w:rsidRPr="00DD1DFA">
        <w:rPr>
          <w:noProof/>
        </w:rPr>
        <w:t>usł</w:t>
      </w:r>
      <w:r w:rsidR="004B768E" w:rsidRPr="00DD1DFA">
        <w:rPr>
          <w:noProof/>
        </w:rPr>
        <w:t>ug spółki zależnej, zapewnia ona spełnienie przez podwykonawcę lub spółkę zależną wymagań określonych</w:t>
      </w:r>
      <w:r w:rsidR="00DD1DFA" w:rsidRPr="00DD1DFA">
        <w:rPr>
          <w:noProof/>
        </w:rPr>
        <w:t xml:space="preserve"> w</w:t>
      </w:r>
      <w:r w:rsidR="00DD1DFA">
        <w:rPr>
          <w:noProof/>
        </w:rPr>
        <w:t> </w:t>
      </w:r>
      <w:r w:rsidR="00DD1DFA" w:rsidRPr="00DD1DFA">
        <w:rPr>
          <w:noProof/>
        </w:rPr>
        <w:t>art</w:t>
      </w:r>
      <w:r w:rsidR="004B768E" w:rsidRPr="00DD1DFA">
        <w:rPr>
          <w:noProof/>
        </w:rPr>
        <w:t>.</w:t>
      </w:r>
      <w:r w:rsidR="00DD1DFA" w:rsidRPr="00DD1DFA">
        <w:rPr>
          <w:noProof/>
        </w:rPr>
        <w:t> </w:t>
      </w:r>
      <w:r w:rsidR="004B768E" w:rsidRPr="00DD1DFA">
        <w:rPr>
          <w:noProof/>
        </w:rPr>
        <w:t>50 oraz powiadamia organ notyfikujący.</w:t>
      </w:r>
    </w:p>
    <w:p w14:paraId="025DAE91" w14:textId="46180949" w:rsidR="00BC1E12" w:rsidRPr="00DD1DFA" w:rsidRDefault="005F7EFA" w:rsidP="005F7EFA">
      <w:pPr>
        <w:pStyle w:val="ManualNumPar1"/>
        <w:rPr>
          <w:noProof/>
        </w:rPr>
      </w:pPr>
      <w:r w:rsidRPr="005F7EFA">
        <w:t>2.</w:t>
      </w:r>
      <w:r w:rsidRPr="005F7EFA">
        <w:tab/>
      </w:r>
      <w:r w:rsidR="004B768E" w:rsidRPr="00DD1DFA">
        <w:rPr>
          <w:noProof/>
        </w:rPr>
        <w:t>Jednostka notyfikowana ponosi pełną odpowiedzialność za zadania wykonywane przez podwykonawców lub spółki zależne, niezależnie od tego, gdzie mają siedzibę. Odpowiednie jednostki notyfikowane ustanawiają procedury bieżącego monitorowania kompetencji, działań</w:t>
      </w:r>
      <w:r w:rsidR="00DD1DFA" w:rsidRPr="00DD1DFA">
        <w:rPr>
          <w:noProof/>
        </w:rPr>
        <w:t xml:space="preserve"> i</w:t>
      </w:r>
      <w:r w:rsidR="00DD1DFA">
        <w:rPr>
          <w:noProof/>
        </w:rPr>
        <w:t> </w:t>
      </w:r>
      <w:r w:rsidR="00DD1DFA" w:rsidRPr="00DD1DFA">
        <w:rPr>
          <w:noProof/>
        </w:rPr>
        <w:t>wyn</w:t>
      </w:r>
      <w:r w:rsidR="004B768E" w:rsidRPr="00DD1DFA">
        <w:rPr>
          <w:noProof/>
        </w:rPr>
        <w:t>ików swoich podwykonawców lub spółek zależnych, uwzględniając strukturę kwalifikacji,</w:t>
      </w:r>
      <w:r w:rsidR="00DD1DFA" w:rsidRPr="00DD1DFA">
        <w:rPr>
          <w:noProof/>
        </w:rPr>
        <w:t xml:space="preserve"> o</w:t>
      </w:r>
      <w:r w:rsidR="00DD1DFA">
        <w:rPr>
          <w:noProof/>
        </w:rPr>
        <w:t> </w:t>
      </w:r>
      <w:r w:rsidR="00DD1DFA" w:rsidRPr="00DD1DFA">
        <w:rPr>
          <w:noProof/>
        </w:rPr>
        <w:t>któ</w:t>
      </w:r>
      <w:r w:rsidR="004B768E" w:rsidRPr="00DD1DFA">
        <w:rPr>
          <w:noProof/>
        </w:rPr>
        <w:t>rej mowa</w:t>
      </w:r>
      <w:r w:rsidR="00DD1DFA" w:rsidRPr="00DD1DFA">
        <w:rPr>
          <w:noProof/>
        </w:rPr>
        <w:t xml:space="preserve"> w</w:t>
      </w:r>
      <w:r w:rsidR="00DD1DFA">
        <w:rPr>
          <w:noProof/>
        </w:rPr>
        <w:t> </w:t>
      </w:r>
      <w:r w:rsidR="00DD1DFA" w:rsidRPr="00DD1DFA">
        <w:rPr>
          <w:noProof/>
        </w:rPr>
        <w:t>art</w:t>
      </w:r>
      <w:r w:rsidR="004B768E" w:rsidRPr="00DD1DFA">
        <w:rPr>
          <w:noProof/>
        </w:rPr>
        <w:t>.</w:t>
      </w:r>
      <w:r w:rsidR="00DD1DFA" w:rsidRPr="00DD1DFA">
        <w:rPr>
          <w:noProof/>
        </w:rPr>
        <w:t> </w:t>
      </w:r>
      <w:r w:rsidR="004B768E" w:rsidRPr="00DD1DFA">
        <w:rPr>
          <w:noProof/>
        </w:rPr>
        <w:t>50 ust.</w:t>
      </w:r>
      <w:r w:rsidR="00DD1DFA" w:rsidRPr="00DD1DFA">
        <w:rPr>
          <w:noProof/>
        </w:rPr>
        <w:t> </w:t>
      </w:r>
      <w:r w:rsidR="004B768E" w:rsidRPr="00DD1DFA">
        <w:rPr>
          <w:noProof/>
        </w:rPr>
        <w:t>6 lit.</w:t>
      </w:r>
      <w:r w:rsidR="00DD1DFA" w:rsidRPr="00DD1DFA">
        <w:rPr>
          <w:noProof/>
        </w:rPr>
        <w:t> </w:t>
      </w:r>
      <w:r w:rsidR="004B768E" w:rsidRPr="00DD1DFA">
        <w:rPr>
          <w:noProof/>
        </w:rPr>
        <w:t>b).</w:t>
      </w:r>
    </w:p>
    <w:p w14:paraId="5EFEA56C" w14:textId="0CCD969F" w:rsidR="00BC1E12" w:rsidRPr="00DD1DFA" w:rsidRDefault="005F7EFA" w:rsidP="005F7EFA">
      <w:pPr>
        <w:pStyle w:val="ManualNumPar1"/>
        <w:rPr>
          <w:noProof/>
        </w:rPr>
      </w:pPr>
      <w:r w:rsidRPr="005F7EFA">
        <w:t>3.</w:t>
      </w:r>
      <w:r w:rsidRPr="005F7EFA">
        <w:tab/>
      </w:r>
      <w:r w:rsidR="004B768E" w:rsidRPr="00DD1DFA">
        <w:rPr>
          <w:noProof/>
        </w:rPr>
        <w:t>Działalność może być zlecana lub prowadzona przez spółkę zależną wyłącznie za zgodą klienta.</w:t>
      </w:r>
    </w:p>
    <w:p w14:paraId="6A1D1BA4" w14:textId="1407DD9D" w:rsidR="00BC1E12" w:rsidRPr="00DD1DFA" w:rsidRDefault="005F7EFA" w:rsidP="005F7EFA">
      <w:pPr>
        <w:pStyle w:val="ManualNumPar1"/>
        <w:rPr>
          <w:noProof/>
        </w:rPr>
      </w:pPr>
      <w:r w:rsidRPr="005F7EFA">
        <w:t>4.</w:t>
      </w:r>
      <w:r w:rsidRPr="005F7EFA">
        <w:tab/>
      </w:r>
      <w:r w:rsidR="004B768E" w:rsidRPr="00DD1DFA">
        <w:rPr>
          <w:noProof/>
        </w:rPr>
        <w:t>Jednostka notyfikowana przechowuje do dyspozycji organu notyfikującego odpowiednie dokumenty dotyczące oceny</w:t>
      </w:r>
      <w:r w:rsidR="00DD1DFA" w:rsidRPr="00DD1DFA">
        <w:rPr>
          <w:noProof/>
        </w:rPr>
        <w:t xml:space="preserve"> i</w:t>
      </w:r>
      <w:r w:rsidR="00DD1DFA">
        <w:rPr>
          <w:noProof/>
        </w:rPr>
        <w:t> </w:t>
      </w:r>
      <w:r w:rsidR="00DD1DFA" w:rsidRPr="00DD1DFA">
        <w:rPr>
          <w:noProof/>
        </w:rPr>
        <w:t>mon</w:t>
      </w:r>
      <w:r w:rsidR="004B768E" w:rsidRPr="00DD1DFA">
        <w:rPr>
          <w:noProof/>
        </w:rPr>
        <w:t>itorowania kwalifikacji podwykonawcy lub spółki zależnej oraz zadań wykonywanych przez te strony na mocy załącznika V.</w:t>
      </w:r>
    </w:p>
    <w:p w14:paraId="79BA59A3" w14:textId="77777777" w:rsidR="00BC1E12" w:rsidRPr="00DD1DFA" w:rsidRDefault="00F53F9F" w:rsidP="008D74AE">
      <w:pPr>
        <w:pStyle w:val="Titrearticle"/>
        <w:rPr>
          <w:noProof/>
        </w:rPr>
      </w:pPr>
      <w:r w:rsidRPr="00DD1DFA">
        <w:rPr>
          <w:noProof/>
        </w:rPr>
        <w:t>Artykuł 54</w:t>
      </w:r>
    </w:p>
    <w:p w14:paraId="7D0DB41A" w14:textId="3383B434" w:rsidR="00BC1E12" w:rsidRPr="00DD1DFA" w:rsidRDefault="00BC1E12" w:rsidP="008D74AE">
      <w:pPr>
        <w:pStyle w:val="Titrearticle"/>
        <w:rPr>
          <w:b/>
          <w:noProof/>
        </w:rPr>
      </w:pPr>
      <w:r w:rsidRPr="00DD1DFA">
        <w:rPr>
          <w:b/>
          <w:noProof/>
        </w:rPr>
        <w:t>Korzystanie</w:t>
      </w:r>
      <w:r w:rsidR="00DD1DFA" w:rsidRPr="00DD1DFA">
        <w:rPr>
          <w:b/>
          <w:noProof/>
        </w:rPr>
        <w:t xml:space="preserve"> z</w:t>
      </w:r>
      <w:r w:rsidR="00DD1DFA">
        <w:rPr>
          <w:b/>
          <w:noProof/>
        </w:rPr>
        <w:t> </w:t>
      </w:r>
      <w:r w:rsidR="00DD1DFA" w:rsidRPr="00DD1DFA">
        <w:rPr>
          <w:b/>
          <w:noProof/>
        </w:rPr>
        <w:t>urz</w:t>
      </w:r>
      <w:r w:rsidRPr="00DD1DFA">
        <w:rPr>
          <w:b/>
          <w:noProof/>
        </w:rPr>
        <w:t>ądzeń poza laboratorium badawczym jednostki notyfikowanej</w:t>
      </w:r>
    </w:p>
    <w:p w14:paraId="11C34D3F" w14:textId="29434056" w:rsidR="006C2512" w:rsidRPr="00DD1DFA" w:rsidRDefault="005F7EFA" w:rsidP="005F7EFA">
      <w:pPr>
        <w:pStyle w:val="ManualNumPar1"/>
        <w:rPr>
          <w:rFonts w:ascii="Calibri" w:hAnsi="Calibri"/>
          <w:noProof/>
          <w:color w:val="00000A"/>
          <w:sz w:val="22"/>
        </w:rPr>
      </w:pPr>
      <w:r w:rsidRPr="005F7EFA">
        <w:t>1.</w:t>
      </w:r>
      <w:r w:rsidRPr="005F7EFA">
        <w:tab/>
      </w:r>
      <w:r w:rsidR="006C2512" w:rsidRPr="00DD1DFA">
        <w:rPr>
          <w:noProof/>
        </w:rPr>
        <w:t>Na wniosek producenta</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prz</w:t>
      </w:r>
      <w:r w:rsidR="006C2512" w:rsidRPr="00DD1DFA">
        <w:rPr>
          <w:noProof/>
        </w:rPr>
        <w:t>ypadku gdy jest to uzasadnione względami technicznymi, ekonomicznymi lub logistycznymi, jednostki notyfikowane mogą zdecydować</w:t>
      </w:r>
      <w:r w:rsidR="00DD1DFA" w:rsidRPr="00DD1DFA">
        <w:rPr>
          <w:noProof/>
        </w:rPr>
        <w:t xml:space="preserve"> o</w:t>
      </w:r>
      <w:r w:rsidR="00DD1DFA">
        <w:rPr>
          <w:noProof/>
        </w:rPr>
        <w:t> </w:t>
      </w:r>
      <w:r w:rsidR="00DD1DFA" w:rsidRPr="00DD1DFA">
        <w:rPr>
          <w:noProof/>
        </w:rPr>
        <w:t>prz</w:t>
      </w:r>
      <w:r w:rsidR="006C2512" w:rsidRPr="00DD1DFA">
        <w:rPr>
          <w:noProof/>
        </w:rPr>
        <w:t>eprowadzeniu badań,</w:t>
      </w:r>
      <w:r w:rsidR="00DD1DFA" w:rsidRPr="00DD1DFA">
        <w:rPr>
          <w:noProof/>
        </w:rPr>
        <w:t xml:space="preserve"> o</w:t>
      </w:r>
      <w:r w:rsidR="00DD1DFA">
        <w:rPr>
          <w:noProof/>
        </w:rPr>
        <w:t> </w:t>
      </w:r>
      <w:r w:rsidR="00DD1DFA" w:rsidRPr="00DD1DFA">
        <w:rPr>
          <w:noProof/>
        </w:rPr>
        <w:t>któ</w:t>
      </w:r>
      <w:r w:rsidR="006C2512" w:rsidRPr="00DD1DFA">
        <w:rPr>
          <w:noProof/>
        </w:rPr>
        <w:t>rych mowa</w:t>
      </w:r>
      <w:r w:rsidR="00DD1DFA" w:rsidRPr="00DD1DFA">
        <w:rPr>
          <w:noProof/>
        </w:rPr>
        <w:t xml:space="preserve"> w</w:t>
      </w:r>
      <w:r w:rsidR="00DD1DFA">
        <w:rPr>
          <w:noProof/>
        </w:rPr>
        <w:t> </w:t>
      </w:r>
      <w:r w:rsidR="00DD1DFA" w:rsidRPr="00DD1DFA">
        <w:rPr>
          <w:noProof/>
        </w:rPr>
        <w:t>zał</w:t>
      </w:r>
      <w:r w:rsidR="006C2512" w:rsidRPr="00DD1DFA">
        <w:rPr>
          <w:noProof/>
        </w:rPr>
        <w:t>ączniku V, dotyczących systemów oceny</w:t>
      </w:r>
      <w:r w:rsidR="00DD1DFA" w:rsidRPr="00DD1DFA">
        <w:rPr>
          <w:noProof/>
        </w:rPr>
        <w:t xml:space="preserve"> i</w:t>
      </w:r>
      <w:r w:rsidR="00DD1DFA">
        <w:rPr>
          <w:noProof/>
        </w:rPr>
        <w:t> </w:t>
      </w:r>
      <w:r w:rsidR="00DD1DFA" w:rsidRPr="00DD1DFA">
        <w:rPr>
          <w:noProof/>
        </w:rPr>
        <w:t>wer</w:t>
      </w:r>
      <w:r w:rsidR="006C2512" w:rsidRPr="00DD1DFA">
        <w:rPr>
          <w:noProof/>
        </w:rPr>
        <w:t>yfikacji 1+, 1</w:t>
      </w:r>
      <w:r w:rsidR="00DD1DFA" w:rsidRPr="00DD1DFA">
        <w:rPr>
          <w:noProof/>
        </w:rPr>
        <w:t xml:space="preserve"> i</w:t>
      </w:r>
      <w:r w:rsidR="00DD1DFA">
        <w:rPr>
          <w:noProof/>
        </w:rPr>
        <w:t> </w:t>
      </w:r>
      <w:r w:rsidR="00DD1DFA" w:rsidRPr="00DD1DFA">
        <w:rPr>
          <w:noProof/>
        </w:rPr>
        <w:t>3</w:t>
      </w:r>
      <w:r w:rsidR="006C2512" w:rsidRPr="00DD1DFA">
        <w:rPr>
          <w:noProof/>
        </w:rPr>
        <w:t xml:space="preserve"> lub</w:t>
      </w:r>
      <w:r w:rsidR="00DD1DFA" w:rsidRPr="00DD1DFA">
        <w:rPr>
          <w:noProof/>
        </w:rPr>
        <w:t xml:space="preserve"> o</w:t>
      </w:r>
      <w:r w:rsidR="00DD1DFA">
        <w:rPr>
          <w:noProof/>
        </w:rPr>
        <w:t> </w:t>
      </w:r>
      <w:r w:rsidR="00DD1DFA" w:rsidRPr="00DD1DFA">
        <w:rPr>
          <w:noProof/>
        </w:rPr>
        <w:t>zle</w:t>
      </w:r>
      <w:r w:rsidR="006C2512" w:rsidRPr="00DD1DFA">
        <w:rPr>
          <w:noProof/>
        </w:rPr>
        <w:t>ceniu przeprowadzenia tych badań pod ich nadzorem,</w:t>
      </w:r>
      <w:r w:rsidR="00DD1DFA" w:rsidRPr="00DD1DFA">
        <w:rPr>
          <w:noProof/>
        </w:rPr>
        <w:t xml:space="preserve"> w</w:t>
      </w:r>
      <w:r w:rsidR="00DD1DFA">
        <w:rPr>
          <w:noProof/>
        </w:rPr>
        <w:t> </w:t>
      </w:r>
      <w:r w:rsidR="00DD1DFA" w:rsidRPr="00DD1DFA">
        <w:rPr>
          <w:noProof/>
        </w:rPr>
        <w:t>zak</w:t>
      </w:r>
      <w:r w:rsidR="006C2512" w:rsidRPr="00DD1DFA">
        <w:rPr>
          <w:noProof/>
        </w:rPr>
        <w:t>ładach produkcyjnych</w:t>
      </w:r>
      <w:r w:rsidR="00DD1DFA" w:rsidRPr="00DD1DFA">
        <w:rPr>
          <w:noProof/>
        </w:rPr>
        <w:t xml:space="preserve"> z</w:t>
      </w:r>
      <w:r w:rsidR="00DD1DFA">
        <w:rPr>
          <w:noProof/>
        </w:rPr>
        <w:t> </w:t>
      </w:r>
      <w:r w:rsidR="00DD1DFA" w:rsidRPr="00DD1DFA">
        <w:rPr>
          <w:noProof/>
        </w:rPr>
        <w:t>wyk</w:t>
      </w:r>
      <w:r w:rsidR="006C2512" w:rsidRPr="00DD1DFA">
        <w:rPr>
          <w:noProof/>
        </w:rPr>
        <w:t>orzystaniem aparatury badawczej wewnętrznego laboratorium producenta, albo, za uprzednią zgodą producenta,</w:t>
      </w:r>
      <w:r w:rsidR="00DD1DFA" w:rsidRPr="00DD1DFA">
        <w:rPr>
          <w:noProof/>
        </w:rPr>
        <w:t xml:space="preserve"> w</w:t>
      </w:r>
      <w:r w:rsidR="00DD1DFA">
        <w:rPr>
          <w:noProof/>
        </w:rPr>
        <w:t> </w:t>
      </w:r>
      <w:r w:rsidR="00DD1DFA" w:rsidRPr="00DD1DFA">
        <w:rPr>
          <w:noProof/>
        </w:rPr>
        <w:t>lab</w:t>
      </w:r>
      <w:r w:rsidR="006C2512" w:rsidRPr="00DD1DFA">
        <w:rPr>
          <w:noProof/>
        </w:rPr>
        <w:t>oratorium zewnętrznym</w:t>
      </w:r>
      <w:r w:rsidR="00DD1DFA" w:rsidRPr="00DD1DFA">
        <w:rPr>
          <w:noProof/>
        </w:rPr>
        <w:t xml:space="preserve"> z</w:t>
      </w:r>
      <w:r w:rsidR="00DD1DFA">
        <w:rPr>
          <w:noProof/>
        </w:rPr>
        <w:t> </w:t>
      </w:r>
      <w:r w:rsidR="00DD1DFA" w:rsidRPr="00DD1DFA">
        <w:rPr>
          <w:noProof/>
        </w:rPr>
        <w:t>wyk</w:t>
      </w:r>
      <w:r w:rsidR="006C2512" w:rsidRPr="00DD1DFA">
        <w:rPr>
          <w:noProof/>
        </w:rPr>
        <w:t>orzystaniem aparatury badawczej tego laboratorium.</w:t>
      </w:r>
    </w:p>
    <w:p w14:paraId="0C7730D9" w14:textId="2FC8782A" w:rsidR="006C2512" w:rsidRPr="00DD1DFA" w:rsidRDefault="006C2512" w:rsidP="006C2512">
      <w:pPr>
        <w:pStyle w:val="Text1"/>
        <w:rPr>
          <w:noProof/>
        </w:rPr>
      </w:pPr>
      <w:r w:rsidRPr="00DD1DFA">
        <w:rPr>
          <w:noProof/>
        </w:rPr>
        <w:t>Jednostki notyfikowane prowadzące takie badania muszą zostać</w:t>
      </w:r>
      <w:r w:rsidR="00DD1DFA" w:rsidRPr="00DD1DFA">
        <w:rPr>
          <w:noProof/>
        </w:rPr>
        <w:t xml:space="preserve"> w</w:t>
      </w:r>
      <w:r w:rsidR="00DD1DFA">
        <w:rPr>
          <w:noProof/>
        </w:rPr>
        <w:t> </w:t>
      </w:r>
      <w:r w:rsidR="00DD1DFA" w:rsidRPr="00DD1DFA">
        <w:rPr>
          <w:noProof/>
        </w:rPr>
        <w:t>szc</w:t>
      </w:r>
      <w:r w:rsidRPr="00DD1DFA">
        <w:rPr>
          <w:noProof/>
        </w:rPr>
        <w:t>zególny sposób wyznaczone jako posiadające kompetencje umożliwiające im pracę</w:t>
      </w:r>
      <w:r w:rsidR="00DD1DFA" w:rsidRPr="00DD1DFA">
        <w:rPr>
          <w:noProof/>
        </w:rPr>
        <w:t xml:space="preserve"> z</w:t>
      </w:r>
      <w:r w:rsidR="00DD1DFA">
        <w:rPr>
          <w:noProof/>
        </w:rPr>
        <w:t> </w:t>
      </w:r>
      <w:r w:rsidR="00DD1DFA" w:rsidRPr="00DD1DFA">
        <w:rPr>
          <w:noProof/>
        </w:rPr>
        <w:t>dal</w:t>
      </w:r>
      <w:r w:rsidRPr="00DD1DFA">
        <w:rPr>
          <w:noProof/>
        </w:rPr>
        <w:t>a od ich własnych urządzeń badawczych</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tym</w:t>
      </w:r>
      <w:r w:rsidRPr="00DD1DFA">
        <w:rPr>
          <w:noProof/>
        </w:rPr>
        <w:t xml:space="preserve"> zakresie spełniają wymagania określone</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 xml:space="preserve">50. </w:t>
      </w:r>
    </w:p>
    <w:p w14:paraId="5399A8D5" w14:textId="780D1749" w:rsidR="006C2512" w:rsidRPr="00DD1DFA" w:rsidRDefault="005F7EFA" w:rsidP="005F7EFA">
      <w:pPr>
        <w:pStyle w:val="ManualNumPar1"/>
        <w:rPr>
          <w:noProof/>
        </w:rPr>
      </w:pPr>
      <w:r w:rsidRPr="005F7EFA">
        <w:t>2.</w:t>
      </w:r>
      <w:r w:rsidRPr="005F7EFA">
        <w:tab/>
      </w:r>
      <w:r w:rsidR="006C2512" w:rsidRPr="00DD1DFA">
        <w:rPr>
          <w:noProof/>
        </w:rPr>
        <w:t>Przed przeprowadzeniem badań,</w:t>
      </w:r>
      <w:r w:rsidR="00DD1DFA" w:rsidRPr="00DD1DFA">
        <w:rPr>
          <w:noProof/>
        </w:rPr>
        <w:t xml:space="preserve"> o</w:t>
      </w:r>
      <w:r w:rsidR="00DD1DFA">
        <w:rPr>
          <w:noProof/>
        </w:rPr>
        <w:t> </w:t>
      </w:r>
      <w:r w:rsidR="00DD1DFA" w:rsidRPr="00DD1DFA">
        <w:rPr>
          <w:noProof/>
        </w:rPr>
        <w:t>któ</w:t>
      </w:r>
      <w:r w:rsidR="006C2512" w:rsidRPr="00DD1DFA">
        <w:rPr>
          <w:noProof/>
        </w:rPr>
        <w:t>rych mowa</w:t>
      </w:r>
      <w:r w:rsidR="00DD1DFA" w:rsidRPr="00DD1DFA">
        <w:rPr>
          <w:noProof/>
        </w:rPr>
        <w:t xml:space="preserve"> w</w:t>
      </w:r>
      <w:r w:rsidR="00DD1DFA">
        <w:rPr>
          <w:noProof/>
        </w:rPr>
        <w:t> </w:t>
      </w:r>
      <w:r w:rsidR="00DD1DFA" w:rsidRPr="00DD1DFA">
        <w:rPr>
          <w:noProof/>
        </w:rPr>
        <w:t>ust</w:t>
      </w:r>
      <w:r w:rsidR="006C2512" w:rsidRPr="00DD1DFA">
        <w:rPr>
          <w:noProof/>
        </w:rPr>
        <w:t>.</w:t>
      </w:r>
      <w:r w:rsidR="00DD1DFA" w:rsidRPr="00DD1DFA">
        <w:rPr>
          <w:noProof/>
        </w:rPr>
        <w:t> </w:t>
      </w:r>
      <w:r w:rsidR="006C2512" w:rsidRPr="00DD1DFA">
        <w:rPr>
          <w:noProof/>
        </w:rPr>
        <w:t>1, jednostki notyfikowane sprawdzają, czy spełniono wymagania związane</w:t>
      </w:r>
      <w:r w:rsidR="00DD1DFA" w:rsidRPr="00DD1DFA">
        <w:rPr>
          <w:noProof/>
        </w:rPr>
        <w:t xml:space="preserve"> z</w:t>
      </w:r>
      <w:r w:rsidR="00DD1DFA">
        <w:rPr>
          <w:noProof/>
        </w:rPr>
        <w:t> </w:t>
      </w:r>
      <w:r w:rsidR="00DD1DFA" w:rsidRPr="00DD1DFA">
        <w:rPr>
          <w:noProof/>
        </w:rPr>
        <w:t>met</w:t>
      </w:r>
      <w:r w:rsidR="006C2512" w:rsidRPr="00DD1DFA">
        <w:rPr>
          <w:noProof/>
        </w:rPr>
        <w:t>odą badań</w:t>
      </w:r>
      <w:r w:rsidR="00DD1DFA" w:rsidRPr="00DD1DFA">
        <w:rPr>
          <w:noProof/>
        </w:rPr>
        <w:t xml:space="preserve"> i</w:t>
      </w:r>
      <w:r w:rsidR="00DD1DFA">
        <w:rPr>
          <w:noProof/>
        </w:rPr>
        <w:t> </w:t>
      </w:r>
      <w:r w:rsidR="00DD1DFA" w:rsidRPr="00DD1DFA">
        <w:rPr>
          <w:noProof/>
        </w:rPr>
        <w:t>oce</w:t>
      </w:r>
      <w:r w:rsidR="006C2512" w:rsidRPr="00DD1DFA">
        <w:rPr>
          <w:noProof/>
        </w:rPr>
        <w:t>niają, czy:</w:t>
      </w:r>
    </w:p>
    <w:p w14:paraId="48EECF77" w14:textId="2F14AB6E" w:rsidR="006C2512" w:rsidRPr="00DD1DFA" w:rsidRDefault="003C1401" w:rsidP="003C1401">
      <w:pPr>
        <w:pStyle w:val="Point1"/>
        <w:rPr>
          <w:noProof/>
        </w:rPr>
      </w:pPr>
      <w:r w:rsidRPr="003C1401">
        <w:rPr>
          <w:noProof/>
        </w:rPr>
        <w:t>a)</w:t>
      </w:r>
      <w:r w:rsidRPr="003C1401">
        <w:rPr>
          <w:noProof/>
        </w:rPr>
        <w:tab/>
      </w:r>
      <w:r w:rsidR="006C2512" w:rsidRPr="00DD1DFA">
        <w:rPr>
          <w:noProof/>
        </w:rPr>
        <w:t>aparatura badawcza jest wyposażona</w:t>
      </w:r>
      <w:r w:rsidR="00DD1DFA" w:rsidRPr="00DD1DFA">
        <w:rPr>
          <w:noProof/>
        </w:rPr>
        <w:t xml:space="preserve"> w</w:t>
      </w:r>
      <w:r w:rsidR="00DD1DFA">
        <w:rPr>
          <w:noProof/>
        </w:rPr>
        <w:t> </w:t>
      </w:r>
      <w:r w:rsidR="00DD1DFA" w:rsidRPr="00DD1DFA">
        <w:rPr>
          <w:noProof/>
        </w:rPr>
        <w:t>odp</w:t>
      </w:r>
      <w:r w:rsidR="006C2512" w:rsidRPr="00DD1DFA">
        <w:rPr>
          <w:noProof/>
        </w:rPr>
        <w:t>owiedni system wzorcowań</w:t>
      </w:r>
      <w:r w:rsidR="00DD1DFA" w:rsidRPr="00DD1DFA">
        <w:rPr>
          <w:noProof/>
        </w:rPr>
        <w:t xml:space="preserve"> i</w:t>
      </w:r>
      <w:r w:rsidR="00DD1DFA">
        <w:rPr>
          <w:noProof/>
        </w:rPr>
        <w:t> </w:t>
      </w:r>
      <w:r w:rsidR="00DD1DFA" w:rsidRPr="00DD1DFA">
        <w:rPr>
          <w:noProof/>
        </w:rPr>
        <w:t>czy</w:t>
      </w:r>
      <w:r w:rsidR="006C2512" w:rsidRPr="00DD1DFA">
        <w:rPr>
          <w:noProof/>
        </w:rPr>
        <w:t xml:space="preserve"> jest zagwarantowana spójność pomiarowa; oraz</w:t>
      </w:r>
    </w:p>
    <w:p w14:paraId="0C99EB24" w14:textId="2EF9FAFB" w:rsidR="006C2512" w:rsidRPr="00DD1DFA" w:rsidRDefault="003C1401" w:rsidP="003C1401">
      <w:pPr>
        <w:pStyle w:val="Point1"/>
        <w:rPr>
          <w:noProof/>
        </w:rPr>
      </w:pPr>
      <w:r w:rsidRPr="003C1401">
        <w:rPr>
          <w:noProof/>
        </w:rPr>
        <w:t>b)</w:t>
      </w:r>
      <w:r w:rsidRPr="003C1401">
        <w:rPr>
          <w:noProof/>
        </w:rPr>
        <w:tab/>
      </w:r>
      <w:r w:rsidR="006C2512" w:rsidRPr="00DD1DFA">
        <w:rPr>
          <w:noProof/>
        </w:rPr>
        <w:t>zagwarantowana jest jakość wyników badań.</w:t>
      </w:r>
    </w:p>
    <w:p w14:paraId="07DE6E91" w14:textId="20616D72" w:rsidR="00DA6539" w:rsidRPr="00DD1DFA" w:rsidRDefault="00335EC5" w:rsidP="006C2512">
      <w:pPr>
        <w:pStyle w:val="Text1"/>
        <w:rPr>
          <w:noProof/>
        </w:rPr>
      </w:pPr>
      <w:r w:rsidRPr="00DD1DFA">
        <w:rPr>
          <w:noProof/>
        </w:rPr>
        <w:t>Jednostki notyfikowane ponoszą pełną odpowiedzialność za całość badań,</w:t>
      </w:r>
      <w:r w:rsidR="00DD1DFA" w:rsidRPr="00DD1DFA">
        <w:rPr>
          <w:noProof/>
        </w:rPr>
        <w:t xml:space="preserve"> w</w:t>
      </w:r>
      <w:r w:rsidR="00DD1DFA">
        <w:rPr>
          <w:noProof/>
        </w:rPr>
        <w:t> </w:t>
      </w:r>
      <w:r w:rsidR="00DD1DFA" w:rsidRPr="00DD1DFA">
        <w:rPr>
          <w:noProof/>
        </w:rPr>
        <w:t>tym</w:t>
      </w:r>
      <w:r w:rsidRPr="00DD1DFA">
        <w:rPr>
          <w:noProof/>
        </w:rPr>
        <w:t xml:space="preserve"> za dokładność</w:t>
      </w:r>
      <w:r w:rsidR="00DD1DFA" w:rsidRPr="00DD1DFA">
        <w:rPr>
          <w:noProof/>
        </w:rPr>
        <w:t xml:space="preserve"> i</w:t>
      </w:r>
      <w:r w:rsidR="00DD1DFA">
        <w:rPr>
          <w:noProof/>
        </w:rPr>
        <w:t> </w:t>
      </w:r>
      <w:r w:rsidR="00DD1DFA" w:rsidRPr="00DD1DFA">
        <w:rPr>
          <w:noProof/>
        </w:rPr>
        <w:t>ide</w:t>
      </w:r>
      <w:r w:rsidRPr="00DD1DFA">
        <w:rPr>
          <w:noProof/>
        </w:rPr>
        <w:t>ntyfikowalność kalibracji</w:t>
      </w:r>
      <w:r w:rsidR="00DD1DFA" w:rsidRPr="00DD1DFA">
        <w:rPr>
          <w:noProof/>
        </w:rPr>
        <w:t xml:space="preserve"> i</w:t>
      </w:r>
      <w:r w:rsidR="00DD1DFA">
        <w:rPr>
          <w:noProof/>
        </w:rPr>
        <w:t> </w:t>
      </w:r>
      <w:r w:rsidR="00DD1DFA" w:rsidRPr="00DD1DFA">
        <w:rPr>
          <w:noProof/>
        </w:rPr>
        <w:t>pom</w:t>
      </w:r>
      <w:r w:rsidRPr="00DD1DFA">
        <w:rPr>
          <w:noProof/>
        </w:rPr>
        <w:t>iarów oraz za wiarygodność wyników badań.</w:t>
      </w:r>
    </w:p>
    <w:p w14:paraId="7B4463C6" w14:textId="77777777" w:rsidR="00BC1E12" w:rsidRPr="00DD1DFA" w:rsidRDefault="00F53F9F" w:rsidP="00B640E9">
      <w:pPr>
        <w:pStyle w:val="Titrearticle"/>
        <w:rPr>
          <w:noProof/>
        </w:rPr>
      </w:pPr>
      <w:r w:rsidRPr="00DD1DFA">
        <w:rPr>
          <w:noProof/>
        </w:rPr>
        <w:t>Artykuł 55</w:t>
      </w:r>
    </w:p>
    <w:p w14:paraId="09B49E7D" w14:textId="0EFE2723" w:rsidR="00BC1E12" w:rsidRPr="00DD1DFA" w:rsidRDefault="00BC1E12" w:rsidP="00B640E9">
      <w:pPr>
        <w:pStyle w:val="Titrearticle"/>
        <w:rPr>
          <w:b/>
          <w:noProof/>
        </w:rPr>
      </w:pPr>
      <w:r w:rsidRPr="00DD1DFA">
        <w:rPr>
          <w:b/>
          <w:noProof/>
        </w:rPr>
        <w:t>Wniosek</w:t>
      </w:r>
      <w:r w:rsidR="00DD1DFA" w:rsidRPr="00DD1DFA">
        <w:rPr>
          <w:b/>
          <w:noProof/>
        </w:rPr>
        <w:t xml:space="preserve"> o</w:t>
      </w:r>
      <w:r w:rsidR="00DD1DFA">
        <w:rPr>
          <w:b/>
          <w:noProof/>
        </w:rPr>
        <w:t> </w:t>
      </w:r>
      <w:r w:rsidR="00DD1DFA" w:rsidRPr="00DD1DFA">
        <w:rPr>
          <w:b/>
          <w:noProof/>
        </w:rPr>
        <w:t>not</w:t>
      </w:r>
      <w:r w:rsidRPr="00DD1DFA">
        <w:rPr>
          <w:b/>
          <w:noProof/>
        </w:rPr>
        <w:t>yfikację</w:t>
      </w:r>
    </w:p>
    <w:p w14:paraId="7130E91D" w14:textId="7624ACFB" w:rsidR="006C2512" w:rsidRPr="00DD1DFA" w:rsidRDefault="005F7EFA" w:rsidP="005F7EFA">
      <w:pPr>
        <w:pStyle w:val="ManualNumPar1"/>
        <w:rPr>
          <w:rFonts w:eastAsia="Times New Roman"/>
          <w:noProof/>
        </w:rPr>
      </w:pPr>
      <w:r w:rsidRPr="005F7EFA">
        <w:t>1.</w:t>
      </w:r>
      <w:r w:rsidRPr="005F7EFA">
        <w:tab/>
      </w:r>
      <w:r w:rsidR="006C2512" w:rsidRPr="00DD1DFA">
        <w:rPr>
          <w:noProof/>
        </w:rPr>
        <w:t>Jednostka, która ma być upoważniona do wykonywania zadań strony trzeciej</w:t>
      </w:r>
      <w:r w:rsidR="00DD1DFA" w:rsidRPr="00DD1DFA">
        <w:rPr>
          <w:noProof/>
        </w:rPr>
        <w:t xml:space="preserve"> w</w:t>
      </w:r>
      <w:r w:rsidR="00DD1DFA">
        <w:rPr>
          <w:noProof/>
        </w:rPr>
        <w:t> </w:t>
      </w:r>
      <w:r w:rsidR="00DD1DFA" w:rsidRPr="00DD1DFA">
        <w:rPr>
          <w:noProof/>
        </w:rPr>
        <w:t>pro</w:t>
      </w:r>
      <w:r w:rsidR="006C2512" w:rsidRPr="00DD1DFA">
        <w:rPr>
          <w:noProof/>
        </w:rPr>
        <w:t>cesie oceny</w:t>
      </w:r>
      <w:r w:rsidR="00DD1DFA" w:rsidRPr="00DD1DFA">
        <w:rPr>
          <w:noProof/>
        </w:rPr>
        <w:t xml:space="preserve"> i</w:t>
      </w:r>
      <w:r w:rsidR="00DD1DFA">
        <w:rPr>
          <w:noProof/>
        </w:rPr>
        <w:t> </w:t>
      </w:r>
      <w:r w:rsidR="00DD1DFA" w:rsidRPr="00DD1DFA">
        <w:rPr>
          <w:noProof/>
        </w:rPr>
        <w:t>wer</w:t>
      </w:r>
      <w:r w:rsidR="006C2512" w:rsidRPr="00DD1DFA">
        <w:rPr>
          <w:noProof/>
        </w:rPr>
        <w:t>yfikacji, przedkłada wniosek</w:t>
      </w:r>
      <w:r w:rsidR="00DD1DFA" w:rsidRPr="00DD1DFA">
        <w:rPr>
          <w:noProof/>
        </w:rPr>
        <w:t xml:space="preserve"> o</w:t>
      </w:r>
      <w:r w:rsidR="00DD1DFA">
        <w:rPr>
          <w:noProof/>
        </w:rPr>
        <w:t> </w:t>
      </w:r>
      <w:r w:rsidR="00DD1DFA" w:rsidRPr="00DD1DFA">
        <w:rPr>
          <w:noProof/>
        </w:rPr>
        <w:t>not</w:t>
      </w:r>
      <w:r w:rsidR="006C2512" w:rsidRPr="00DD1DFA">
        <w:rPr>
          <w:noProof/>
        </w:rPr>
        <w:t>yfikację organowi notyfikującemu państwa członkowskiego,</w:t>
      </w:r>
      <w:r w:rsidR="00DD1DFA" w:rsidRPr="00DD1DFA">
        <w:rPr>
          <w:noProof/>
        </w:rPr>
        <w:t xml:space="preserve"> w</w:t>
      </w:r>
      <w:r w:rsidR="00DD1DFA">
        <w:rPr>
          <w:noProof/>
        </w:rPr>
        <w:t> </w:t>
      </w:r>
      <w:r w:rsidR="00DD1DFA" w:rsidRPr="00DD1DFA">
        <w:rPr>
          <w:noProof/>
        </w:rPr>
        <w:t>któ</w:t>
      </w:r>
      <w:r w:rsidR="006C2512" w:rsidRPr="00DD1DFA">
        <w:rPr>
          <w:noProof/>
        </w:rPr>
        <w:t>rym ma siedzibę.</w:t>
      </w:r>
    </w:p>
    <w:p w14:paraId="7C6BF737" w14:textId="71DE3F06" w:rsidR="006C2512" w:rsidRPr="00DD1DFA" w:rsidRDefault="005F7EFA" w:rsidP="005F7EFA">
      <w:pPr>
        <w:pStyle w:val="ManualNumPar1"/>
        <w:rPr>
          <w:rFonts w:eastAsia="Times New Roman"/>
          <w:noProof/>
        </w:rPr>
      </w:pPr>
      <w:r w:rsidRPr="005F7EFA">
        <w:t>2.</w:t>
      </w:r>
      <w:r w:rsidRPr="005F7EFA">
        <w:tab/>
      </w:r>
      <w:r w:rsidR="006C2512" w:rsidRPr="00DD1DFA">
        <w:rPr>
          <w:noProof/>
        </w:rPr>
        <w:t>Do wniosku dołącza się opis działalności, która ma być wykonywana przez jednostkę, procesów oceny lub weryfikacji,</w:t>
      </w:r>
      <w:r w:rsidR="00DD1DFA" w:rsidRPr="00DD1DFA">
        <w:rPr>
          <w:noProof/>
        </w:rPr>
        <w:t xml:space="preserve"> w</w:t>
      </w:r>
      <w:r w:rsidR="00DD1DFA">
        <w:rPr>
          <w:noProof/>
        </w:rPr>
        <w:t> </w:t>
      </w:r>
      <w:r w:rsidR="00DD1DFA" w:rsidRPr="00DD1DFA">
        <w:rPr>
          <w:noProof/>
        </w:rPr>
        <w:t>odn</w:t>
      </w:r>
      <w:r w:rsidR="006C2512" w:rsidRPr="00DD1DFA">
        <w:rPr>
          <w:noProof/>
        </w:rPr>
        <w:t>iesieniu do których jednostka uważa się za kompetentną, struktury kwalifikacji,</w:t>
      </w:r>
      <w:r w:rsidR="00DD1DFA" w:rsidRPr="00DD1DFA">
        <w:rPr>
          <w:noProof/>
        </w:rPr>
        <w:t xml:space="preserve"> o</w:t>
      </w:r>
      <w:r w:rsidR="00DD1DFA">
        <w:rPr>
          <w:noProof/>
        </w:rPr>
        <w:t> </w:t>
      </w:r>
      <w:r w:rsidR="00DD1DFA" w:rsidRPr="00DD1DFA">
        <w:rPr>
          <w:noProof/>
        </w:rPr>
        <w:t>któ</w:t>
      </w:r>
      <w:r w:rsidR="006C2512" w:rsidRPr="00DD1DFA">
        <w:rPr>
          <w:noProof/>
        </w:rPr>
        <w:t>rej mowa</w:t>
      </w:r>
      <w:r w:rsidR="00DD1DFA" w:rsidRPr="00DD1DFA">
        <w:rPr>
          <w:noProof/>
        </w:rPr>
        <w:t xml:space="preserve"> w</w:t>
      </w:r>
      <w:r w:rsidR="00DD1DFA">
        <w:rPr>
          <w:noProof/>
        </w:rPr>
        <w:t> </w:t>
      </w:r>
      <w:r w:rsidR="00DD1DFA" w:rsidRPr="00DD1DFA">
        <w:rPr>
          <w:noProof/>
        </w:rPr>
        <w:t>art</w:t>
      </w:r>
      <w:r w:rsidR="006C2512" w:rsidRPr="00DD1DFA">
        <w:rPr>
          <w:noProof/>
        </w:rPr>
        <w:t>.</w:t>
      </w:r>
      <w:r w:rsidR="00DD1DFA" w:rsidRPr="00DD1DFA">
        <w:rPr>
          <w:noProof/>
        </w:rPr>
        <w:t> </w:t>
      </w:r>
      <w:r w:rsidR="006C2512" w:rsidRPr="00DD1DFA">
        <w:rPr>
          <w:noProof/>
        </w:rPr>
        <w:t>50 ust.</w:t>
      </w:r>
      <w:r w:rsidR="00DD1DFA" w:rsidRPr="00DD1DFA">
        <w:rPr>
          <w:noProof/>
        </w:rPr>
        <w:t> </w:t>
      </w:r>
      <w:r w:rsidR="006C2512" w:rsidRPr="00DD1DFA">
        <w:rPr>
          <w:noProof/>
        </w:rPr>
        <w:t>6 lit.</w:t>
      </w:r>
      <w:r w:rsidR="00DD1DFA" w:rsidRPr="00DD1DFA">
        <w:rPr>
          <w:noProof/>
        </w:rPr>
        <w:t> </w:t>
      </w:r>
      <w:r w:rsidR="006C2512" w:rsidRPr="00DD1DFA">
        <w:rPr>
          <w:noProof/>
        </w:rPr>
        <w:t>b), certyfikat akredytacji, jeżeli jednostka go posiada, wydany przez krajową jednostkę akredytującą</w:t>
      </w:r>
      <w:r w:rsidR="00DD1DFA" w:rsidRPr="00DD1DFA">
        <w:rPr>
          <w:noProof/>
        </w:rPr>
        <w:t xml:space="preserve"> w</w:t>
      </w:r>
      <w:r w:rsidR="00DD1DFA">
        <w:rPr>
          <w:noProof/>
        </w:rPr>
        <w:t> </w:t>
      </w:r>
      <w:r w:rsidR="00DD1DFA" w:rsidRPr="00DD1DFA">
        <w:rPr>
          <w:noProof/>
        </w:rPr>
        <w:t>roz</w:t>
      </w:r>
      <w:r w:rsidR="006C2512" w:rsidRPr="00DD1DFA">
        <w:rPr>
          <w:noProof/>
        </w:rPr>
        <w:t>umieniu rozporządzenia (WE) nr</w:t>
      </w:r>
      <w:r w:rsidR="00DD1DFA" w:rsidRPr="00DD1DFA">
        <w:rPr>
          <w:noProof/>
        </w:rPr>
        <w:t> </w:t>
      </w:r>
      <w:r w:rsidR="006C2512" w:rsidRPr="00DD1DFA">
        <w:rPr>
          <w:noProof/>
        </w:rPr>
        <w:t>765/2008, poświadczający, że jednostka spełnia wymagania określone</w:t>
      </w:r>
      <w:r w:rsidR="00DD1DFA" w:rsidRPr="00DD1DFA">
        <w:rPr>
          <w:noProof/>
        </w:rPr>
        <w:t xml:space="preserve"> w</w:t>
      </w:r>
      <w:r w:rsidR="00DD1DFA">
        <w:rPr>
          <w:noProof/>
        </w:rPr>
        <w:t> </w:t>
      </w:r>
      <w:r w:rsidR="00DD1DFA" w:rsidRPr="00DD1DFA">
        <w:rPr>
          <w:noProof/>
        </w:rPr>
        <w:t>art</w:t>
      </w:r>
      <w:r w:rsidR="006C2512" w:rsidRPr="00DD1DFA">
        <w:rPr>
          <w:noProof/>
        </w:rPr>
        <w:t>.</w:t>
      </w:r>
      <w:r w:rsidR="00DD1DFA" w:rsidRPr="00DD1DFA">
        <w:rPr>
          <w:noProof/>
        </w:rPr>
        <w:t> </w:t>
      </w:r>
      <w:r w:rsidR="006C2512" w:rsidRPr="00DD1DFA">
        <w:rPr>
          <w:noProof/>
        </w:rPr>
        <w:t>50. Certyfikat akredytacji odnosi się wyłącznie do określonej jednostki oceniającej zgodność, która ubiega się</w:t>
      </w:r>
      <w:r w:rsidR="00DD1DFA" w:rsidRPr="00DD1DFA">
        <w:rPr>
          <w:noProof/>
        </w:rPr>
        <w:t xml:space="preserve"> o</w:t>
      </w:r>
      <w:r w:rsidR="00DD1DFA">
        <w:rPr>
          <w:noProof/>
        </w:rPr>
        <w:t> </w:t>
      </w:r>
      <w:r w:rsidR="00DD1DFA" w:rsidRPr="00DD1DFA">
        <w:rPr>
          <w:noProof/>
        </w:rPr>
        <w:t>not</w:t>
      </w:r>
      <w:r w:rsidR="006C2512" w:rsidRPr="00DD1DFA">
        <w:rPr>
          <w:noProof/>
        </w:rPr>
        <w:t>yfikację,</w:t>
      </w:r>
      <w:r w:rsidR="00DD1DFA" w:rsidRPr="00DD1DFA">
        <w:rPr>
          <w:noProof/>
        </w:rPr>
        <w:t xml:space="preserve"> i</w:t>
      </w:r>
      <w:r w:rsidR="00DD1DFA">
        <w:rPr>
          <w:noProof/>
        </w:rPr>
        <w:t> </w:t>
      </w:r>
      <w:r w:rsidR="00DD1DFA" w:rsidRPr="00DD1DFA">
        <w:rPr>
          <w:noProof/>
        </w:rPr>
        <w:t>nie</w:t>
      </w:r>
      <w:r w:rsidR="006C2512" w:rsidRPr="00DD1DFA">
        <w:rPr>
          <w:noProof/>
        </w:rPr>
        <w:t xml:space="preserve"> uwzględnia potencjału ani personelu spółek dominujących czy spółek-sióstr. Certyfikat akredytacji powinien opierać się, oprócz odpowiednich norm zharmonizowanych, na specyficznych wymaganiach</w:t>
      </w:r>
      <w:r w:rsidR="00DD1DFA" w:rsidRPr="00DD1DFA">
        <w:rPr>
          <w:noProof/>
        </w:rPr>
        <w:t xml:space="preserve"> i</w:t>
      </w:r>
      <w:r w:rsidR="00DD1DFA">
        <w:rPr>
          <w:noProof/>
        </w:rPr>
        <w:t> </w:t>
      </w:r>
      <w:r w:rsidR="00DD1DFA" w:rsidRPr="00DD1DFA">
        <w:rPr>
          <w:noProof/>
        </w:rPr>
        <w:t>zad</w:t>
      </w:r>
      <w:r w:rsidR="006C2512" w:rsidRPr="00DD1DFA">
        <w:rPr>
          <w:noProof/>
        </w:rPr>
        <w:t>aniach związanych</w:t>
      </w:r>
      <w:r w:rsidR="00DD1DFA" w:rsidRPr="00DD1DFA">
        <w:rPr>
          <w:noProof/>
        </w:rPr>
        <w:t xml:space="preserve"> z</w:t>
      </w:r>
      <w:r w:rsidR="00DD1DFA">
        <w:rPr>
          <w:noProof/>
        </w:rPr>
        <w:t> </w:t>
      </w:r>
      <w:r w:rsidR="00DD1DFA" w:rsidRPr="00DD1DFA">
        <w:rPr>
          <w:noProof/>
        </w:rPr>
        <w:t>oce</w:t>
      </w:r>
      <w:r w:rsidR="006C2512" w:rsidRPr="00DD1DFA">
        <w:rPr>
          <w:noProof/>
        </w:rPr>
        <w:t>ną.</w:t>
      </w:r>
    </w:p>
    <w:p w14:paraId="54F7F895" w14:textId="18683C4E" w:rsidR="00BC1E12" w:rsidRPr="00DD1DFA" w:rsidRDefault="005F7EFA" w:rsidP="005F7EFA">
      <w:pPr>
        <w:pStyle w:val="ManualNumPar1"/>
        <w:rPr>
          <w:rFonts w:eastAsia="Times New Roman"/>
          <w:noProof/>
        </w:rPr>
      </w:pPr>
      <w:r w:rsidRPr="005F7EFA">
        <w:t>3.</w:t>
      </w:r>
      <w:r w:rsidRPr="005F7EFA">
        <w:tab/>
      </w:r>
      <w:r w:rsidR="006C2512" w:rsidRPr="00DD1DFA">
        <w:rPr>
          <w:noProof/>
        </w:rPr>
        <w:t>Jeżeli dana jednostka nie może dostarczyć certyfikatu akredytacji, przedkłada ona organowi notyfikującemu wszelkie dokumenty konieczne do sprawdzenia, uznania</w:t>
      </w:r>
      <w:r w:rsidR="00DD1DFA" w:rsidRPr="00DD1DFA">
        <w:rPr>
          <w:noProof/>
        </w:rPr>
        <w:t xml:space="preserve"> i</w:t>
      </w:r>
      <w:r w:rsidR="00DD1DFA">
        <w:rPr>
          <w:noProof/>
        </w:rPr>
        <w:t> </w:t>
      </w:r>
      <w:r w:rsidR="00DD1DFA" w:rsidRPr="00DD1DFA">
        <w:rPr>
          <w:noProof/>
        </w:rPr>
        <w:t>reg</w:t>
      </w:r>
      <w:r w:rsidR="006C2512" w:rsidRPr="00DD1DFA">
        <w:rPr>
          <w:noProof/>
        </w:rPr>
        <w:t>ularnego nadzorowania jej zgodności</w:t>
      </w:r>
      <w:r w:rsidR="00DD1DFA" w:rsidRPr="00DD1DFA">
        <w:rPr>
          <w:noProof/>
        </w:rPr>
        <w:t xml:space="preserve"> z</w:t>
      </w:r>
      <w:r w:rsidR="00DD1DFA">
        <w:rPr>
          <w:noProof/>
        </w:rPr>
        <w:t> </w:t>
      </w:r>
      <w:r w:rsidR="00DD1DFA" w:rsidRPr="00DD1DFA">
        <w:rPr>
          <w:noProof/>
        </w:rPr>
        <w:t>wym</w:t>
      </w:r>
      <w:r w:rsidR="006C2512" w:rsidRPr="00DD1DFA">
        <w:rPr>
          <w:noProof/>
        </w:rPr>
        <w:t>aganiami określonymi</w:t>
      </w:r>
      <w:r w:rsidR="00DD1DFA" w:rsidRPr="00DD1DFA">
        <w:rPr>
          <w:noProof/>
        </w:rPr>
        <w:t xml:space="preserve"> w</w:t>
      </w:r>
      <w:r w:rsidR="00DD1DFA">
        <w:rPr>
          <w:noProof/>
        </w:rPr>
        <w:t> </w:t>
      </w:r>
      <w:r w:rsidR="00DD1DFA" w:rsidRPr="00DD1DFA">
        <w:rPr>
          <w:noProof/>
        </w:rPr>
        <w:t>art</w:t>
      </w:r>
      <w:r w:rsidR="006C2512" w:rsidRPr="00DD1DFA">
        <w:rPr>
          <w:noProof/>
        </w:rPr>
        <w:t>.</w:t>
      </w:r>
      <w:r w:rsidR="00DD1DFA" w:rsidRPr="00DD1DFA">
        <w:rPr>
          <w:noProof/>
        </w:rPr>
        <w:t> </w:t>
      </w:r>
      <w:r w:rsidR="006C2512" w:rsidRPr="00DD1DFA">
        <w:rPr>
          <w:noProof/>
        </w:rPr>
        <w:t>50.</w:t>
      </w:r>
    </w:p>
    <w:p w14:paraId="480852DB" w14:textId="77777777" w:rsidR="00BC1E12" w:rsidRPr="00DD1DFA" w:rsidRDefault="00F53F9F" w:rsidP="00B640E9">
      <w:pPr>
        <w:pStyle w:val="Titrearticle"/>
        <w:rPr>
          <w:noProof/>
        </w:rPr>
      </w:pPr>
      <w:r w:rsidRPr="00DD1DFA">
        <w:rPr>
          <w:noProof/>
        </w:rPr>
        <w:t>Artykuł 56</w:t>
      </w:r>
    </w:p>
    <w:p w14:paraId="025F7687" w14:textId="77777777" w:rsidR="00BC1E12" w:rsidRPr="00DD1DFA" w:rsidRDefault="00BC1E12" w:rsidP="00B640E9">
      <w:pPr>
        <w:pStyle w:val="Titrearticle"/>
        <w:rPr>
          <w:b/>
          <w:noProof/>
        </w:rPr>
      </w:pPr>
      <w:r w:rsidRPr="00DD1DFA">
        <w:rPr>
          <w:b/>
          <w:noProof/>
        </w:rPr>
        <w:t>Procedura notyfikacji</w:t>
      </w:r>
    </w:p>
    <w:p w14:paraId="2352B9CA" w14:textId="0348BC30" w:rsidR="006C2512" w:rsidRPr="00DD1DFA" w:rsidRDefault="005F7EFA" w:rsidP="005F7EFA">
      <w:pPr>
        <w:pStyle w:val="ManualNumPar1"/>
        <w:rPr>
          <w:rFonts w:eastAsia="Times New Roman"/>
          <w:noProof/>
          <w:szCs w:val="24"/>
        </w:rPr>
      </w:pPr>
      <w:r w:rsidRPr="005F7EFA">
        <w:t>1.</w:t>
      </w:r>
      <w:r w:rsidRPr="005F7EFA">
        <w:tab/>
      </w:r>
      <w:r w:rsidR="006C2512" w:rsidRPr="00DD1DFA">
        <w:rPr>
          <w:noProof/>
        </w:rPr>
        <w:t>Organy notyfikujące mogą notyfikować wyłącznie jednostki, które spełniają wymagania określone</w:t>
      </w:r>
      <w:r w:rsidR="00DD1DFA" w:rsidRPr="00DD1DFA">
        <w:rPr>
          <w:noProof/>
        </w:rPr>
        <w:t xml:space="preserve"> w</w:t>
      </w:r>
      <w:r w:rsidR="00DD1DFA">
        <w:rPr>
          <w:noProof/>
        </w:rPr>
        <w:t> </w:t>
      </w:r>
      <w:r w:rsidR="00DD1DFA" w:rsidRPr="00DD1DFA">
        <w:rPr>
          <w:noProof/>
        </w:rPr>
        <w:t>art</w:t>
      </w:r>
      <w:r w:rsidR="006C2512" w:rsidRPr="00DD1DFA">
        <w:rPr>
          <w:noProof/>
        </w:rPr>
        <w:t>.</w:t>
      </w:r>
      <w:r w:rsidR="00DD1DFA" w:rsidRPr="00DD1DFA">
        <w:rPr>
          <w:noProof/>
        </w:rPr>
        <w:t> </w:t>
      </w:r>
      <w:r w:rsidR="006C2512" w:rsidRPr="00DD1DFA">
        <w:rPr>
          <w:noProof/>
        </w:rPr>
        <w:t>50.</w:t>
      </w:r>
    </w:p>
    <w:p w14:paraId="37AE3C53" w14:textId="7E7C57FF" w:rsidR="006C2512" w:rsidRPr="00DD1DFA" w:rsidRDefault="005F7EFA" w:rsidP="005F7EFA">
      <w:pPr>
        <w:pStyle w:val="ManualNumPar1"/>
        <w:rPr>
          <w:noProof/>
        </w:rPr>
      </w:pPr>
      <w:r w:rsidRPr="005F7EFA">
        <w:t>2.</w:t>
      </w:r>
      <w:r w:rsidRPr="005F7EFA">
        <w:tab/>
      </w:r>
      <w:r w:rsidR="006C2512" w:rsidRPr="00DD1DFA">
        <w:rPr>
          <w:noProof/>
        </w:rPr>
        <w:t>Notyfikują one te jednostki Komisji</w:t>
      </w:r>
      <w:r w:rsidR="00DD1DFA" w:rsidRPr="00DD1DFA">
        <w:rPr>
          <w:noProof/>
        </w:rPr>
        <w:t xml:space="preserve"> i</w:t>
      </w:r>
      <w:r w:rsidR="00DD1DFA">
        <w:rPr>
          <w:noProof/>
        </w:rPr>
        <w:t> </w:t>
      </w:r>
      <w:r w:rsidR="00DD1DFA" w:rsidRPr="00DD1DFA">
        <w:rPr>
          <w:noProof/>
        </w:rPr>
        <w:t>poz</w:t>
      </w:r>
      <w:r w:rsidR="006C2512" w:rsidRPr="00DD1DFA">
        <w:rPr>
          <w:noProof/>
        </w:rPr>
        <w:t>ostałym państwom członkowskim, stosując do tego celu</w:t>
      </w:r>
      <w:r w:rsidR="00DD1DFA" w:rsidRPr="00DD1DFA">
        <w:rPr>
          <w:noProof/>
        </w:rPr>
        <w:t xml:space="preserve"> w</w:t>
      </w:r>
      <w:r w:rsidR="00DD1DFA">
        <w:rPr>
          <w:noProof/>
        </w:rPr>
        <w:t> </w:t>
      </w:r>
      <w:r w:rsidR="00DD1DFA" w:rsidRPr="00DD1DFA">
        <w:rPr>
          <w:noProof/>
        </w:rPr>
        <w:t>szc</w:t>
      </w:r>
      <w:r w:rsidR="006C2512" w:rsidRPr="00DD1DFA">
        <w:rPr>
          <w:noProof/>
        </w:rPr>
        <w:t>zególności specjalne narzędzie elektroniczne opracowane</w:t>
      </w:r>
      <w:r w:rsidR="00DD1DFA" w:rsidRPr="00DD1DFA">
        <w:rPr>
          <w:noProof/>
        </w:rPr>
        <w:t xml:space="preserve"> i</w:t>
      </w:r>
      <w:r w:rsidR="00DD1DFA">
        <w:rPr>
          <w:noProof/>
        </w:rPr>
        <w:t> </w:t>
      </w:r>
      <w:r w:rsidR="00DD1DFA" w:rsidRPr="00DD1DFA">
        <w:rPr>
          <w:noProof/>
        </w:rPr>
        <w:t>zar</w:t>
      </w:r>
      <w:r w:rsidR="006C2512" w:rsidRPr="00DD1DFA">
        <w:rPr>
          <w:noProof/>
        </w:rPr>
        <w:t>ządzane przez Komisję.</w:t>
      </w:r>
    </w:p>
    <w:p w14:paraId="324D00A3" w14:textId="43C90A6D" w:rsidR="006C2512" w:rsidRPr="00DD1DFA" w:rsidRDefault="006C2512" w:rsidP="006C2512">
      <w:pPr>
        <w:pStyle w:val="Text1"/>
        <w:rPr>
          <w:noProof/>
        </w:rPr>
      </w:pPr>
      <w:r w:rsidRPr="00DD1DFA">
        <w:rPr>
          <w:noProof/>
        </w:rPr>
        <w:t>W drodze wyjątku,</w:t>
      </w:r>
      <w:r w:rsidR="00DD1DFA" w:rsidRPr="00DD1DFA">
        <w:rPr>
          <w:noProof/>
        </w:rPr>
        <w:t xml:space="preserve"> w</w:t>
      </w:r>
      <w:r w:rsidR="00DD1DFA">
        <w:rPr>
          <w:noProof/>
        </w:rPr>
        <w:t> </w:t>
      </w:r>
      <w:r w:rsidR="00DD1DFA" w:rsidRPr="00DD1DFA">
        <w:rPr>
          <w:noProof/>
        </w:rPr>
        <w:t>prz</w:t>
      </w:r>
      <w:r w:rsidRPr="00DD1DFA">
        <w:rPr>
          <w:noProof/>
        </w:rPr>
        <w:t>ypadkach określonych</w:t>
      </w:r>
      <w:r w:rsidR="00DD1DFA" w:rsidRPr="00DD1DFA">
        <w:rPr>
          <w:noProof/>
        </w:rPr>
        <w:t xml:space="preserve"> w</w:t>
      </w:r>
      <w:r w:rsidR="00DD1DFA">
        <w:rPr>
          <w:noProof/>
        </w:rPr>
        <w:t> </w:t>
      </w:r>
      <w:r w:rsidR="00DD1DFA" w:rsidRPr="00DD1DFA">
        <w:rPr>
          <w:noProof/>
        </w:rPr>
        <w:t>zał</w:t>
      </w:r>
      <w:r w:rsidRPr="00DD1DFA">
        <w:rPr>
          <w:noProof/>
        </w:rPr>
        <w:t>ączniku VI, dla których nie jest dostępne odpowiednie narzędzie elektroniczne, dopuszcza się dokonywanie notyfikacji</w:t>
      </w:r>
      <w:r w:rsidR="00DD1DFA" w:rsidRPr="00DD1DFA">
        <w:rPr>
          <w:noProof/>
        </w:rPr>
        <w:t xml:space="preserve"> w</w:t>
      </w:r>
      <w:r w:rsidR="00DD1DFA">
        <w:rPr>
          <w:noProof/>
        </w:rPr>
        <w:t> </w:t>
      </w:r>
      <w:r w:rsidR="00DD1DFA" w:rsidRPr="00DD1DFA">
        <w:rPr>
          <w:noProof/>
        </w:rPr>
        <w:t>wer</w:t>
      </w:r>
      <w:r w:rsidRPr="00DD1DFA">
        <w:rPr>
          <w:noProof/>
        </w:rPr>
        <w:t>sji drukowanej.</w:t>
      </w:r>
    </w:p>
    <w:p w14:paraId="4F1E47CD" w14:textId="5D28BA34" w:rsidR="006C2512" w:rsidRPr="00DD1DFA" w:rsidRDefault="005F7EFA" w:rsidP="005F7EFA">
      <w:pPr>
        <w:pStyle w:val="ManualNumPar1"/>
        <w:rPr>
          <w:noProof/>
        </w:rPr>
      </w:pPr>
      <w:r w:rsidRPr="005F7EFA">
        <w:t>3.</w:t>
      </w:r>
      <w:r w:rsidRPr="005F7EFA">
        <w:tab/>
      </w:r>
      <w:r w:rsidR="006C2512" w:rsidRPr="00DD1DFA">
        <w:rPr>
          <w:noProof/>
        </w:rPr>
        <w:t>Notyfikacja zawiera pełne szczegółowe dane dotyczące funkcji, które ma pełnić dana jednostka, odniesienie do odpowiedniej zharmonizowanej specyfikacji technicznej oraz, do celów systemu przewidzianego</w:t>
      </w:r>
      <w:r w:rsidR="00DD1DFA" w:rsidRPr="00DD1DFA">
        <w:rPr>
          <w:noProof/>
        </w:rPr>
        <w:t xml:space="preserve"> w</w:t>
      </w:r>
      <w:r w:rsidR="00DD1DFA">
        <w:rPr>
          <w:noProof/>
        </w:rPr>
        <w:t> </w:t>
      </w:r>
      <w:r w:rsidR="00DD1DFA" w:rsidRPr="00DD1DFA">
        <w:rPr>
          <w:noProof/>
        </w:rPr>
        <w:t>zał</w:t>
      </w:r>
      <w:r w:rsidR="006C2512" w:rsidRPr="00DD1DFA">
        <w:rPr>
          <w:noProof/>
        </w:rPr>
        <w:t>ączniku V, zasadnicze charakterystyki,</w:t>
      </w:r>
      <w:r w:rsidR="00DD1DFA" w:rsidRPr="00DD1DFA">
        <w:rPr>
          <w:noProof/>
        </w:rPr>
        <w:t xml:space="preserve"> w</w:t>
      </w:r>
      <w:r w:rsidR="00DD1DFA">
        <w:rPr>
          <w:noProof/>
        </w:rPr>
        <w:t> </w:t>
      </w:r>
      <w:r w:rsidR="00DD1DFA" w:rsidRPr="00DD1DFA">
        <w:rPr>
          <w:noProof/>
        </w:rPr>
        <w:t>odn</w:t>
      </w:r>
      <w:r w:rsidR="006C2512" w:rsidRPr="00DD1DFA">
        <w:rPr>
          <w:noProof/>
        </w:rPr>
        <w:t>iesieniu do których jednostka jest kompetentna.</w:t>
      </w:r>
    </w:p>
    <w:p w14:paraId="57B57477" w14:textId="42F7CE6E" w:rsidR="006C2512" w:rsidRPr="00DD1DFA" w:rsidRDefault="006C2512" w:rsidP="006C2512">
      <w:pPr>
        <w:pStyle w:val="Text1"/>
        <w:rPr>
          <w:noProof/>
        </w:rPr>
      </w:pPr>
      <w:r w:rsidRPr="00DD1DFA">
        <w:rPr>
          <w:noProof/>
        </w:rPr>
        <w:t>Odniesienie do odpowiedniej zharmonizowanej specyfikacji technicznej nie jest jednak wymagane</w:t>
      </w:r>
      <w:r w:rsidR="00DD1DFA" w:rsidRPr="00DD1DFA">
        <w:rPr>
          <w:noProof/>
        </w:rPr>
        <w:t xml:space="preserve"> w</w:t>
      </w:r>
      <w:r w:rsidR="00DD1DFA">
        <w:rPr>
          <w:noProof/>
        </w:rPr>
        <w:t> </w:t>
      </w:r>
      <w:r w:rsidR="00DD1DFA" w:rsidRPr="00DD1DFA">
        <w:rPr>
          <w:noProof/>
        </w:rPr>
        <w:t>prz</w:t>
      </w:r>
      <w:r w:rsidRPr="00DD1DFA">
        <w:rPr>
          <w:noProof/>
        </w:rPr>
        <w:t>ypadkach określonych</w:t>
      </w:r>
      <w:r w:rsidR="00DD1DFA" w:rsidRPr="00DD1DFA">
        <w:rPr>
          <w:noProof/>
        </w:rPr>
        <w:t xml:space="preserve"> w</w:t>
      </w:r>
      <w:r w:rsidR="00DD1DFA">
        <w:rPr>
          <w:noProof/>
        </w:rPr>
        <w:t> </w:t>
      </w:r>
      <w:r w:rsidR="00DD1DFA" w:rsidRPr="00DD1DFA">
        <w:rPr>
          <w:noProof/>
        </w:rPr>
        <w:t>zał</w:t>
      </w:r>
      <w:r w:rsidRPr="00DD1DFA">
        <w:rPr>
          <w:noProof/>
        </w:rPr>
        <w:t>ączniku VI.</w:t>
      </w:r>
    </w:p>
    <w:p w14:paraId="6741CFC5" w14:textId="23B4763D" w:rsidR="006C2512" w:rsidRPr="00DD1DFA" w:rsidRDefault="005F7EFA" w:rsidP="005F7EFA">
      <w:pPr>
        <w:pStyle w:val="ManualNumPar1"/>
        <w:rPr>
          <w:noProof/>
        </w:rPr>
      </w:pPr>
      <w:r w:rsidRPr="005F7EFA">
        <w:t>4.</w:t>
      </w:r>
      <w:r w:rsidRPr="005F7EFA">
        <w:tab/>
      </w:r>
      <w:r w:rsidR="006C2512" w:rsidRPr="00DD1DFA">
        <w:rPr>
          <w:noProof/>
        </w:rPr>
        <w:t>W przypadku gdy podstawy notyfikacji nie stanowi certyfikat akredytacji,</w:t>
      </w:r>
      <w:r w:rsidR="00DD1DFA" w:rsidRPr="00DD1DFA">
        <w:rPr>
          <w:noProof/>
        </w:rPr>
        <w:t xml:space="preserve"> o</w:t>
      </w:r>
      <w:r w:rsidR="00DD1DFA">
        <w:rPr>
          <w:noProof/>
        </w:rPr>
        <w:t> </w:t>
      </w:r>
      <w:r w:rsidR="00DD1DFA" w:rsidRPr="00DD1DFA">
        <w:rPr>
          <w:noProof/>
        </w:rPr>
        <w:t>któ</w:t>
      </w:r>
      <w:r w:rsidR="006C2512" w:rsidRPr="00DD1DFA">
        <w:rPr>
          <w:noProof/>
        </w:rPr>
        <w:t>rym mowa</w:t>
      </w:r>
      <w:r w:rsidR="00DD1DFA" w:rsidRPr="00DD1DFA">
        <w:rPr>
          <w:noProof/>
        </w:rPr>
        <w:t xml:space="preserve"> w</w:t>
      </w:r>
      <w:r w:rsidR="00DD1DFA">
        <w:rPr>
          <w:noProof/>
        </w:rPr>
        <w:t> </w:t>
      </w:r>
      <w:r w:rsidR="00DD1DFA" w:rsidRPr="00DD1DFA">
        <w:rPr>
          <w:noProof/>
        </w:rPr>
        <w:t>art</w:t>
      </w:r>
      <w:r w:rsidR="006C2512" w:rsidRPr="00DD1DFA">
        <w:rPr>
          <w:noProof/>
        </w:rPr>
        <w:t>.</w:t>
      </w:r>
      <w:r w:rsidR="00DD1DFA" w:rsidRPr="00DD1DFA">
        <w:rPr>
          <w:noProof/>
        </w:rPr>
        <w:t> </w:t>
      </w:r>
      <w:r w:rsidR="006C2512" w:rsidRPr="00DD1DFA">
        <w:rPr>
          <w:noProof/>
        </w:rPr>
        <w:t>55 ust.</w:t>
      </w:r>
      <w:r w:rsidR="00DD1DFA" w:rsidRPr="00DD1DFA">
        <w:rPr>
          <w:noProof/>
        </w:rPr>
        <w:t> </w:t>
      </w:r>
      <w:r w:rsidR="006C2512" w:rsidRPr="00DD1DFA">
        <w:rPr>
          <w:noProof/>
        </w:rPr>
        <w:t>2, organ notyfikujący przedkłada Komisji</w:t>
      </w:r>
      <w:r w:rsidR="00DD1DFA" w:rsidRPr="00DD1DFA">
        <w:rPr>
          <w:noProof/>
        </w:rPr>
        <w:t xml:space="preserve"> i</w:t>
      </w:r>
      <w:r w:rsidR="00DD1DFA">
        <w:rPr>
          <w:noProof/>
        </w:rPr>
        <w:t> </w:t>
      </w:r>
      <w:r w:rsidR="00DD1DFA" w:rsidRPr="00DD1DFA">
        <w:rPr>
          <w:noProof/>
        </w:rPr>
        <w:t>poz</w:t>
      </w:r>
      <w:r w:rsidR="006C2512" w:rsidRPr="00DD1DFA">
        <w:rPr>
          <w:noProof/>
        </w:rPr>
        <w:t>ostałym państwom członkowskim wszelkie dokumenty potwierdzające kompetencje jednostki oraz wprowadzone ustalenia mające zapewnić systematyczne monitorowanie tej jednostki</w:t>
      </w:r>
      <w:r w:rsidR="00DD1DFA" w:rsidRPr="00DD1DFA">
        <w:rPr>
          <w:noProof/>
        </w:rPr>
        <w:t xml:space="preserve"> i</w:t>
      </w:r>
      <w:r w:rsidR="00DD1DFA">
        <w:rPr>
          <w:noProof/>
        </w:rPr>
        <w:t> </w:t>
      </w:r>
      <w:r w:rsidR="00DD1DFA" w:rsidRPr="00DD1DFA">
        <w:rPr>
          <w:noProof/>
        </w:rPr>
        <w:t>dal</w:t>
      </w:r>
      <w:r w:rsidR="006C2512" w:rsidRPr="00DD1DFA">
        <w:rPr>
          <w:noProof/>
        </w:rPr>
        <w:t>sze spełnianie przez nią wymagań określonych</w:t>
      </w:r>
      <w:r w:rsidR="00DD1DFA" w:rsidRPr="00DD1DFA">
        <w:rPr>
          <w:noProof/>
        </w:rPr>
        <w:t xml:space="preserve"> w</w:t>
      </w:r>
      <w:r w:rsidR="00DD1DFA">
        <w:rPr>
          <w:noProof/>
        </w:rPr>
        <w:t> </w:t>
      </w:r>
      <w:r w:rsidR="00DD1DFA" w:rsidRPr="00DD1DFA">
        <w:rPr>
          <w:noProof/>
        </w:rPr>
        <w:t>art</w:t>
      </w:r>
      <w:r w:rsidR="006C2512" w:rsidRPr="00DD1DFA">
        <w:rPr>
          <w:noProof/>
        </w:rPr>
        <w:t>.</w:t>
      </w:r>
      <w:r w:rsidR="00DD1DFA" w:rsidRPr="00DD1DFA">
        <w:rPr>
          <w:noProof/>
        </w:rPr>
        <w:t> </w:t>
      </w:r>
      <w:r w:rsidR="006C2512" w:rsidRPr="00DD1DFA">
        <w:rPr>
          <w:noProof/>
        </w:rPr>
        <w:t>50.</w:t>
      </w:r>
    </w:p>
    <w:p w14:paraId="62CCB0E6" w14:textId="080ADC5C" w:rsidR="006C2512" w:rsidRPr="00DD1DFA" w:rsidRDefault="005F7EFA" w:rsidP="005F7EFA">
      <w:pPr>
        <w:pStyle w:val="ManualNumPar1"/>
        <w:rPr>
          <w:noProof/>
        </w:rPr>
      </w:pPr>
      <w:r w:rsidRPr="005F7EFA">
        <w:t>5.</w:t>
      </w:r>
      <w:r w:rsidRPr="005F7EFA">
        <w:tab/>
      </w:r>
      <w:r w:rsidR="006C2512" w:rsidRPr="00DD1DFA">
        <w:rPr>
          <w:noProof/>
        </w:rPr>
        <w:t>Notyfikacja może zacząć obowiązywać tylko wtedy, jeżeli Komisja lub pozostałe państwa członkowskie nie zgłoszą zastrzeżeń</w:t>
      </w:r>
      <w:r w:rsidR="00DD1DFA" w:rsidRPr="00DD1DFA">
        <w:rPr>
          <w:noProof/>
        </w:rPr>
        <w:t xml:space="preserve"> w</w:t>
      </w:r>
      <w:r w:rsidR="00DD1DFA">
        <w:rPr>
          <w:noProof/>
        </w:rPr>
        <w:t> </w:t>
      </w:r>
      <w:r w:rsidR="00DD1DFA" w:rsidRPr="00DD1DFA">
        <w:rPr>
          <w:noProof/>
        </w:rPr>
        <w:t>ter</w:t>
      </w:r>
      <w:r w:rsidR="006C2512" w:rsidRPr="00DD1DFA">
        <w:rPr>
          <w:noProof/>
        </w:rPr>
        <w:t>minie dwóch tygodni od notyfikacji,</w:t>
      </w:r>
      <w:r w:rsidR="00DD1DFA" w:rsidRPr="00DD1DFA">
        <w:rPr>
          <w:noProof/>
        </w:rPr>
        <w:t xml:space="preserve"> w</w:t>
      </w:r>
      <w:r w:rsidR="00DD1DFA">
        <w:rPr>
          <w:noProof/>
        </w:rPr>
        <w:t> </w:t>
      </w:r>
      <w:r w:rsidR="00DD1DFA" w:rsidRPr="00DD1DFA">
        <w:rPr>
          <w:noProof/>
        </w:rPr>
        <w:t>prz</w:t>
      </w:r>
      <w:r w:rsidR="006C2512" w:rsidRPr="00DD1DFA">
        <w:rPr>
          <w:noProof/>
        </w:rPr>
        <w:t>ypadku korzystania</w:t>
      </w:r>
      <w:r w:rsidR="00DD1DFA" w:rsidRPr="00DD1DFA">
        <w:rPr>
          <w:noProof/>
        </w:rPr>
        <w:t xml:space="preserve"> z</w:t>
      </w:r>
      <w:r w:rsidR="00DD1DFA">
        <w:rPr>
          <w:noProof/>
        </w:rPr>
        <w:t> </w:t>
      </w:r>
      <w:r w:rsidR="00DD1DFA" w:rsidRPr="00DD1DFA">
        <w:rPr>
          <w:noProof/>
        </w:rPr>
        <w:t>cer</w:t>
      </w:r>
      <w:r w:rsidR="006C2512" w:rsidRPr="00DD1DFA">
        <w:rPr>
          <w:noProof/>
        </w:rPr>
        <w:t>tyfikatu akredytacji, lub</w:t>
      </w:r>
      <w:r w:rsidR="00DD1DFA" w:rsidRPr="00DD1DFA">
        <w:rPr>
          <w:noProof/>
        </w:rPr>
        <w:t xml:space="preserve"> w</w:t>
      </w:r>
      <w:r w:rsidR="00DD1DFA">
        <w:rPr>
          <w:noProof/>
        </w:rPr>
        <w:t> </w:t>
      </w:r>
      <w:r w:rsidR="00DD1DFA" w:rsidRPr="00DD1DFA">
        <w:rPr>
          <w:noProof/>
        </w:rPr>
        <w:t>ter</w:t>
      </w:r>
      <w:r w:rsidR="006C2512" w:rsidRPr="00DD1DFA">
        <w:rPr>
          <w:noProof/>
        </w:rPr>
        <w:t>minie dwóch miesięcy od notyfikacji,</w:t>
      </w:r>
      <w:r w:rsidR="00DD1DFA" w:rsidRPr="00DD1DFA">
        <w:rPr>
          <w:noProof/>
        </w:rPr>
        <w:t xml:space="preserve"> w</w:t>
      </w:r>
      <w:r w:rsidR="00DD1DFA">
        <w:rPr>
          <w:noProof/>
        </w:rPr>
        <w:t> </w:t>
      </w:r>
      <w:r w:rsidR="00DD1DFA" w:rsidRPr="00DD1DFA">
        <w:rPr>
          <w:noProof/>
        </w:rPr>
        <w:t>prz</w:t>
      </w:r>
      <w:r w:rsidR="006C2512" w:rsidRPr="00DD1DFA">
        <w:rPr>
          <w:noProof/>
        </w:rPr>
        <w:t>ypadku gdy certyfikat akredytacji nie jest stosowany.</w:t>
      </w:r>
    </w:p>
    <w:p w14:paraId="61AB5CD1" w14:textId="4FA7D0EE" w:rsidR="006C2512" w:rsidRPr="00DD1DFA" w:rsidRDefault="006C2512" w:rsidP="006C2512">
      <w:pPr>
        <w:pStyle w:val="Text1"/>
        <w:rPr>
          <w:noProof/>
        </w:rPr>
      </w:pPr>
      <w:r w:rsidRPr="00DD1DFA">
        <w:rPr>
          <w:noProof/>
        </w:rPr>
        <w:t>Notyfikacja zaczyna obowiązywać następnego dnia po wpisaniu przez Komisję jednostki do wykazu jednostek notyfikowanych,</w:t>
      </w:r>
      <w:r w:rsidR="00DD1DFA" w:rsidRPr="00DD1DFA">
        <w:rPr>
          <w:noProof/>
        </w:rPr>
        <w:t xml:space="preserve"> o</w:t>
      </w:r>
      <w:r w:rsidR="00DD1DFA">
        <w:rPr>
          <w:noProof/>
        </w:rPr>
        <w:t> </w:t>
      </w:r>
      <w:r w:rsidR="00DD1DFA" w:rsidRPr="00DD1DFA">
        <w:rPr>
          <w:noProof/>
        </w:rPr>
        <w:t>któ</w:t>
      </w:r>
      <w:r w:rsidRPr="00DD1DFA">
        <w:rPr>
          <w:noProof/>
        </w:rPr>
        <w:t>rym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57 ust.</w:t>
      </w:r>
      <w:r w:rsidR="00DD1DFA" w:rsidRPr="00DD1DFA">
        <w:rPr>
          <w:noProof/>
        </w:rPr>
        <w:t> </w:t>
      </w:r>
      <w:r w:rsidRPr="00DD1DFA">
        <w:rPr>
          <w:noProof/>
        </w:rPr>
        <w:t>2. Komisja nie umieszcza podmiotu</w:t>
      </w:r>
      <w:r w:rsidR="00DD1DFA" w:rsidRPr="00DD1DFA">
        <w:rPr>
          <w:noProof/>
        </w:rPr>
        <w:t xml:space="preserve"> w</w:t>
      </w:r>
      <w:r w:rsidR="00DD1DFA">
        <w:rPr>
          <w:noProof/>
        </w:rPr>
        <w:t> </w:t>
      </w:r>
      <w:r w:rsidR="00DD1DFA" w:rsidRPr="00DD1DFA">
        <w:rPr>
          <w:noProof/>
        </w:rPr>
        <w:t>wyk</w:t>
      </w:r>
      <w:r w:rsidRPr="00DD1DFA">
        <w:rPr>
          <w:noProof/>
        </w:rPr>
        <w:t>azie, jeżeli jest lub stanie się świadoma faktu, że dany podmiot nie spełnia wymagań określonych</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50.</w:t>
      </w:r>
    </w:p>
    <w:p w14:paraId="0614A209" w14:textId="054D7840" w:rsidR="006C2512" w:rsidRPr="00DD1DFA" w:rsidRDefault="005F7EFA" w:rsidP="005F7EFA">
      <w:pPr>
        <w:pStyle w:val="ManualNumPar1"/>
        <w:rPr>
          <w:noProof/>
        </w:rPr>
      </w:pPr>
      <w:r w:rsidRPr="005F7EFA">
        <w:t>6.</w:t>
      </w:r>
      <w:r w:rsidRPr="005F7EFA">
        <w:tab/>
      </w:r>
      <w:r w:rsidR="006C2512" w:rsidRPr="00DD1DFA">
        <w:rPr>
          <w:noProof/>
        </w:rPr>
        <w:t>Zainteresowana jednostka może prowadzić działalność jednostki notyfikowanej wyłącznie po uprawomocnieniu się notyfikacji. Wyłącznie taką jednostkę uznaje się za jednostkę notyfikowaną do celów niniejszego rozporządzenia.</w:t>
      </w:r>
    </w:p>
    <w:p w14:paraId="6098DA28" w14:textId="35EDF7F0" w:rsidR="00BC1E12" w:rsidRPr="00DD1DFA" w:rsidRDefault="005F7EFA" w:rsidP="005F7EFA">
      <w:pPr>
        <w:pStyle w:val="ManualNumPar1"/>
        <w:rPr>
          <w:rFonts w:eastAsia="Times New Roman"/>
          <w:noProof/>
          <w:szCs w:val="24"/>
        </w:rPr>
      </w:pPr>
      <w:r w:rsidRPr="005F7EFA">
        <w:t>7.</w:t>
      </w:r>
      <w:r w:rsidRPr="005F7EFA">
        <w:tab/>
      </w:r>
      <w:r w:rsidR="006C2512" w:rsidRPr="00DD1DFA">
        <w:rPr>
          <w:noProof/>
        </w:rPr>
        <w:t>Komisja</w:t>
      </w:r>
      <w:r w:rsidR="00DD1DFA" w:rsidRPr="00DD1DFA">
        <w:rPr>
          <w:noProof/>
        </w:rPr>
        <w:t xml:space="preserve"> i</w:t>
      </w:r>
      <w:r w:rsidR="00DD1DFA">
        <w:rPr>
          <w:noProof/>
        </w:rPr>
        <w:t> </w:t>
      </w:r>
      <w:r w:rsidR="00DD1DFA" w:rsidRPr="00DD1DFA">
        <w:rPr>
          <w:noProof/>
        </w:rPr>
        <w:t>poz</w:t>
      </w:r>
      <w:r w:rsidR="006C2512" w:rsidRPr="00DD1DFA">
        <w:rPr>
          <w:noProof/>
        </w:rPr>
        <w:t>ostałe państwa członkowskie są powiadamiane</w:t>
      </w:r>
      <w:r w:rsidR="00DD1DFA" w:rsidRPr="00DD1DFA">
        <w:rPr>
          <w:noProof/>
        </w:rPr>
        <w:t xml:space="preserve"> o</w:t>
      </w:r>
      <w:r w:rsidR="00DD1DFA">
        <w:rPr>
          <w:noProof/>
        </w:rPr>
        <w:t> </w:t>
      </w:r>
      <w:r w:rsidR="00DD1DFA" w:rsidRPr="00DD1DFA">
        <w:rPr>
          <w:noProof/>
        </w:rPr>
        <w:t>wsz</w:t>
      </w:r>
      <w:r w:rsidR="006C2512" w:rsidRPr="00DD1DFA">
        <w:rPr>
          <w:noProof/>
        </w:rPr>
        <w:t>elkich późniejszych odpowiednich zmianach</w:t>
      </w:r>
      <w:r w:rsidR="00DD1DFA" w:rsidRPr="00DD1DFA">
        <w:rPr>
          <w:noProof/>
        </w:rPr>
        <w:t xml:space="preserve"> w</w:t>
      </w:r>
      <w:r w:rsidR="00DD1DFA">
        <w:rPr>
          <w:noProof/>
        </w:rPr>
        <w:t> </w:t>
      </w:r>
      <w:r w:rsidR="00DD1DFA" w:rsidRPr="00DD1DFA">
        <w:rPr>
          <w:noProof/>
        </w:rPr>
        <w:t>not</w:t>
      </w:r>
      <w:r w:rsidR="006C2512" w:rsidRPr="00DD1DFA">
        <w:rPr>
          <w:noProof/>
        </w:rPr>
        <w:t>yfikacji.</w:t>
      </w:r>
    </w:p>
    <w:p w14:paraId="62F614C9" w14:textId="77777777" w:rsidR="00BC1E12" w:rsidRPr="00DD1DFA" w:rsidRDefault="00F53F9F" w:rsidP="00411D32">
      <w:pPr>
        <w:pStyle w:val="Titrearticle"/>
        <w:rPr>
          <w:noProof/>
        </w:rPr>
      </w:pPr>
      <w:r w:rsidRPr="00DD1DFA">
        <w:rPr>
          <w:noProof/>
        </w:rPr>
        <w:t>Artykuł 57</w:t>
      </w:r>
    </w:p>
    <w:p w14:paraId="15883E36" w14:textId="66E4930A" w:rsidR="00BC1E12" w:rsidRPr="00DD1DFA" w:rsidRDefault="00BC1E12" w:rsidP="00411D32">
      <w:pPr>
        <w:pStyle w:val="Titrearticle"/>
        <w:rPr>
          <w:b/>
          <w:noProof/>
        </w:rPr>
      </w:pPr>
      <w:r w:rsidRPr="00DD1DFA">
        <w:rPr>
          <w:b/>
          <w:noProof/>
        </w:rPr>
        <w:t>Numery identyfikacyjne</w:t>
      </w:r>
      <w:r w:rsidR="00DD1DFA" w:rsidRPr="00DD1DFA">
        <w:rPr>
          <w:b/>
          <w:noProof/>
        </w:rPr>
        <w:t xml:space="preserve"> i</w:t>
      </w:r>
      <w:r w:rsidR="00DD1DFA">
        <w:rPr>
          <w:b/>
          <w:noProof/>
        </w:rPr>
        <w:t> </w:t>
      </w:r>
      <w:r w:rsidR="00DD1DFA" w:rsidRPr="00DD1DFA">
        <w:rPr>
          <w:b/>
          <w:noProof/>
        </w:rPr>
        <w:t>wyk</w:t>
      </w:r>
      <w:r w:rsidRPr="00DD1DFA">
        <w:rPr>
          <w:b/>
          <w:noProof/>
        </w:rPr>
        <w:t>az jednostek notyfikowanych</w:t>
      </w:r>
    </w:p>
    <w:p w14:paraId="26C75345" w14:textId="5501823B" w:rsidR="002A36A1" w:rsidRPr="00DD1DFA" w:rsidRDefault="005F7EFA" w:rsidP="005F7EFA">
      <w:pPr>
        <w:pStyle w:val="ManualNumPar1"/>
        <w:rPr>
          <w:noProof/>
        </w:rPr>
      </w:pPr>
      <w:r w:rsidRPr="005F7EFA">
        <w:t>1.</w:t>
      </w:r>
      <w:r w:rsidRPr="005F7EFA">
        <w:tab/>
      </w:r>
      <w:r w:rsidR="002A36A1" w:rsidRPr="00DD1DFA">
        <w:rPr>
          <w:noProof/>
        </w:rPr>
        <w:t>Komisja przydziela każdej jednostce notyfikowanej numer identyfikacyjny.</w:t>
      </w:r>
    </w:p>
    <w:p w14:paraId="47D233A4" w14:textId="30B60B7C" w:rsidR="002A36A1" w:rsidRPr="00DD1DFA" w:rsidRDefault="002A36A1" w:rsidP="002A36A1">
      <w:pPr>
        <w:pStyle w:val="Text1"/>
        <w:rPr>
          <w:noProof/>
        </w:rPr>
      </w:pPr>
      <w:r w:rsidRPr="00DD1DFA">
        <w:rPr>
          <w:noProof/>
        </w:rPr>
        <w:t>Przydziela tylko jeden taki numer, nawet</w:t>
      </w:r>
      <w:r w:rsidR="00DD1DFA" w:rsidRPr="00DD1DFA">
        <w:rPr>
          <w:noProof/>
        </w:rPr>
        <w:t xml:space="preserve"> w</w:t>
      </w:r>
      <w:r w:rsidR="00DD1DFA">
        <w:rPr>
          <w:noProof/>
        </w:rPr>
        <w:t> </w:t>
      </w:r>
      <w:r w:rsidR="00DD1DFA" w:rsidRPr="00DD1DFA">
        <w:rPr>
          <w:noProof/>
        </w:rPr>
        <w:t>prz</w:t>
      </w:r>
      <w:r w:rsidRPr="00DD1DFA">
        <w:rPr>
          <w:noProof/>
        </w:rPr>
        <w:t>ypadku gdy dana jednostka jest notyfikowana na mocy różnych aktów prawnych Unii.</w:t>
      </w:r>
    </w:p>
    <w:p w14:paraId="6613EF8B" w14:textId="47F31F38" w:rsidR="002A36A1" w:rsidRPr="00DD1DFA" w:rsidRDefault="005F7EFA" w:rsidP="005F7EFA">
      <w:pPr>
        <w:pStyle w:val="ManualNumPar1"/>
        <w:rPr>
          <w:noProof/>
        </w:rPr>
      </w:pPr>
      <w:r w:rsidRPr="005F7EFA">
        <w:t>2.</w:t>
      </w:r>
      <w:r w:rsidRPr="005F7EFA">
        <w:tab/>
      </w:r>
      <w:r w:rsidR="002A36A1" w:rsidRPr="00DD1DFA">
        <w:rPr>
          <w:noProof/>
        </w:rPr>
        <w:t>Komisja podaje do wiadomości publicznej – stosując do tego celu</w:t>
      </w:r>
      <w:r w:rsidR="00DD1DFA" w:rsidRPr="00DD1DFA">
        <w:rPr>
          <w:noProof/>
        </w:rPr>
        <w:t xml:space="preserve"> w</w:t>
      </w:r>
      <w:r w:rsidR="00DD1DFA">
        <w:rPr>
          <w:noProof/>
        </w:rPr>
        <w:t> </w:t>
      </w:r>
      <w:r w:rsidR="00DD1DFA" w:rsidRPr="00DD1DFA">
        <w:rPr>
          <w:noProof/>
        </w:rPr>
        <w:t>szc</w:t>
      </w:r>
      <w:r w:rsidR="002A36A1" w:rsidRPr="00DD1DFA">
        <w:rPr>
          <w:noProof/>
        </w:rPr>
        <w:t>zególności elektroniczne narzędzie notyfikacji opracowane</w:t>
      </w:r>
      <w:r w:rsidR="00DD1DFA" w:rsidRPr="00DD1DFA">
        <w:rPr>
          <w:noProof/>
        </w:rPr>
        <w:t xml:space="preserve"> i</w:t>
      </w:r>
      <w:r w:rsidR="00DD1DFA">
        <w:rPr>
          <w:noProof/>
        </w:rPr>
        <w:t> </w:t>
      </w:r>
      <w:r w:rsidR="00DD1DFA" w:rsidRPr="00DD1DFA">
        <w:rPr>
          <w:noProof/>
        </w:rPr>
        <w:t>zar</w:t>
      </w:r>
      <w:r w:rsidR="002A36A1" w:rsidRPr="00DD1DFA">
        <w:rPr>
          <w:noProof/>
        </w:rPr>
        <w:t>ządzane przez Komisję – wykaz jednostek notyfikowanych na mocy niniejszego rozporządzenia, włącznie</w:t>
      </w:r>
      <w:r w:rsidR="00DD1DFA" w:rsidRPr="00DD1DFA">
        <w:rPr>
          <w:noProof/>
        </w:rPr>
        <w:t xml:space="preserve"> z</w:t>
      </w:r>
      <w:r w:rsidR="00DD1DFA">
        <w:rPr>
          <w:noProof/>
        </w:rPr>
        <w:t> </w:t>
      </w:r>
      <w:r w:rsidR="00DD1DFA" w:rsidRPr="00DD1DFA">
        <w:rPr>
          <w:noProof/>
        </w:rPr>
        <w:t>num</w:t>
      </w:r>
      <w:r w:rsidR="002A36A1" w:rsidRPr="00DD1DFA">
        <w:rPr>
          <w:noProof/>
        </w:rPr>
        <w:t>erami identyfikacyjnymi, które im przydzielono, oraz informacją na temat rodzaju działalności będącej przedmiotem notyfikacji.</w:t>
      </w:r>
    </w:p>
    <w:p w14:paraId="25D9A6F3" w14:textId="77777777" w:rsidR="00BC1E12" w:rsidRPr="00DD1DFA" w:rsidRDefault="002A36A1" w:rsidP="002A36A1">
      <w:pPr>
        <w:pStyle w:val="Text1"/>
        <w:rPr>
          <w:rFonts w:ascii="Calibri" w:eastAsia="Calibri" w:hAnsi="Calibri" w:cs="DejaVu Sans"/>
          <w:noProof/>
          <w:color w:val="00000A"/>
          <w:sz w:val="22"/>
        </w:rPr>
      </w:pPr>
      <w:r w:rsidRPr="00DD1DFA">
        <w:rPr>
          <w:noProof/>
        </w:rPr>
        <w:t>Komisja zapewnia stałą aktualizację tego wykazu.</w:t>
      </w:r>
    </w:p>
    <w:p w14:paraId="29E690FE" w14:textId="77777777" w:rsidR="00BC1E12" w:rsidRPr="00DD1DFA" w:rsidRDefault="00F53F9F" w:rsidP="002C2543">
      <w:pPr>
        <w:pStyle w:val="Titrearticle"/>
        <w:rPr>
          <w:noProof/>
        </w:rPr>
      </w:pPr>
      <w:r w:rsidRPr="00DD1DFA">
        <w:rPr>
          <w:noProof/>
        </w:rPr>
        <w:t>Artykuł 58</w:t>
      </w:r>
    </w:p>
    <w:p w14:paraId="0D553C83" w14:textId="34598F03" w:rsidR="00BC1E12" w:rsidRPr="00DD1DFA" w:rsidRDefault="00BC1E12" w:rsidP="002C2543">
      <w:pPr>
        <w:pStyle w:val="Titrearticle"/>
        <w:rPr>
          <w:b/>
          <w:noProof/>
        </w:rPr>
      </w:pPr>
      <w:r w:rsidRPr="00DD1DFA">
        <w:rPr>
          <w:b/>
          <w:noProof/>
        </w:rPr>
        <w:t>Zmiany</w:t>
      </w:r>
      <w:r w:rsidR="00DD1DFA" w:rsidRPr="00DD1DFA">
        <w:rPr>
          <w:b/>
          <w:noProof/>
        </w:rPr>
        <w:t xml:space="preserve"> w</w:t>
      </w:r>
      <w:r w:rsidR="00DD1DFA">
        <w:rPr>
          <w:b/>
          <w:noProof/>
        </w:rPr>
        <w:t> </w:t>
      </w:r>
      <w:r w:rsidR="00DD1DFA" w:rsidRPr="00DD1DFA">
        <w:rPr>
          <w:b/>
          <w:noProof/>
        </w:rPr>
        <w:t>not</w:t>
      </w:r>
      <w:r w:rsidRPr="00DD1DFA">
        <w:rPr>
          <w:b/>
          <w:noProof/>
        </w:rPr>
        <w:t>yfikacji</w:t>
      </w:r>
    </w:p>
    <w:p w14:paraId="19FF3812" w14:textId="7182F4B8" w:rsidR="002A36A1" w:rsidRPr="00DD1DFA" w:rsidRDefault="005F7EFA" w:rsidP="005F7EFA">
      <w:pPr>
        <w:pStyle w:val="ManualNumPar1"/>
        <w:rPr>
          <w:rFonts w:eastAsia="Times New Roman"/>
          <w:noProof/>
        </w:rPr>
      </w:pPr>
      <w:r w:rsidRPr="005F7EFA">
        <w:t>1.</w:t>
      </w:r>
      <w:r w:rsidRPr="005F7EFA">
        <w:tab/>
      </w:r>
      <w:r w:rsidR="002A36A1" w:rsidRPr="00DD1DFA">
        <w:rPr>
          <w:noProof/>
        </w:rPr>
        <w:t>W przypadku gdy organ notyfikujący ustalił lub otrzymał informację, że jednostka notyfikowana przestała spełniać wymagania określone</w:t>
      </w:r>
      <w:r w:rsidR="00DD1DFA" w:rsidRPr="00DD1DFA">
        <w:rPr>
          <w:noProof/>
        </w:rPr>
        <w:t xml:space="preserve"> w</w:t>
      </w:r>
      <w:r w:rsidR="00DD1DFA">
        <w:rPr>
          <w:noProof/>
        </w:rPr>
        <w:t> </w:t>
      </w:r>
      <w:r w:rsidR="00DD1DFA" w:rsidRPr="00DD1DFA">
        <w:rPr>
          <w:noProof/>
        </w:rPr>
        <w:t>art</w:t>
      </w:r>
      <w:r w:rsidR="002A36A1" w:rsidRPr="00DD1DFA">
        <w:rPr>
          <w:noProof/>
        </w:rPr>
        <w:t>.</w:t>
      </w:r>
      <w:r w:rsidR="00DD1DFA" w:rsidRPr="00DD1DFA">
        <w:rPr>
          <w:noProof/>
        </w:rPr>
        <w:t> </w:t>
      </w:r>
      <w:r w:rsidR="002A36A1" w:rsidRPr="00DD1DFA">
        <w:rPr>
          <w:noProof/>
        </w:rPr>
        <w:t>50 lub że nie wypełnia swoich obowiązków, organ notyfikujący odpowiednio ogranicza, zawiesza lub wycofuje notyfikację, zależnie od stopnia niespełniania tych wymagań lub niewypełniania tych obowiązków.</w:t>
      </w:r>
    </w:p>
    <w:p w14:paraId="6F16D324" w14:textId="65A1212F" w:rsidR="00BC1E12" w:rsidRPr="00DD1DFA" w:rsidRDefault="005F7EFA" w:rsidP="005F7EFA">
      <w:pPr>
        <w:pStyle w:val="ManualNumPar1"/>
        <w:rPr>
          <w:noProof/>
        </w:rPr>
      </w:pPr>
      <w:r w:rsidRPr="005F7EFA">
        <w:t>2.</w:t>
      </w:r>
      <w:r w:rsidRPr="005F7EFA">
        <w:tab/>
      </w:r>
      <w:r w:rsidR="002A36A1" w:rsidRPr="00DD1DFA">
        <w:rPr>
          <w:noProof/>
        </w:rPr>
        <w:t>W przypadku wycofania, ograniczenia lub zawieszenia notyfikacji lub</w:t>
      </w:r>
      <w:r w:rsidR="00DD1DFA" w:rsidRPr="00DD1DFA">
        <w:rPr>
          <w:noProof/>
        </w:rPr>
        <w:t xml:space="preserve"> w</w:t>
      </w:r>
      <w:r w:rsidR="00DD1DFA">
        <w:rPr>
          <w:noProof/>
        </w:rPr>
        <w:t> </w:t>
      </w:r>
      <w:r w:rsidR="00DD1DFA" w:rsidRPr="00DD1DFA">
        <w:rPr>
          <w:noProof/>
        </w:rPr>
        <w:t>raz</w:t>
      </w:r>
      <w:r w:rsidR="002A36A1" w:rsidRPr="00DD1DFA">
        <w:rPr>
          <w:noProof/>
        </w:rPr>
        <w:t>ie zaprzestania działalności przez jednostkę notyfikowaną notyfikujące państwo członkowskie podejmuje właściwe kroki, aby zapewnić, by sprawy rozpatrywane przez tę jednostkę były rozpatrywane przez inną jednostkę notyfikowaną lub by były dostępne na żądanie odpowiedzialnych organów notyfikujących</w:t>
      </w:r>
      <w:r w:rsidR="00DD1DFA" w:rsidRPr="00DD1DFA">
        <w:rPr>
          <w:noProof/>
        </w:rPr>
        <w:t xml:space="preserve"> i</w:t>
      </w:r>
      <w:r w:rsidR="00DD1DFA">
        <w:rPr>
          <w:noProof/>
        </w:rPr>
        <w:t> </w:t>
      </w:r>
      <w:r w:rsidR="00DD1DFA" w:rsidRPr="00DD1DFA">
        <w:rPr>
          <w:noProof/>
        </w:rPr>
        <w:t>org</w:t>
      </w:r>
      <w:r w:rsidR="002A36A1" w:rsidRPr="00DD1DFA">
        <w:rPr>
          <w:noProof/>
        </w:rPr>
        <w:t>anów nadzoru rynku.</w:t>
      </w:r>
    </w:p>
    <w:p w14:paraId="59AF0CA7" w14:textId="77777777" w:rsidR="00BC1E12" w:rsidRPr="00DD1DFA" w:rsidRDefault="00F53F9F" w:rsidP="002C2543">
      <w:pPr>
        <w:pStyle w:val="Titrearticle"/>
        <w:rPr>
          <w:noProof/>
        </w:rPr>
      </w:pPr>
      <w:r w:rsidRPr="00DD1DFA">
        <w:rPr>
          <w:noProof/>
        </w:rPr>
        <w:t>Artykuł 59</w:t>
      </w:r>
    </w:p>
    <w:p w14:paraId="2B85572F" w14:textId="77777777" w:rsidR="00BC1E12" w:rsidRPr="00DD1DFA" w:rsidRDefault="00BC1E12" w:rsidP="002C2543">
      <w:pPr>
        <w:pStyle w:val="Titrearticle"/>
        <w:rPr>
          <w:b/>
          <w:noProof/>
        </w:rPr>
      </w:pPr>
      <w:r w:rsidRPr="00DD1DFA">
        <w:rPr>
          <w:b/>
          <w:noProof/>
        </w:rPr>
        <w:t>Kwestionowanie kompetencji jednostek notyfikowanych</w:t>
      </w:r>
    </w:p>
    <w:p w14:paraId="356E6ADC" w14:textId="10D20F49" w:rsidR="002A36A1" w:rsidRPr="00DD1DFA" w:rsidRDefault="005F7EFA" w:rsidP="005F7EFA">
      <w:pPr>
        <w:pStyle w:val="ManualNumPar1"/>
        <w:rPr>
          <w:noProof/>
        </w:rPr>
      </w:pPr>
      <w:r w:rsidRPr="005F7EFA">
        <w:t>1.</w:t>
      </w:r>
      <w:r w:rsidRPr="005F7EFA">
        <w:tab/>
      </w:r>
      <w:r w:rsidR="002A36A1" w:rsidRPr="00DD1DFA">
        <w:rPr>
          <w:noProof/>
        </w:rPr>
        <w:t>Komisja bada wszystkie przypadki,</w:t>
      </w:r>
      <w:r w:rsidR="00DD1DFA" w:rsidRPr="00DD1DFA">
        <w:rPr>
          <w:noProof/>
        </w:rPr>
        <w:t xml:space="preserve"> w</w:t>
      </w:r>
      <w:r w:rsidR="00DD1DFA">
        <w:rPr>
          <w:noProof/>
        </w:rPr>
        <w:t> </w:t>
      </w:r>
      <w:r w:rsidR="00DD1DFA" w:rsidRPr="00DD1DFA">
        <w:rPr>
          <w:noProof/>
        </w:rPr>
        <w:t>któ</w:t>
      </w:r>
      <w:r w:rsidR="002A36A1" w:rsidRPr="00DD1DFA">
        <w:rPr>
          <w:noProof/>
        </w:rPr>
        <w:t>rych ma wątpliwości lub otrzymuje informacje</w:t>
      </w:r>
      <w:r w:rsidR="00DD1DFA" w:rsidRPr="00DD1DFA">
        <w:rPr>
          <w:noProof/>
        </w:rPr>
        <w:t xml:space="preserve"> o</w:t>
      </w:r>
      <w:r w:rsidR="00DD1DFA">
        <w:rPr>
          <w:noProof/>
        </w:rPr>
        <w:t> </w:t>
      </w:r>
      <w:r w:rsidR="00DD1DFA" w:rsidRPr="00DD1DFA">
        <w:rPr>
          <w:noProof/>
        </w:rPr>
        <w:t>wąt</w:t>
      </w:r>
      <w:r w:rsidR="002A36A1" w:rsidRPr="00DD1DFA">
        <w:rPr>
          <w:noProof/>
        </w:rPr>
        <w:t>pliwościach co do kompetencji jednostki notyfikowanej lub ciągłości wywiązywania się przez jednostkę notyfikowaną</w:t>
      </w:r>
      <w:r w:rsidR="00DD1DFA" w:rsidRPr="00DD1DFA">
        <w:rPr>
          <w:noProof/>
        </w:rPr>
        <w:t xml:space="preserve"> z</w:t>
      </w:r>
      <w:r w:rsidR="00DD1DFA">
        <w:rPr>
          <w:noProof/>
        </w:rPr>
        <w:t> </w:t>
      </w:r>
      <w:r w:rsidR="00DD1DFA" w:rsidRPr="00DD1DFA">
        <w:rPr>
          <w:noProof/>
        </w:rPr>
        <w:t>nał</w:t>
      </w:r>
      <w:r w:rsidR="002A36A1" w:rsidRPr="00DD1DFA">
        <w:rPr>
          <w:noProof/>
        </w:rPr>
        <w:t>ożonych na nią wymagań</w:t>
      </w:r>
      <w:r w:rsidR="00DD1DFA" w:rsidRPr="00DD1DFA">
        <w:rPr>
          <w:noProof/>
        </w:rPr>
        <w:t xml:space="preserve"> i</w:t>
      </w:r>
      <w:r w:rsidR="00DD1DFA">
        <w:rPr>
          <w:noProof/>
        </w:rPr>
        <w:t> </w:t>
      </w:r>
      <w:r w:rsidR="00DD1DFA" w:rsidRPr="00DD1DFA">
        <w:rPr>
          <w:noProof/>
        </w:rPr>
        <w:t>obo</w:t>
      </w:r>
      <w:r w:rsidR="002A36A1" w:rsidRPr="00DD1DFA">
        <w:rPr>
          <w:noProof/>
        </w:rPr>
        <w:t>wiązków.</w:t>
      </w:r>
    </w:p>
    <w:p w14:paraId="68064A05" w14:textId="70FF64FC" w:rsidR="002A36A1" w:rsidRPr="00DD1DFA" w:rsidRDefault="005F7EFA" w:rsidP="005F7EFA">
      <w:pPr>
        <w:pStyle w:val="ManualNumPar1"/>
        <w:rPr>
          <w:noProof/>
        </w:rPr>
      </w:pPr>
      <w:r w:rsidRPr="005F7EFA">
        <w:t>2.</w:t>
      </w:r>
      <w:r w:rsidRPr="005F7EFA">
        <w:tab/>
      </w:r>
      <w:r w:rsidR="002A36A1" w:rsidRPr="00DD1DFA">
        <w:rPr>
          <w:noProof/>
        </w:rPr>
        <w:t>Na wniosek Komisji notyfikujące państwo członkowskie udziela jej wszelkich informacji dotyczących podstawy notyfikacji lub utrzymania kompetencji danej jednostki.</w:t>
      </w:r>
    </w:p>
    <w:p w14:paraId="54528253" w14:textId="34FD35A2" w:rsidR="00BC1E12" w:rsidRPr="00DD1DFA" w:rsidRDefault="005F7EFA" w:rsidP="005F7EFA">
      <w:pPr>
        <w:pStyle w:val="ManualNumPar1"/>
        <w:rPr>
          <w:noProof/>
        </w:rPr>
      </w:pPr>
      <w:r w:rsidRPr="005F7EFA">
        <w:t>3.</w:t>
      </w:r>
      <w:r w:rsidRPr="005F7EFA">
        <w:tab/>
      </w:r>
      <w:r w:rsidR="002A36A1" w:rsidRPr="00DD1DFA">
        <w:rPr>
          <w:noProof/>
        </w:rPr>
        <w:t>Komisja zapewnia poufność wszystkich informacji wrażliwych uzyskanych</w:t>
      </w:r>
      <w:r w:rsidR="00DD1DFA" w:rsidRPr="00DD1DFA">
        <w:rPr>
          <w:noProof/>
        </w:rPr>
        <w:t xml:space="preserve"> w</w:t>
      </w:r>
      <w:r w:rsidR="00DD1DFA">
        <w:rPr>
          <w:noProof/>
        </w:rPr>
        <w:t> </w:t>
      </w:r>
      <w:r w:rsidR="00DD1DFA" w:rsidRPr="00DD1DFA">
        <w:rPr>
          <w:noProof/>
        </w:rPr>
        <w:t>tra</w:t>
      </w:r>
      <w:r w:rsidR="002A36A1" w:rsidRPr="00DD1DFA">
        <w:rPr>
          <w:noProof/>
        </w:rPr>
        <w:t>kcie dochodzenia.</w:t>
      </w:r>
    </w:p>
    <w:p w14:paraId="50B57C0C" w14:textId="77777777" w:rsidR="00BC1E12" w:rsidRPr="00DD1DFA" w:rsidRDefault="00F53F9F" w:rsidP="00404E83">
      <w:pPr>
        <w:pStyle w:val="Titrearticle"/>
        <w:rPr>
          <w:noProof/>
        </w:rPr>
      </w:pPr>
      <w:r w:rsidRPr="00DD1DFA">
        <w:rPr>
          <w:noProof/>
        </w:rPr>
        <w:t>Artykuł 60</w:t>
      </w:r>
    </w:p>
    <w:p w14:paraId="5D64C813" w14:textId="6BD7E836" w:rsidR="00BC1E12" w:rsidRPr="00DD1DFA" w:rsidRDefault="00BC1E12" w:rsidP="00404E83">
      <w:pPr>
        <w:pStyle w:val="Titrearticle"/>
        <w:rPr>
          <w:b/>
          <w:noProof/>
        </w:rPr>
      </w:pPr>
      <w:r w:rsidRPr="00DD1DFA">
        <w:rPr>
          <w:b/>
          <w:noProof/>
        </w:rPr>
        <w:t>Obowiązki jednostek notyfikowanych</w:t>
      </w:r>
      <w:r w:rsidR="00DD1DFA" w:rsidRPr="00DD1DFA">
        <w:rPr>
          <w:b/>
          <w:noProof/>
        </w:rPr>
        <w:t xml:space="preserve"> w</w:t>
      </w:r>
      <w:r w:rsidR="00DD1DFA">
        <w:rPr>
          <w:b/>
          <w:noProof/>
        </w:rPr>
        <w:t> </w:t>
      </w:r>
      <w:r w:rsidR="00DD1DFA" w:rsidRPr="00DD1DFA">
        <w:rPr>
          <w:b/>
          <w:noProof/>
        </w:rPr>
        <w:t>zak</w:t>
      </w:r>
      <w:r w:rsidRPr="00DD1DFA">
        <w:rPr>
          <w:b/>
          <w:noProof/>
        </w:rPr>
        <w:t>resie dotyczącym ich działalności</w:t>
      </w:r>
    </w:p>
    <w:p w14:paraId="7E5C7A6F" w14:textId="54C2171A" w:rsidR="00B10C49" w:rsidRPr="00DD1DFA" w:rsidRDefault="005F7EFA" w:rsidP="005F7EFA">
      <w:pPr>
        <w:pStyle w:val="ManualNumPar1"/>
        <w:rPr>
          <w:noProof/>
        </w:rPr>
      </w:pPr>
      <w:r w:rsidRPr="005F7EFA">
        <w:t>1.</w:t>
      </w:r>
      <w:r w:rsidRPr="005F7EFA">
        <w:tab/>
      </w:r>
      <w:r w:rsidR="00B10C49" w:rsidRPr="00DD1DFA">
        <w:rPr>
          <w:noProof/>
        </w:rPr>
        <w:t>Zgodnie</w:t>
      </w:r>
      <w:r w:rsidR="00DD1DFA" w:rsidRPr="00DD1DFA">
        <w:rPr>
          <w:noProof/>
        </w:rPr>
        <w:t xml:space="preserve"> z</w:t>
      </w:r>
      <w:r w:rsidR="00DD1DFA">
        <w:rPr>
          <w:noProof/>
        </w:rPr>
        <w:t> </w:t>
      </w:r>
      <w:r w:rsidR="00DD1DFA" w:rsidRPr="00DD1DFA">
        <w:rPr>
          <w:noProof/>
        </w:rPr>
        <w:t>zał</w:t>
      </w:r>
      <w:r w:rsidR="00B10C49" w:rsidRPr="00DD1DFA">
        <w:rPr>
          <w:noProof/>
        </w:rPr>
        <w:t>ącznikiem V jednostki notyfikowane:</w:t>
      </w:r>
    </w:p>
    <w:p w14:paraId="3CD1E5FE" w14:textId="65B22C29" w:rsidR="00B10C49" w:rsidRPr="00DD1DFA" w:rsidRDefault="003C1401" w:rsidP="003C1401">
      <w:pPr>
        <w:pStyle w:val="Point1"/>
        <w:rPr>
          <w:noProof/>
        </w:rPr>
      </w:pPr>
      <w:r w:rsidRPr="003C1401">
        <w:rPr>
          <w:noProof/>
        </w:rPr>
        <w:t>a)</w:t>
      </w:r>
      <w:r w:rsidRPr="003C1401">
        <w:rPr>
          <w:noProof/>
        </w:rPr>
        <w:tab/>
      </w:r>
      <w:r w:rsidR="00B10C49" w:rsidRPr="00DD1DFA">
        <w:rPr>
          <w:noProof/>
        </w:rPr>
        <w:t>oceniają właściwości użytkowe</w:t>
      </w:r>
      <w:r w:rsidR="00DD1DFA" w:rsidRPr="00DD1DFA">
        <w:rPr>
          <w:noProof/>
        </w:rPr>
        <w:t xml:space="preserve"> i</w:t>
      </w:r>
      <w:r w:rsidR="00DD1DFA">
        <w:rPr>
          <w:noProof/>
        </w:rPr>
        <w:t> </w:t>
      </w:r>
      <w:r w:rsidR="00DD1DFA" w:rsidRPr="00DD1DFA">
        <w:rPr>
          <w:noProof/>
        </w:rPr>
        <w:t>zgo</w:t>
      </w:r>
      <w:r w:rsidR="00B10C49" w:rsidRPr="00DD1DFA">
        <w:rPr>
          <w:noProof/>
        </w:rPr>
        <w:t>dność wyrobów;</w:t>
      </w:r>
    </w:p>
    <w:p w14:paraId="5B7109E1" w14:textId="110D4608" w:rsidR="00B10C49" w:rsidRPr="00DD1DFA" w:rsidRDefault="003C1401" w:rsidP="003C1401">
      <w:pPr>
        <w:pStyle w:val="Point1"/>
        <w:rPr>
          <w:noProof/>
        </w:rPr>
      </w:pPr>
      <w:r w:rsidRPr="003C1401">
        <w:rPr>
          <w:noProof/>
        </w:rPr>
        <w:t>b)</w:t>
      </w:r>
      <w:r w:rsidRPr="003C1401">
        <w:rPr>
          <w:noProof/>
        </w:rPr>
        <w:tab/>
      </w:r>
      <w:r w:rsidR="00B10C49" w:rsidRPr="00DD1DFA">
        <w:rPr>
          <w:noProof/>
        </w:rPr>
        <w:t>weryfikują zgodność wyrobów</w:t>
      </w:r>
      <w:r w:rsidR="00DD1DFA" w:rsidRPr="00DD1DFA">
        <w:rPr>
          <w:noProof/>
        </w:rPr>
        <w:t xml:space="preserve"> i</w:t>
      </w:r>
      <w:r w:rsidR="00DD1DFA">
        <w:rPr>
          <w:noProof/>
        </w:rPr>
        <w:t> </w:t>
      </w:r>
      <w:r w:rsidR="00DD1DFA" w:rsidRPr="00DD1DFA">
        <w:rPr>
          <w:noProof/>
        </w:rPr>
        <w:t>pro</w:t>
      </w:r>
      <w:r w:rsidR="00B10C49" w:rsidRPr="00DD1DFA">
        <w:rPr>
          <w:noProof/>
        </w:rPr>
        <w:t>ducenta;</w:t>
      </w:r>
    </w:p>
    <w:p w14:paraId="1A94D6F4" w14:textId="4787C9DD" w:rsidR="00B10C49" w:rsidRPr="00DD1DFA" w:rsidRDefault="003C1401" w:rsidP="003C1401">
      <w:pPr>
        <w:pStyle w:val="Point1"/>
        <w:rPr>
          <w:noProof/>
        </w:rPr>
      </w:pPr>
      <w:r w:rsidRPr="003C1401">
        <w:rPr>
          <w:noProof/>
        </w:rPr>
        <w:t>c)</w:t>
      </w:r>
      <w:r w:rsidRPr="003C1401">
        <w:rPr>
          <w:noProof/>
        </w:rPr>
        <w:tab/>
      </w:r>
      <w:r w:rsidR="00B10C49" w:rsidRPr="00DD1DFA">
        <w:rPr>
          <w:noProof/>
        </w:rPr>
        <w:t>weryfikują stałość właściwości użytkowych wyrobów;</w:t>
      </w:r>
    </w:p>
    <w:p w14:paraId="5B071CCA" w14:textId="5AC4C324" w:rsidR="00B10C49" w:rsidRPr="00DD1DFA" w:rsidRDefault="003C1401" w:rsidP="003C1401">
      <w:pPr>
        <w:pStyle w:val="Point1"/>
        <w:rPr>
          <w:noProof/>
        </w:rPr>
      </w:pPr>
      <w:r w:rsidRPr="003C1401">
        <w:rPr>
          <w:noProof/>
        </w:rPr>
        <w:t>d)</w:t>
      </w:r>
      <w:r w:rsidRPr="003C1401">
        <w:rPr>
          <w:noProof/>
        </w:rPr>
        <w:tab/>
      </w:r>
      <w:r w:rsidR="00B10C49" w:rsidRPr="00DD1DFA">
        <w:rPr>
          <w:noProof/>
        </w:rPr>
        <w:t>weryfikują obliczenia dotyczące zrównoważenia środowiskowego dokonane przez producenta.</w:t>
      </w:r>
    </w:p>
    <w:p w14:paraId="3AE85C88" w14:textId="02015177" w:rsidR="00B10C49" w:rsidRPr="00DD1DFA" w:rsidRDefault="00B10C49" w:rsidP="00B10C49">
      <w:pPr>
        <w:pStyle w:val="Text1"/>
        <w:rPr>
          <w:noProof/>
        </w:rPr>
      </w:pPr>
      <w:r w:rsidRPr="00DD1DFA">
        <w:rPr>
          <w:noProof/>
        </w:rPr>
        <w:t>Zadania te</w:t>
      </w:r>
      <w:r w:rsidR="00DD1DFA" w:rsidRPr="00DD1DFA">
        <w:rPr>
          <w:noProof/>
        </w:rPr>
        <w:t xml:space="preserve"> w</w:t>
      </w:r>
      <w:r w:rsidR="00DD1DFA">
        <w:rPr>
          <w:noProof/>
        </w:rPr>
        <w:t> </w:t>
      </w:r>
      <w:r w:rsidR="00DD1DFA" w:rsidRPr="00DD1DFA">
        <w:rPr>
          <w:noProof/>
        </w:rPr>
        <w:t>dal</w:t>
      </w:r>
      <w:r w:rsidRPr="00DD1DFA">
        <w:rPr>
          <w:noProof/>
        </w:rPr>
        <w:t>szej części dokumentu określa się jako „oceny</w:t>
      </w:r>
      <w:r w:rsidR="00DD1DFA" w:rsidRPr="00DD1DFA">
        <w:rPr>
          <w:noProof/>
        </w:rPr>
        <w:t xml:space="preserve"> i</w:t>
      </w:r>
      <w:r w:rsidR="00DD1DFA">
        <w:rPr>
          <w:noProof/>
        </w:rPr>
        <w:t> </w:t>
      </w:r>
      <w:r w:rsidR="00DD1DFA" w:rsidRPr="00DD1DFA">
        <w:rPr>
          <w:noProof/>
        </w:rPr>
        <w:t>wer</w:t>
      </w:r>
      <w:r w:rsidRPr="00DD1DFA">
        <w:rPr>
          <w:noProof/>
        </w:rPr>
        <w:t>yfikacje”.</w:t>
      </w:r>
    </w:p>
    <w:p w14:paraId="7F329D80" w14:textId="5CE1929A" w:rsidR="00B10C49" w:rsidRPr="00DD1DFA" w:rsidRDefault="005F7EFA" w:rsidP="005F7EFA">
      <w:pPr>
        <w:pStyle w:val="ManualNumPar1"/>
        <w:rPr>
          <w:noProof/>
        </w:rPr>
      </w:pPr>
      <w:r w:rsidRPr="005F7EFA">
        <w:t>2.</w:t>
      </w:r>
      <w:r w:rsidRPr="005F7EFA">
        <w:tab/>
      </w:r>
      <w:r w:rsidR="00B10C49" w:rsidRPr="00DD1DFA">
        <w:rPr>
          <w:noProof/>
        </w:rPr>
        <w:t>Oceny</w:t>
      </w:r>
      <w:r w:rsidR="00DD1DFA" w:rsidRPr="00DD1DFA">
        <w:rPr>
          <w:noProof/>
        </w:rPr>
        <w:t xml:space="preserve"> i</w:t>
      </w:r>
      <w:r w:rsidR="00DD1DFA">
        <w:rPr>
          <w:noProof/>
        </w:rPr>
        <w:t> </w:t>
      </w:r>
      <w:r w:rsidR="00DD1DFA" w:rsidRPr="00DD1DFA">
        <w:rPr>
          <w:noProof/>
        </w:rPr>
        <w:t>wer</w:t>
      </w:r>
      <w:r w:rsidR="00B10C49" w:rsidRPr="00DD1DFA">
        <w:rPr>
          <w:noProof/>
        </w:rPr>
        <w:t>yfikacje przeprowadza się</w:t>
      </w:r>
      <w:r w:rsidR="00DD1DFA" w:rsidRPr="00DD1DFA">
        <w:rPr>
          <w:noProof/>
        </w:rPr>
        <w:t xml:space="preserve"> z</w:t>
      </w:r>
      <w:r w:rsidR="00DD1DFA">
        <w:rPr>
          <w:noProof/>
        </w:rPr>
        <w:t> </w:t>
      </w:r>
      <w:r w:rsidR="00DD1DFA" w:rsidRPr="00DD1DFA">
        <w:rPr>
          <w:noProof/>
        </w:rPr>
        <w:t>zac</w:t>
      </w:r>
      <w:r w:rsidR="00B10C49" w:rsidRPr="00DD1DFA">
        <w:rPr>
          <w:noProof/>
        </w:rPr>
        <w:t>howaniem przejrzystości</w:t>
      </w:r>
      <w:r w:rsidR="00DD1DFA" w:rsidRPr="00DD1DFA">
        <w:rPr>
          <w:noProof/>
        </w:rPr>
        <w:t xml:space="preserve"> w</w:t>
      </w:r>
      <w:r w:rsidR="00DD1DFA">
        <w:rPr>
          <w:noProof/>
        </w:rPr>
        <w:t> </w:t>
      </w:r>
      <w:r w:rsidR="00DD1DFA" w:rsidRPr="00DD1DFA">
        <w:rPr>
          <w:noProof/>
        </w:rPr>
        <w:t>odn</w:t>
      </w:r>
      <w:r w:rsidR="00B10C49" w:rsidRPr="00DD1DFA">
        <w:rPr>
          <w:noProof/>
        </w:rPr>
        <w:t>iesieniu do producenta</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spo</w:t>
      </w:r>
      <w:r w:rsidR="00B10C49" w:rsidRPr="00DD1DFA">
        <w:rPr>
          <w:noProof/>
        </w:rPr>
        <w:t>sób proporcjonalny, unikając stwarzania niepotrzebnych obciążeń dla podmiotów gospodarczych. Jednostki notyfikowane wykonują swe zadania, uwzględniając wielkość przedsiębiorstwa, sektor,</w:t>
      </w:r>
      <w:r w:rsidR="00DD1DFA" w:rsidRPr="00DD1DFA">
        <w:rPr>
          <w:noProof/>
        </w:rPr>
        <w:t xml:space="preserve"> w</w:t>
      </w:r>
      <w:r w:rsidR="00DD1DFA">
        <w:rPr>
          <w:noProof/>
        </w:rPr>
        <w:t> </w:t>
      </w:r>
      <w:r w:rsidR="00DD1DFA" w:rsidRPr="00DD1DFA">
        <w:rPr>
          <w:noProof/>
        </w:rPr>
        <w:t>któ</w:t>
      </w:r>
      <w:r w:rsidR="00B10C49" w:rsidRPr="00DD1DFA">
        <w:rPr>
          <w:noProof/>
        </w:rPr>
        <w:t>rym przedsiębiorstwo prowadzi działalność,</w:t>
      </w:r>
      <w:r w:rsidR="00DD1DFA" w:rsidRPr="00DD1DFA">
        <w:rPr>
          <w:noProof/>
        </w:rPr>
        <w:t xml:space="preserve"> i</w:t>
      </w:r>
      <w:r w:rsidR="00DD1DFA">
        <w:rPr>
          <w:noProof/>
        </w:rPr>
        <w:t> </w:t>
      </w:r>
      <w:r w:rsidR="00DD1DFA" w:rsidRPr="00DD1DFA">
        <w:rPr>
          <w:noProof/>
        </w:rPr>
        <w:t>jeg</w:t>
      </w:r>
      <w:r w:rsidR="00B10C49" w:rsidRPr="00DD1DFA">
        <w:rPr>
          <w:noProof/>
        </w:rPr>
        <w:t>o strukturę, stopień złożoności technologii wykorzystywanych przy produkcji oraz masowy lub seryjny charakter procesu produkcyjnego.</w:t>
      </w:r>
    </w:p>
    <w:p w14:paraId="53D13E5F" w14:textId="0EA75750" w:rsidR="00B10C49" w:rsidRPr="00DD1DFA" w:rsidRDefault="00B10C49" w:rsidP="00B10C49">
      <w:pPr>
        <w:pStyle w:val="Text1"/>
        <w:rPr>
          <w:noProof/>
        </w:rPr>
      </w:pPr>
      <w:r w:rsidRPr="00DD1DFA">
        <w:rPr>
          <w:noProof/>
        </w:rPr>
        <w:t>Postępując</w:t>
      </w:r>
      <w:r w:rsidR="00DD1DFA" w:rsidRPr="00DD1DFA">
        <w:rPr>
          <w:noProof/>
        </w:rPr>
        <w:t xml:space="preserve"> w</w:t>
      </w:r>
      <w:r w:rsidR="00DD1DFA">
        <w:rPr>
          <w:noProof/>
        </w:rPr>
        <w:t> </w:t>
      </w:r>
      <w:r w:rsidR="00DD1DFA" w:rsidRPr="00DD1DFA">
        <w:rPr>
          <w:noProof/>
        </w:rPr>
        <w:t>pow</w:t>
      </w:r>
      <w:r w:rsidRPr="00DD1DFA">
        <w:rPr>
          <w:noProof/>
        </w:rPr>
        <w:t>yższy sposób, jednostki notyfikowane uwzględniają jednak to, jak dalece rygorystyczne wymagania zostały nałożone na wyrób niniejszym rozporządzeniem oraz jaką rolę odgrywa wyrób</w:t>
      </w:r>
      <w:r w:rsidR="00DD1DFA" w:rsidRPr="00DD1DFA">
        <w:rPr>
          <w:noProof/>
        </w:rPr>
        <w:t xml:space="preserve"> w</w:t>
      </w:r>
      <w:r w:rsidR="00DD1DFA">
        <w:rPr>
          <w:noProof/>
        </w:rPr>
        <w:t> </w:t>
      </w:r>
      <w:r w:rsidR="00DD1DFA" w:rsidRPr="00DD1DFA">
        <w:rPr>
          <w:noProof/>
        </w:rPr>
        <w:t>spe</w:t>
      </w:r>
      <w:r w:rsidRPr="00DD1DFA">
        <w:rPr>
          <w:noProof/>
        </w:rPr>
        <w:t>łnianiu wszystkich podstawowych wymagań dotyczących obiektów budowlanych.</w:t>
      </w:r>
    </w:p>
    <w:p w14:paraId="1D529A8E" w14:textId="23CF2595" w:rsidR="00B10C49" w:rsidRPr="00DD1DFA" w:rsidRDefault="005F7EFA" w:rsidP="005F7EFA">
      <w:pPr>
        <w:pStyle w:val="ManualNumPar1"/>
        <w:rPr>
          <w:noProof/>
        </w:rPr>
      </w:pPr>
      <w:r w:rsidRPr="005F7EFA">
        <w:t>3.</w:t>
      </w:r>
      <w:r w:rsidRPr="005F7EFA">
        <w:tab/>
      </w:r>
      <w:r w:rsidR="00B10C49" w:rsidRPr="00DD1DFA">
        <w:rPr>
          <w:noProof/>
        </w:rPr>
        <w:t>W przypadku gdy podczas wstępnej inspekcji zakładu produkcyjnego</w:t>
      </w:r>
      <w:r w:rsidR="00DD1DFA" w:rsidRPr="00DD1DFA">
        <w:rPr>
          <w:noProof/>
        </w:rPr>
        <w:t xml:space="preserve"> i</w:t>
      </w:r>
      <w:r w:rsidR="00DD1DFA">
        <w:rPr>
          <w:noProof/>
        </w:rPr>
        <w:t> </w:t>
      </w:r>
      <w:r w:rsidR="00DD1DFA" w:rsidRPr="00DD1DFA">
        <w:rPr>
          <w:noProof/>
        </w:rPr>
        <w:t>zak</w:t>
      </w:r>
      <w:r w:rsidR="00B10C49" w:rsidRPr="00DD1DFA">
        <w:rPr>
          <w:noProof/>
        </w:rPr>
        <w:t>ładowej kontroli produkcji jednostka notyfikowana stwierdza, że producent nie zapewnił stałości właściwości użytkowych</w:t>
      </w:r>
      <w:r w:rsidR="00DD1DFA" w:rsidRPr="00DD1DFA">
        <w:rPr>
          <w:noProof/>
        </w:rPr>
        <w:t xml:space="preserve"> i</w:t>
      </w:r>
      <w:r w:rsidR="00DD1DFA">
        <w:rPr>
          <w:noProof/>
        </w:rPr>
        <w:t> </w:t>
      </w:r>
      <w:r w:rsidR="00DD1DFA" w:rsidRPr="00DD1DFA">
        <w:rPr>
          <w:noProof/>
        </w:rPr>
        <w:t>zgo</w:t>
      </w:r>
      <w:r w:rsidR="00B10C49" w:rsidRPr="00DD1DFA">
        <w:rPr>
          <w:noProof/>
        </w:rPr>
        <w:t>dności produkowanego wyrobu, zobowiązuje ona producenta do wprowadzenia stosownych środków naprawczych</w:t>
      </w:r>
      <w:r w:rsidR="00DD1DFA" w:rsidRPr="00DD1DFA">
        <w:rPr>
          <w:noProof/>
        </w:rPr>
        <w:t xml:space="preserve"> i</w:t>
      </w:r>
      <w:r w:rsidR="00DD1DFA">
        <w:rPr>
          <w:noProof/>
        </w:rPr>
        <w:t> </w:t>
      </w:r>
      <w:r w:rsidR="00DD1DFA" w:rsidRPr="00DD1DFA">
        <w:rPr>
          <w:noProof/>
        </w:rPr>
        <w:t>nie</w:t>
      </w:r>
      <w:r w:rsidR="00B10C49" w:rsidRPr="00DD1DFA">
        <w:rPr>
          <w:noProof/>
        </w:rPr>
        <w:t xml:space="preserve"> wydaje mu certyfikatu.</w:t>
      </w:r>
    </w:p>
    <w:p w14:paraId="04FFFD7A" w14:textId="1826CE90" w:rsidR="00B10C49" w:rsidRPr="00DD1DFA" w:rsidRDefault="005F7EFA" w:rsidP="005F7EFA">
      <w:pPr>
        <w:pStyle w:val="ManualNumPar1"/>
        <w:rPr>
          <w:noProof/>
        </w:rPr>
      </w:pPr>
      <w:r w:rsidRPr="005F7EFA">
        <w:t>4.</w:t>
      </w:r>
      <w:r w:rsidRPr="005F7EFA">
        <w:tab/>
      </w:r>
      <w:r w:rsidR="00B10C49" w:rsidRPr="00DD1DFA">
        <w:rPr>
          <w:noProof/>
        </w:rPr>
        <w:t>W przypadku gdy</w:t>
      </w:r>
      <w:r w:rsidR="00DD1DFA" w:rsidRPr="00DD1DFA">
        <w:rPr>
          <w:noProof/>
        </w:rPr>
        <w:t xml:space="preserve"> w</w:t>
      </w:r>
      <w:r w:rsidR="00DD1DFA">
        <w:rPr>
          <w:noProof/>
        </w:rPr>
        <w:t> </w:t>
      </w:r>
      <w:r w:rsidR="00DD1DFA" w:rsidRPr="00DD1DFA">
        <w:rPr>
          <w:noProof/>
        </w:rPr>
        <w:t>tra</w:t>
      </w:r>
      <w:r w:rsidR="00B10C49" w:rsidRPr="00DD1DFA">
        <w:rPr>
          <w:noProof/>
        </w:rPr>
        <w:t>kcie działań</w:t>
      </w:r>
      <w:r w:rsidR="00DD1DFA" w:rsidRPr="00DD1DFA">
        <w:rPr>
          <w:noProof/>
        </w:rPr>
        <w:t xml:space="preserve"> w</w:t>
      </w:r>
      <w:r w:rsidR="00DD1DFA">
        <w:rPr>
          <w:noProof/>
        </w:rPr>
        <w:t> </w:t>
      </w:r>
      <w:r w:rsidR="00DD1DFA" w:rsidRPr="00DD1DFA">
        <w:rPr>
          <w:noProof/>
        </w:rPr>
        <w:t>nad</w:t>
      </w:r>
      <w:r w:rsidR="00B10C49" w:rsidRPr="00DD1DFA">
        <w:rPr>
          <w:noProof/>
        </w:rPr>
        <w:t>zorze, mających na celu weryfikację zgodności</w:t>
      </w:r>
      <w:r w:rsidR="00DD1DFA" w:rsidRPr="00DD1DFA">
        <w:rPr>
          <w:noProof/>
        </w:rPr>
        <w:t xml:space="preserve"> i</w:t>
      </w:r>
      <w:r w:rsidR="00DD1DFA">
        <w:rPr>
          <w:noProof/>
        </w:rPr>
        <w:t> </w:t>
      </w:r>
      <w:r w:rsidR="00DD1DFA" w:rsidRPr="00DD1DFA">
        <w:rPr>
          <w:noProof/>
        </w:rPr>
        <w:t>sta</w:t>
      </w:r>
      <w:r w:rsidR="00B10C49" w:rsidRPr="00DD1DFA">
        <w:rPr>
          <w:noProof/>
        </w:rPr>
        <w:t>łości właściwości użytkowych produkowanego wyrobu, jednostka notyfikowana stwierdza, że wyrób nie posiada już tych samych właściwości użytkowych co typ wyrobu, zobowiązuje ona producenta do wprowadzenia</w:t>
      </w:r>
      <w:r w:rsidR="00DD1DFA" w:rsidRPr="00DD1DFA">
        <w:rPr>
          <w:noProof/>
        </w:rPr>
        <w:t xml:space="preserve"> w</w:t>
      </w:r>
      <w:r w:rsidR="00DD1DFA">
        <w:rPr>
          <w:noProof/>
        </w:rPr>
        <w:t> </w:t>
      </w:r>
      <w:r w:rsidR="00DD1DFA" w:rsidRPr="00DD1DFA">
        <w:rPr>
          <w:noProof/>
        </w:rPr>
        <w:t>raz</w:t>
      </w:r>
      <w:r w:rsidR="00B10C49" w:rsidRPr="00DD1DFA">
        <w:rPr>
          <w:noProof/>
        </w:rPr>
        <w:t>ie potrzeby stosownych środków naprawczych oraz zawiesza lub wycofuje jego certyfikat.</w:t>
      </w:r>
    </w:p>
    <w:p w14:paraId="6BABD429" w14:textId="21B782EF" w:rsidR="00B10C49" w:rsidRPr="00DD1DFA" w:rsidRDefault="005F7EFA" w:rsidP="005F7EFA">
      <w:pPr>
        <w:pStyle w:val="ManualNumPar1"/>
        <w:rPr>
          <w:noProof/>
        </w:rPr>
      </w:pPr>
      <w:r w:rsidRPr="005F7EFA">
        <w:t>5.</w:t>
      </w:r>
      <w:r w:rsidRPr="005F7EFA">
        <w:tab/>
      </w:r>
      <w:r w:rsidR="00B10C49" w:rsidRPr="00DD1DFA">
        <w:rPr>
          <w:noProof/>
        </w:rPr>
        <w:t>W przypadku niewprowadzenia środków naprawczych lub jeśli środki te nie przynoszą wymaganych skutków, jednostka notyfikowana odpowiednio ogranicza, zawiesza lub wycofuje wszelkie certyfikaty.</w:t>
      </w:r>
    </w:p>
    <w:p w14:paraId="39F7147E" w14:textId="0EEC7E57" w:rsidR="00B10C49" w:rsidRPr="00DD1DFA" w:rsidRDefault="005F7EFA" w:rsidP="005F7EFA">
      <w:pPr>
        <w:pStyle w:val="ManualNumPar1"/>
        <w:rPr>
          <w:noProof/>
        </w:rPr>
      </w:pPr>
      <w:r w:rsidRPr="005F7EFA">
        <w:t>6.</w:t>
      </w:r>
      <w:r w:rsidRPr="005F7EFA">
        <w:tab/>
      </w:r>
      <w:r w:rsidR="00B10C49" w:rsidRPr="00DD1DFA">
        <w:rPr>
          <w:noProof/>
        </w:rPr>
        <w:t>Przy podejmowaniu decyzji dotyczących oceny,</w:t>
      </w:r>
      <w:r w:rsidR="00DD1DFA" w:rsidRPr="00DD1DFA">
        <w:rPr>
          <w:noProof/>
        </w:rPr>
        <w:t xml:space="preserve"> w</w:t>
      </w:r>
      <w:r w:rsidR="00DD1DFA">
        <w:rPr>
          <w:noProof/>
        </w:rPr>
        <w:t> </w:t>
      </w:r>
      <w:r w:rsidR="00DD1DFA" w:rsidRPr="00DD1DFA">
        <w:rPr>
          <w:noProof/>
        </w:rPr>
        <w:t>tym</w:t>
      </w:r>
      <w:r w:rsidR="00B10C49" w:rsidRPr="00DD1DFA">
        <w:rPr>
          <w:noProof/>
        </w:rPr>
        <w:t xml:space="preserve"> decyzji</w:t>
      </w:r>
      <w:r w:rsidR="00DD1DFA" w:rsidRPr="00DD1DFA">
        <w:rPr>
          <w:noProof/>
        </w:rPr>
        <w:t xml:space="preserve"> o</w:t>
      </w:r>
      <w:r w:rsidR="00DD1DFA">
        <w:rPr>
          <w:noProof/>
        </w:rPr>
        <w:t> </w:t>
      </w:r>
      <w:r w:rsidR="00DD1DFA" w:rsidRPr="00DD1DFA">
        <w:rPr>
          <w:noProof/>
        </w:rPr>
        <w:t>pot</w:t>
      </w:r>
      <w:r w:rsidR="00B10C49" w:rsidRPr="00DD1DFA">
        <w:rPr>
          <w:noProof/>
        </w:rPr>
        <w:t>rzebie zawieszenia lub cofnięcia certyfikatu lub decyzji</w:t>
      </w:r>
      <w:r w:rsidR="00DD1DFA" w:rsidRPr="00DD1DFA">
        <w:rPr>
          <w:noProof/>
        </w:rPr>
        <w:t xml:space="preserve"> o</w:t>
      </w:r>
      <w:r w:rsidR="00DD1DFA">
        <w:rPr>
          <w:noProof/>
        </w:rPr>
        <w:t> </w:t>
      </w:r>
      <w:r w:rsidR="00DD1DFA" w:rsidRPr="00DD1DFA">
        <w:rPr>
          <w:noProof/>
        </w:rPr>
        <w:t>zat</w:t>
      </w:r>
      <w:r w:rsidR="00B10C49" w:rsidRPr="00DD1DFA">
        <w:rPr>
          <w:noProof/>
        </w:rPr>
        <w:t>wierdzeniu</w:t>
      </w:r>
      <w:r w:rsidR="00DD1DFA" w:rsidRPr="00DD1DFA">
        <w:rPr>
          <w:noProof/>
        </w:rPr>
        <w:t xml:space="preserve"> w</w:t>
      </w:r>
      <w:r w:rsidR="00DD1DFA">
        <w:rPr>
          <w:noProof/>
        </w:rPr>
        <w:t> </w:t>
      </w:r>
      <w:r w:rsidR="00DD1DFA" w:rsidRPr="00DD1DFA">
        <w:rPr>
          <w:noProof/>
        </w:rPr>
        <w:t>świ</w:t>
      </w:r>
      <w:r w:rsidR="00B10C49" w:rsidRPr="00DD1DFA">
        <w:rPr>
          <w:noProof/>
        </w:rPr>
        <w:t>etle ewentualnych niezgodności, jednostki notyfikowane powinny stosować jasne</w:t>
      </w:r>
      <w:r w:rsidR="00DD1DFA" w:rsidRPr="00DD1DFA">
        <w:rPr>
          <w:noProof/>
        </w:rPr>
        <w:t xml:space="preserve"> i</w:t>
      </w:r>
      <w:r w:rsidR="00DD1DFA">
        <w:rPr>
          <w:noProof/>
        </w:rPr>
        <w:t> </w:t>
      </w:r>
      <w:r w:rsidR="00DD1DFA" w:rsidRPr="00DD1DFA">
        <w:rPr>
          <w:noProof/>
        </w:rPr>
        <w:t>upr</w:t>
      </w:r>
      <w:r w:rsidR="00B10C49" w:rsidRPr="00DD1DFA">
        <w:rPr>
          <w:noProof/>
        </w:rPr>
        <w:t>zednio ustalone kryteria.</w:t>
      </w:r>
    </w:p>
    <w:p w14:paraId="56D9F951" w14:textId="6930C46D" w:rsidR="00BC1E12" w:rsidRPr="00DD1DFA" w:rsidRDefault="005F7EFA" w:rsidP="005F7EFA">
      <w:pPr>
        <w:pStyle w:val="ManualNumPar1"/>
        <w:rPr>
          <w:noProof/>
        </w:rPr>
      </w:pPr>
      <w:r w:rsidRPr="005F7EFA">
        <w:t>7.</w:t>
      </w:r>
      <w:r w:rsidRPr="005F7EFA">
        <w:tab/>
      </w:r>
      <w:r w:rsidR="00B10C49" w:rsidRPr="00DD1DFA">
        <w:rPr>
          <w:noProof/>
        </w:rPr>
        <w:t>Jednostki notyfikowane powinny zapewnić rotację pracowników wykonujących różne zadania związane</w:t>
      </w:r>
      <w:r w:rsidR="00DD1DFA" w:rsidRPr="00DD1DFA">
        <w:rPr>
          <w:noProof/>
        </w:rPr>
        <w:t xml:space="preserve"> z</w:t>
      </w:r>
      <w:r w:rsidR="00DD1DFA">
        <w:rPr>
          <w:noProof/>
        </w:rPr>
        <w:t> </w:t>
      </w:r>
      <w:r w:rsidR="00DD1DFA" w:rsidRPr="00DD1DFA">
        <w:rPr>
          <w:noProof/>
        </w:rPr>
        <w:t>oce</w:t>
      </w:r>
      <w:r w:rsidR="00B10C49" w:rsidRPr="00DD1DFA">
        <w:rPr>
          <w:noProof/>
        </w:rPr>
        <w:t>ną.</w:t>
      </w:r>
    </w:p>
    <w:p w14:paraId="033E8693" w14:textId="77777777" w:rsidR="00BC1E12" w:rsidRPr="00DD1DFA" w:rsidRDefault="00F53F9F" w:rsidP="000558F4">
      <w:pPr>
        <w:pStyle w:val="Titrearticle"/>
        <w:rPr>
          <w:noProof/>
        </w:rPr>
      </w:pPr>
      <w:r w:rsidRPr="00DD1DFA">
        <w:rPr>
          <w:noProof/>
        </w:rPr>
        <w:t>Artykuł 61</w:t>
      </w:r>
    </w:p>
    <w:p w14:paraId="10BD6955" w14:textId="3B54B620" w:rsidR="00BC1E12" w:rsidRPr="00DD1DFA" w:rsidRDefault="00BC1E12" w:rsidP="000558F4">
      <w:pPr>
        <w:pStyle w:val="Titrearticle"/>
        <w:rPr>
          <w:b/>
          <w:noProof/>
        </w:rPr>
      </w:pPr>
      <w:r w:rsidRPr="00DD1DFA">
        <w:rPr>
          <w:b/>
          <w:noProof/>
        </w:rPr>
        <w:t>Obowiązki jednostek notyfikowanych</w:t>
      </w:r>
      <w:r w:rsidR="00DD1DFA" w:rsidRPr="00DD1DFA">
        <w:rPr>
          <w:b/>
          <w:noProof/>
        </w:rPr>
        <w:t xml:space="preserve"> w</w:t>
      </w:r>
      <w:r w:rsidR="00DD1DFA">
        <w:rPr>
          <w:b/>
          <w:noProof/>
        </w:rPr>
        <w:t> </w:t>
      </w:r>
      <w:r w:rsidR="00DD1DFA" w:rsidRPr="00DD1DFA">
        <w:rPr>
          <w:b/>
          <w:noProof/>
        </w:rPr>
        <w:t>zak</w:t>
      </w:r>
      <w:r w:rsidRPr="00DD1DFA">
        <w:rPr>
          <w:b/>
          <w:noProof/>
        </w:rPr>
        <w:t>resie informowania</w:t>
      </w:r>
    </w:p>
    <w:p w14:paraId="4D7E90A3" w14:textId="6265746F" w:rsidR="007A5097" w:rsidRPr="00DD1DFA" w:rsidRDefault="005F7EFA" w:rsidP="005F7EFA">
      <w:pPr>
        <w:pStyle w:val="ManualNumPar1"/>
        <w:rPr>
          <w:noProof/>
        </w:rPr>
      </w:pPr>
      <w:r w:rsidRPr="005F7EFA">
        <w:t>1.</w:t>
      </w:r>
      <w:r w:rsidRPr="005F7EFA">
        <w:tab/>
      </w:r>
      <w:r w:rsidR="007A5097" w:rsidRPr="00DD1DFA">
        <w:rPr>
          <w:noProof/>
        </w:rPr>
        <w:t>Jednostki notyfikowane informują organ notyfikujący:</w:t>
      </w:r>
    </w:p>
    <w:p w14:paraId="0B7F94E2" w14:textId="72DE69C3" w:rsidR="007A5097" w:rsidRPr="00DD1DFA" w:rsidRDefault="003C1401" w:rsidP="003C1401">
      <w:pPr>
        <w:pStyle w:val="Point1"/>
        <w:rPr>
          <w:noProof/>
        </w:rPr>
      </w:pPr>
      <w:r w:rsidRPr="003C1401">
        <w:rPr>
          <w:noProof/>
        </w:rPr>
        <w:t>a)</w:t>
      </w:r>
      <w:r w:rsidRPr="003C1401">
        <w:rPr>
          <w:noProof/>
        </w:rPr>
        <w:tab/>
      </w:r>
      <w:r w:rsidR="007A5097" w:rsidRPr="00DD1DFA">
        <w:rPr>
          <w:noProof/>
        </w:rPr>
        <w:t>o odmowie, ograniczeniu, zawieszeniu lub wycofaniu certyfikatów;</w:t>
      </w:r>
    </w:p>
    <w:p w14:paraId="387F6982" w14:textId="61AB7199" w:rsidR="007A5097" w:rsidRPr="00DD1DFA" w:rsidRDefault="003C1401" w:rsidP="003C1401">
      <w:pPr>
        <w:pStyle w:val="Point1"/>
        <w:rPr>
          <w:noProof/>
        </w:rPr>
      </w:pPr>
      <w:r w:rsidRPr="003C1401">
        <w:rPr>
          <w:noProof/>
        </w:rPr>
        <w:t>b)</w:t>
      </w:r>
      <w:r w:rsidRPr="003C1401">
        <w:rPr>
          <w:noProof/>
        </w:rPr>
        <w:tab/>
      </w:r>
      <w:r w:rsidR="007A5097" w:rsidRPr="00DD1DFA">
        <w:rPr>
          <w:noProof/>
        </w:rPr>
        <w:t>o wszelkich okolicznościach wpływających na zakres</w:t>
      </w:r>
      <w:r w:rsidR="00DD1DFA" w:rsidRPr="00DD1DFA">
        <w:rPr>
          <w:noProof/>
        </w:rPr>
        <w:t xml:space="preserve"> i</w:t>
      </w:r>
      <w:r w:rsidR="00DD1DFA">
        <w:rPr>
          <w:noProof/>
        </w:rPr>
        <w:t> </w:t>
      </w:r>
      <w:r w:rsidR="00DD1DFA" w:rsidRPr="00DD1DFA">
        <w:rPr>
          <w:noProof/>
        </w:rPr>
        <w:t>war</w:t>
      </w:r>
      <w:r w:rsidR="007A5097" w:rsidRPr="00DD1DFA">
        <w:rPr>
          <w:noProof/>
        </w:rPr>
        <w:t>unki dotyczące notyfikacji;</w:t>
      </w:r>
    </w:p>
    <w:p w14:paraId="0AFF7E0A" w14:textId="618E4DE4" w:rsidR="007A5097" w:rsidRPr="00DD1DFA" w:rsidRDefault="003C1401" w:rsidP="003C1401">
      <w:pPr>
        <w:pStyle w:val="Point1"/>
        <w:rPr>
          <w:noProof/>
        </w:rPr>
      </w:pPr>
      <w:r w:rsidRPr="003C1401">
        <w:rPr>
          <w:noProof/>
        </w:rPr>
        <w:t>c)</w:t>
      </w:r>
      <w:r w:rsidRPr="003C1401">
        <w:rPr>
          <w:noProof/>
        </w:rPr>
        <w:tab/>
      </w:r>
      <w:r w:rsidR="007A5097" w:rsidRPr="00DD1DFA">
        <w:rPr>
          <w:noProof/>
        </w:rPr>
        <w:t>o wszelkich żądaniach dostarczenia informacji dotyczących przeprowadzonych działań związanych</w:t>
      </w:r>
      <w:r w:rsidR="00DD1DFA" w:rsidRPr="00DD1DFA">
        <w:rPr>
          <w:noProof/>
        </w:rPr>
        <w:t xml:space="preserve"> z</w:t>
      </w:r>
      <w:r w:rsidR="00DD1DFA">
        <w:rPr>
          <w:noProof/>
        </w:rPr>
        <w:t> </w:t>
      </w:r>
      <w:r w:rsidR="00DD1DFA" w:rsidRPr="00DD1DFA">
        <w:rPr>
          <w:noProof/>
        </w:rPr>
        <w:t>oce</w:t>
      </w:r>
      <w:r w:rsidR="007A5097" w:rsidRPr="00DD1DFA">
        <w:rPr>
          <w:noProof/>
        </w:rPr>
        <w:t>ną lub weryfikacją, otrzymanych od organów nadzoru rynku; oraz</w:t>
      </w:r>
    </w:p>
    <w:p w14:paraId="069308FF" w14:textId="3F16D294" w:rsidR="007A5097" w:rsidRPr="00DD1DFA" w:rsidRDefault="003C1401" w:rsidP="003C1401">
      <w:pPr>
        <w:pStyle w:val="Point1"/>
        <w:rPr>
          <w:noProof/>
        </w:rPr>
      </w:pPr>
      <w:r w:rsidRPr="003C1401">
        <w:rPr>
          <w:noProof/>
        </w:rPr>
        <w:t>d)</w:t>
      </w:r>
      <w:r w:rsidRPr="003C1401">
        <w:rPr>
          <w:noProof/>
        </w:rPr>
        <w:tab/>
      </w:r>
      <w:r w:rsidR="007A5097" w:rsidRPr="00DD1DFA">
        <w:rPr>
          <w:noProof/>
        </w:rPr>
        <w:t>na żądanie –</w:t>
      </w:r>
      <w:r w:rsidR="00DD1DFA" w:rsidRPr="00DD1DFA">
        <w:rPr>
          <w:noProof/>
        </w:rPr>
        <w:t xml:space="preserve"> o</w:t>
      </w:r>
      <w:r w:rsidR="00DD1DFA">
        <w:rPr>
          <w:noProof/>
        </w:rPr>
        <w:t> </w:t>
      </w:r>
      <w:r w:rsidR="00DD1DFA" w:rsidRPr="00DD1DFA">
        <w:rPr>
          <w:noProof/>
        </w:rPr>
        <w:t>zad</w:t>
      </w:r>
      <w:r w:rsidR="007A5097" w:rsidRPr="00DD1DFA">
        <w:rPr>
          <w:noProof/>
        </w:rPr>
        <w:t>aniach strony trzeciej zgodnie</w:t>
      </w:r>
      <w:r w:rsidR="00DD1DFA" w:rsidRPr="00DD1DFA">
        <w:rPr>
          <w:noProof/>
        </w:rPr>
        <w:t xml:space="preserve"> z</w:t>
      </w:r>
      <w:r w:rsidR="00DD1DFA">
        <w:rPr>
          <w:noProof/>
        </w:rPr>
        <w:t> </w:t>
      </w:r>
      <w:r w:rsidR="00DD1DFA" w:rsidRPr="00DD1DFA">
        <w:rPr>
          <w:noProof/>
        </w:rPr>
        <w:t>sys</w:t>
      </w:r>
      <w:r w:rsidR="007A5097" w:rsidRPr="00DD1DFA">
        <w:rPr>
          <w:noProof/>
        </w:rPr>
        <w:t>temami oceny</w:t>
      </w:r>
      <w:r w:rsidR="00DD1DFA" w:rsidRPr="00DD1DFA">
        <w:rPr>
          <w:noProof/>
        </w:rPr>
        <w:t xml:space="preserve"> i</w:t>
      </w:r>
      <w:r w:rsidR="00DD1DFA">
        <w:rPr>
          <w:noProof/>
        </w:rPr>
        <w:t> </w:t>
      </w:r>
      <w:r w:rsidR="00DD1DFA" w:rsidRPr="00DD1DFA">
        <w:rPr>
          <w:noProof/>
        </w:rPr>
        <w:t>wer</w:t>
      </w:r>
      <w:r w:rsidR="007A5097" w:rsidRPr="00DD1DFA">
        <w:rPr>
          <w:noProof/>
        </w:rPr>
        <w:t>yfikacji, wykonywanych</w:t>
      </w:r>
      <w:r w:rsidR="00DD1DFA" w:rsidRPr="00DD1DFA">
        <w:rPr>
          <w:noProof/>
        </w:rPr>
        <w:t xml:space="preserve"> w</w:t>
      </w:r>
      <w:r w:rsidR="00DD1DFA">
        <w:rPr>
          <w:noProof/>
        </w:rPr>
        <w:t> </w:t>
      </w:r>
      <w:r w:rsidR="00DD1DFA" w:rsidRPr="00DD1DFA">
        <w:rPr>
          <w:noProof/>
        </w:rPr>
        <w:t>zak</w:t>
      </w:r>
      <w:r w:rsidR="007A5097" w:rsidRPr="00DD1DFA">
        <w:rPr>
          <w:noProof/>
        </w:rPr>
        <w:t>resie objętym notyfikacją, oraz</w:t>
      </w:r>
      <w:r w:rsidR="00DD1DFA" w:rsidRPr="00DD1DFA">
        <w:rPr>
          <w:noProof/>
        </w:rPr>
        <w:t xml:space="preserve"> o</w:t>
      </w:r>
      <w:r w:rsidR="00DD1DFA">
        <w:rPr>
          <w:noProof/>
        </w:rPr>
        <w:t> </w:t>
      </w:r>
      <w:r w:rsidR="00DD1DFA" w:rsidRPr="00DD1DFA">
        <w:rPr>
          <w:noProof/>
        </w:rPr>
        <w:t>inn</w:t>
      </w:r>
      <w:r w:rsidR="007A5097" w:rsidRPr="00DD1DFA">
        <w:rPr>
          <w:noProof/>
        </w:rPr>
        <w:t>ych realizowanych zadaniach, włączając w to działalność transgraniczną</w:t>
      </w:r>
      <w:r w:rsidR="00DD1DFA" w:rsidRPr="00DD1DFA">
        <w:rPr>
          <w:noProof/>
        </w:rPr>
        <w:t xml:space="preserve"> i</w:t>
      </w:r>
      <w:r w:rsidR="00DD1DFA">
        <w:rPr>
          <w:noProof/>
        </w:rPr>
        <w:t> </w:t>
      </w:r>
      <w:r w:rsidR="00DD1DFA" w:rsidRPr="00DD1DFA">
        <w:rPr>
          <w:noProof/>
        </w:rPr>
        <w:t>pod</w:t>
      </w:r>
      <w:r w:rsidR="007A5097" w:rsidRPr="00DD1DFA">
        <w:rPr>
          <w:noProof/>
        </w:rPr>
        <w:t>wykonawstwo.</w:t>
      </w:r>
    </w:p>
    <w:p w14:paraId="51CCDD6D" w14:textId="6100450A" w:rsidR="007A5097" w:rsidRPr="00DD1DFA" w:rsidRDefault="005F7EFA" w:rsidP="005F7EFA">
      <w:pPr>
        <w:pStyle w:val="ManualNumPar1"/>
        <w:rPr>
          <w:noProof/>
        </w:rPr>
      </w:pPr>
      <w:r w:rsidRPr="005F7EFA">
        <w:t>2.</w:t>
      </w:r>
      <w:r w:rsidRPr="005F7EFA">
        <w:tab/>
      </w:r>
      <w:r w:rsidR="007A5097" w:rsidRPr="00DD1DFA">
        <w:rPr>
          <w:noProof/>
        </w:rPr>
        <w:t>Jednostki notyfikowane przekazują innym jednostkom notyfikowanym na mocy niniejszego rozporządzenia, wykonującym podobne zadania strony trzeciej zgodnie</w:t>
      </w:r>
      <w:r w:rsidR="00DD1DFA" w:rsidRPr="00DD1DFA">
        <w:rPr>
          <w:noProof/>
        </w:rPr>
        <w:t xml:space="preserve"> z</w:t>
      </w:r>
      <w:r w:rsidR="00DD1DFA">
        <w:rPr>
          <w:noProof/>
        </w:rPr>
        <w:t> </w:t>
      </w:r>
      <w:r w:rsidR="00DD1DFA" w:rsidRPr="00DD1DFA">
        <w:rPr>
          <w:noProof/>
        </w:rPr>
        <w:t>sys</w:t>
      </w:r>
      <w:r w:rsidR="007A5097" w:rsidRPr="00DD1DFA">
        <w:rPr>
          <w:noProof/>
        </w:rPr>
        <w:t>temami oceny</w:t>
      </w:r>
      <w:r w:rsidR="00DD1DFA" w:rsidRPr="00DD1DFA">
        <w:rPr>
          <w:noProof/>
        </w:rPr>
        <w:t xml:space="preserve"> i</w:t>
      </w:r>
      <w:r w:rsidR="00DD1DFA">
        <w:rPr>
          <w:noProof/>
        </w:rPr>
        <w:t> </w:t>
      </w:r>
      <w:r w:rsidR="00DD1DFA" w:rsidRPr="00DD1DFA">
        <w:rPr>
          <w:noProof/>
        </w:rPr>
        <w:t>wer</w:t>
      </w:r>
      <w:r w:rsidR="007A5097" w:rsidRPr="00DD1DFA">
        <w:rPr>
          <w:noProof/>
        </w:rPr>
        <w:t>yfikacji</w:t>
      </w:r>
      <w:r w:rsidR="00DD1DFA" w:rsidRPr="00DD1DFA">
        <w:rPr>
          <w:noProof/>
        </w:rPr>
        <w:t xml:space="preserve"> i</w:t>
      </w:r>
      <w:r w:rsidR="00DD1DFA">
        <w:rPr>
          <w:noProof/>
        </w:rPr>
        <w:t> </w:t>
      </w:r>
      <w:r w:rsidR="00DD1DFA" w:rsidRPr="00DD1DFA">
        <w:rPr>
          <w:noProof/>
        </w:rPr>
        <w:t>dla</w:t>
      </w:r>
      <w:r w:rsidR="007A5097" w:rsidRPr="00DD1DFA">
        <w:rPr>
          <w:noProof/>
        </w:rPr>
        <w:t xml:space="preserve"> wyrobów objętych tą samą zharmonizowaną specyfikacją techniczną, odpowiednie informacje</w:t>
      </w:r>
      <w:r w:rsidR="00DD1DFA" w:rsidRPr="00DD1DFA">
        <w:rPr>
          <w:noProof/>
        </w:rPr>
        <w:t xml:space="preserve"> w</w:t>
      </w:r>
      <w:r w:rsidR="00DD1DFA">
        <w:rPr>
          <w:noProof/>
        </w:rPr>
        <w:t> </w:t>
      </w:r>
      <w:r w:rsidR="00DD1DFA" w:rsidRPr="00DD1DFA">
        <w:rPr>
          <w:noProof/>
        </w:rPr>
        <w:t>kwe</w:t>
      </w:r>
      <w:r w:rsidR="007A5097" w:rsidRPr="00DD1DFA">
        <w:rPr>
          <w:noProof/>
        </w:rPr>
        <w:t>stiach dotyczących negatywnych, a na żądanie również pozytywnych, wyników tych ocen</w:t>
      </w:r>
      <w:r w:rsidR="00DD1DFA" w:rsidRPr="00DD1DFA">
        <w:rPr>
          <w:noProof/>
        </w:rPr>
        <w:t xml:space="preserve"> i</w:t>
      </w:r>
      <w:r w:rsidR="00DD1DFA">
        <w:rPr>
          <w:noProof/>
        </w:rPr>
        <w:t> </w:t>
      </w:r>
      <w:r w:rsidR="00DD1DFA" w:rsidRPr="00DD1DFA">
        <w:rPr>
          <w:noProof/>
        </w:rPr>
        <w:t>wer</w:t>
      </w:r>
      <w:r w:rsidR="007A5097" w:rsidRPr="00DD1DFA">
        <w:rPr>
          <w:noProof/>
        </w:rPr>
        <w:t>yfikacji,</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szc</w:t>
      </w:r>
      <w:r w:rsidR="007A5097" w:rsidRPr="00DD1DFA">
        <w:rPr>
          <w:noProof/>
        </w:rPr>
        <w:t>zególności odmowy, ograniczenia, zawieszenia lub wycofania świadectw lub sprawozdań</w:t>
      </w:r>
      <w:r w:rsidR="00DD1DFA" w:rsidRPr="00DD1DFA">
        <w:rPr>
          <w:noProof/>
        </w:rPr>
        <w:t xml:space="preserve"> z</w:t>
      </w:r>
      <w:r w:rsidR="00DD1DFA">
        <w:rPr>
          <w:noProof/>
        </w:rPr>
        <w:t> </w:t>
      </w:r>
      <w:r w:rsidR="00DD1DFA" w:rsidRPr="00DD1DFA">
        <w:rPr>
          <w:noProof/>
        </w:rPr>
        <w:t>bad</w:t>
      </w:r>
      <w:r w:rsidR="007A5097" w:rsidRPr="00DD1DFA">
        <w:rPr>
          <w:noProof/>
        </w:rPr>
        <w:t>ań. Na żądanie innych jednostek notyfikowanych lub organu, jednostka notyfikowana potwierdza status wydanych przez siebie certyfikatów lub sprawozdań</w:t>
      </w:r>
      <w:r w:rsidR="00DD1DFA" w:rsidRPr="00DD1DFA">
        <w:rPr>
          <w:noProof/>
        </w:rPr>
        <w:t xml:space="preserve"> z</w:t>
      </w:r>
      <w:r w:rsidR="00DD1DFA">
        <w:rPr>
          <w:noProof/>
        </w:rPr>
        <w:t> </w:t>
      </w:r>
      <w:r w:rsidR="00DD1DFA" w:rsidRPr="00DD1DFA">
        <w:rPr>
          <w:noProof/>
        </w:rPr>
        <w:t>bad</w:t>
      </w:r>
      <w:r w:rsidR="007A5097" w:rsidRPr="00DD1DFA">
        <w:rPr>
          <w:noProof/>
        </w:rPr>
        <w:t>ań.</w:t>
      </w:r>
    </w:p>
    <w:p w14:paraId="3B5780AE" w14:textId="13F960B9" w:rsidR="007A5097" w:rsidRPr="00DD1DFA" w:rsidRDefault="005F7EFA" w:rsidP="005F7EFA">
      <w:pPr>
        <w:pStyle w:val="ManualNumPar1"/>
        <w:rPr>
          <w:noProof/>
        </w:rPr>
      </w:pPr>
      <w:r w:rsidRPr="005F7EFA">
        <w:t>3.</w:t>
      </w:r>
      <w:r w:rsidRPr="005F7EFA">
        <w:tab/>
      </w:r>
      <w:r w:rsidR="007A5097" w:rsidRPr="00DD1DFA">
        <w:rPr>
          <w:noProof/>
        </w:rPr>
        <w:t>W przypadku gdy Komisja lub organ nadzoru rynku państwa członkowskiego zwrócą się do jednostki notyfikowanej ustanowionej na terytorium innego państwa członkowskiego</w:t>
      </w:r>
      <w:r w:rsidR="00DD1DFA" w:rsidRPr="00DD1DFA">
        <w:rPr>
          <w:noProof/>
        </w:rPr>
        <w:t xml:space="preserve"> z</w:t>
      </w:r>
      <w:r w:rsidR="00DD1DFA">
        <w:rPr>
          <w:noProof/>
        </w:rPr>
        <w:t> </w:t>
      </w:r>
      <w:r w:rsidR="00DD1DFA" w:rsidRPr="00DD1DFA">
        <w:rPr>
          <w:noProof/>
        </w:rPr>
        <w:t>zap</w:t>
      </w:r>
      <w:r w:rsidR="007A5097" w:rsidRPr="00DD1DFA">
        <w:rPr>
          <w:noProof/>
        </w:rPr>
        <w:t>ytaniem dotyczącym przeprowadzonej przez nią oceny, jednostka przesyła kopię tego zapytania do jednostki notyfikowanej tego innego państwa członkowskiego. Zainteresowana jednostka notyfikowana odpowiada na takie zapytania bezzwłocznie, nie później niż</w:t>
      </w:r>
      <w:r w:rsidR="00DD1DFA" w:rsidRPr="00DD1DFA">
        <w:rPr>
          <w:noProof/>
        </w:rPr>
        <w:t xml:space="preserve"> w</w:t>
      </w:r>
      <w:r w:rsidR="00DD1DFA">
        <w:rPr>
          <w:noProof/>
        </w:rPr>
        <w:t> </w:t>
      </w:r>
      <w:r w:rsidR="00DD1DFA" w:rsidRPr="00DD1DFA">
        <w:rPr>
          <w:noProof/>
        </w:rPr>
        <w:t>cią</w:t>
      </w:r>
      <w:r w:rsidR="007A5097" w:rsidRPr="00DD1DFA">
        <w:rPr>
          <w:noProof/>
        </w:rPr>
        <w:t>gu 15 dni. Organ notyfikujący zapewnia, by takie zapytania były rozpatrywane przez jednostkę notyfikowaną, chyba że istnieje uzasadniony powód, by tego nie robić.</w:t>
      </w:r>
    </w:p>
    <w:p w14:paraId="26F06423" w14:textId="5FB3E8DD" w:rsidR="007A5097" w:rsidRPr="00DD1DFA" w:rsidRDefault="005F7EFA" w:rsidP="005F7EFA">
      <w:pPr>
        <w:pStyle w:val="ManualNumPar1"/>
        <w:rPr>
          <w:noProof/>
        </w:rPr>
      </w:pPr>
      <w:r w:rsidRPr="005F7EFA">
        <w:t>4.</w:t>
      </w:r>
      <w:r w:rsidRPr="005F7EFA">
        <w:tab/>
      </w:r>
      <w:r w:rsidR="00335EC5" w:rsidRPr="00DD1DFA">
        <w:rPr>
          <w:noProof/>
        </w:rPr>
        <w:t>4.</w:t>
      </w:r>
      <w:r w:rsidR="00335EC5" w:rsidRPr="00DD1DFA">
        <w:rPr>
          <w:noProof/>
        </w:rPr>
        <w:tab/>
        <w:t xml:space="preserve">Jednostki notyfikowane przekazują zainteresowanemu organowi nadzoru rynku lub organowi notyfikującemu, stosownie do przypadku, dowody na wszystkie wymienione poniżej okoliczności: </w:t>
      </w:r>
    </w:p>
    <w:p w14:paraId="6F3E4CC8" w14:textId="583F9E95" w:rsidR="007A5097" w:rsidRPr="00DD1DFA" w:rsidRDefault="003C1401" w:rsidP="003C1401">
      <w:pPr>
        <w:pStyle w:val="Point1"/>
        <w:rPr>
          <w:noProof/>
        </w:rPr>
      </w:pPr>
      <w:r w:rsidRPr="003C1401">
        <w:rPr>
          <w:noProof/>
        </w:rPr>
        <w:t>a)</w:t>
      </w:r>
      <w:r w:rsidRPr="003C1401">
        <w:rPr>
          <w:noProof/>
        </w:rPr>
        <w:tab/>
      </w:r>
      <w:r w:rsidR="007A5097" w:rsidRPr="00DD1DFA">
        <w:rPr>
          <w:noProof/>
        </w:rPr>
        <w:t>gdy inna jednostka notyfikowana nie spełnia wymagań określonych</w:t>
      </w:r>
      <w:r w:rsidR="00DD1DFA" w:rsidRPr="00DD1DFA">
        <w:rPr>
          <w:noProof/>
        </w:rPr>
        <w:t xml:space="preserve"> w</w:t>
      </w:r>
      <w:r w:rsidR="00DD1DFA">
        <w:rPr>
          <w:noProof/>
        </w:rPr>
        <w:t> </w:t>
      </w:r>
      <w:r w:rsidR="00DD1DFA" w:rsidRPr="00DD1DFA">
        <w:rPr>
          <w:noProof/>
        </w:rPr>
        <w:t>art</w:t>
      </w:r>
      <w:r w:rsidR="007A5097" w:rsidRPr="00DD1DFA">
        <w:rPr>
          <w:noProof/>
        </w:rPr>
        <w:t>.</w:t>
      </w:r>
      <w:r w:rsidR="00DD1DFA" w:rsidRPr="00DD1DFA">
        <w:rPr>
          <w:noProof/>
        </w:rPr>
        <w:t> </w:t>
      </w:r>
      <w:r w:rsidR="007A5097" w:rsidRPr="00DD1DFA">
        <w:rPr>
          <w:noProof/>
        </w:rPr>
        <w:t>50 lub nie wywiązuje się ze swoich obowiązków;</w:t>
      </w:r>
    </w:p>
    <w:p w14:paraId="44148C18" w14:textId="29CF3D74" w:rsidR="007A5097" w:rsidRPr="00DD1DFA" w:rsidRDefault="003C1401" w:rsidP="003C1401">
      <w:pPr>
        <w:pStyle w:val="Point1"/>
        <w:rPr>
          <w:noProof/>
        </w:rPr>
      </w:pPr>
      <w:r w:rsidRPr="003C1401">
        <w:rPr>
          <w:noProof/>
        </w:rPr>
        <w:t>b)</w:t>
      </w:r>
      <w:r w:rsidRPr="003C1401">
        <w:rPr>
          <w:noProof/>
        </w:rPr>
        <w:tab/>
      </w:r>
      <w:r w:rsidR="007A5097" w:rsidRPr="00DD1DFA">
        <w:rPr>
          <w:noProof/>
        </w:rPr>
        <w:t>gdy wyrób wprowadzony do obrotu nie jest zgodny</w:t>
      </w:r>
      <w:r w:rsidR="00DD1DFA" w:rsidRPr="00DD1DFA">
        <w:rPr>
          <w:noProof/>
        </w:rPr>
        <w:t xml:space="preserve"> z</w:t>
      </w:r>
      <w:r w:rsidR="00DD1DFA">
        <w:rPr>
          <w:noProof/>
        </w:rPr>
        <w:t> </w:t>
      </w:r>
      <w:r w:rsidR="00DD1DFA" w:rsidRPr="00DD1DFA">
        <w:rPr>
          <w:noProof/>
        </w:rPr>
        <w:t>nin</w:t>
      </w:r>
      <w:r w:rsidR="007A5097" w:rsidRPr="00DD1DFA">
        <w:rPr>
          <w:noProof/>
        </w:rPr>
        <w:t xml:space="preserve">iejszym rozporządzeniem; </w:t>
      </w:r>
    </w:p>
    <w:p w14:paraId="634F3CDF" w14:textId="2364D15F" w:rsidR="007A5097" w:rsidRPr="00DD1DFA" w:rsidRDefault="003C1401" w:rsidP="003C1401">
      <w:pPr>
        <w:pStyle w:val="Point1"/>
        <w:rPr>
          <w:noProof/>
        </w:rPr>
      </w:pPr>
      <w:r w:rsidRPr="003C1401">
        <w:rPr>
          <w:noProof/>
        </w:rPr>
        <w:t>c)</w:t>
      </w:r>
      <w:r w:rsidRPr="003C1401">
        <w:rPr>
          <w:noProof/>
        </w:rPr>
        <w:tab/>
      </w:r>
      <w:r w:rsidR="007A5097" w:rsidRPr="00DD1DFA">
        <w:rPr>
          <w:noProof/>
        </w:rPr>
        <w:t>gdy wyrób wprowadzony do obrotu, ze względu na swój stan fizyczny, może powodować poważne zagrożenie.</w:t>
      </w:r>
    </w:p>
    <w:p w14:paraId="1AE02FF5" w14:textId="77777777" w:rsidR="0024643A" w:rsidRPr="00DD1DFA" w:rsidRDefault="0024643A" w:rsidP="0024643A">
      <w:pPr>
        <w:pStyle w:val="Titrearticle"/>
        <w:rPr>
          <w:noProof/>
        </w:rPr>
      </w:pPr>
      <w:r w:rsidRPr="00DD1DFA">
        <w:rPr>
          <w:noProof/>
        </w:rPr>
        <w:t>Artykuł 62</w:t>
      </w:r>
    </w:p>
    <w:p w14:paraId="259C8C9E" w14:textId="3280E58A" w:rsidR="0024643A" w:rsidRPr="00DD1DFA" w:rsidRDefault="00FA131A" w:rsidP="0024643A">
      <w:pPr>
        <w:pStyle w:val="Titrearticle"/>
        <w:rPr>
          <w:b/>
          <w:noProof/>
        </w:rPr>
      </w:pPr>
      <w:r w:rsidRPr="00DD1DFA">
        <w:rPr>
          <w:b/>
          <w:noProof/>
        </w:rPr>
        <w:t>Akty wykonawcze dotyczące obowiązków</w:t>
      </w:r>
      <w:r w:rsidR="00DD1DFA" w:rsidRPr="00DD1DFA">
        <w:rPr>
          <w:b/>
          <w:noProof/>
        </w:rPr>
        <w:t xml:space="preserve"> i</w:t>
      </w:r>
      <w:r w:rsidR="00DD1DFA">
        <w:rPr>
          <w:b/>
          <w:noProof/>
        </w:rPr>
        <w:t> </w:t>
      </w:r>
      <w:r w:rsidR="00DD1DFA" w:rsidRPr="00DD1DFA">
        <w:rPr>
          <w:b/>
          <w:noProof/>
        </w:rPr>
        <w:t>pra</w:t>
      </w:r>
      <w:r w:rsidRPr="00DD1DFA">
        <w:rPr>
          <w:b/>
          <w:noProof/>
        </w:rPr>
        <w:t>w jednostek notyfikowanych</w:t>
      </w:r>
    </w:p>
    <w:p w14:paraId="01CB4F3C" w14:textId="7B39B968" w:rsidR="007A5097" w:rsidRPr="00DD1DFA" w:rsidRDefault="007A5097" w:rsidP="007A5097">
      <w:pPr>
        <w:overflowPunct w:val="0"/>
        <w:spacing w:after="0"/>
        <w:rPr>
          <w:noProof/>
          <w:color w:val="000000"/>
        </w:rPr>
      </w:pPr>
      <w:r w:rsidRPr="00DD1DFA">
        <w:rPr>
          <w:noProof/>
          <w:color w:val="000000"/>
        </w:rPr>
        <w:t>Jeżeli jest to konieczne do zapewnienia zharmonizowanego stosowania niniejszego rozporządzenia</w:t>
      </w:r>
      <w:r w:rsidR="00DD1DFA" w:rsidRPr="00DD1DFA">
        <w:rPr>
          <w:noProof/>
        </w:rPr>
        <w:t xml:space="preserve"> i</w:t>
      </w:r>
      <w:r w:rsidR="00DD1DFA">
        <w:rPr>
          <w:noProof/>
        </w:rPr>
        <w:t> </w:t>
      </w:r>
      <w:r w:rsidR="00DD1DFA" w:rsidRPr="00DD1DFA">
        <w:rPr>
          <w:noProof/>
        </w:rPr>
        <w:t>tyl</w:t>
      </w:r>
      <w:r w:rsidRPr="00DD1DFA">
        <w:rPr>
          <w:noProof/>
        </w:rPr>
        <w:t>ko</w:t>
      </w:r>
      <w:r w:rsidR="00DD1DFA" w:rsidRPr="00DD1DFA">
        <w:rPr>
          <w:noProof/>
        </w:rPr>
        <w:t xml:space="preserve"> w</w:t>
      </w:r>
      <w:r w:rsidR="00DD1DFA">
        <w:rPr>
          <w:noProof/>
        </w:rPr>
        <w:t> </w:t>
      </w:r>
      <w:r w:rsidR="00DD1DFA" w:rsidRPr="00DD1DFA">
        <w:rPr>
          <w:noProof/>
        </w:rPr>
        <w:t>zak</w:t>
      </w:r>
      <w:r w:rsidRPr="00DD1DFA">
        <w:rPr>
          <w:noProof/>
        </w:rPr>
        <w:t>resie niezbędnym do zapobiegania rozbieżnym praktykom prowadzącym do nierównego traktowania podmiotów gospodarczych</w:t>
      </w:r>
      <w:r w:rsidRPr="00DD1DFA">
        <w:rPr>
          <w:noProof/>
          <w:color w:val="000000"/>
        </w:rPr>
        <w:t>,</w:t>
      </w:r>
      <w:r w:rsidR="00DD1DFA" w:rsidRPr="00DD1DFA">
        <w:rPr>
          <w:noProof/>
          <w:color w:val="000000"/>
        </w:rPr>
        <w:t xml:space="preserve"> i</w:t>
      </w:r>
      <w:r w:rsidR="00DD1DFA">
        <w:rPr>
          <w:noProof/>
          <w:color w:val="000000"/>
        </w:rPr>
        <w:t> </w:t>
      </w:r>
      <w:r w:rsidR="00DD1DFA" w:rsidRPr="00DD1DFA">
        <w:rPr>
          <w:noProof/>
          <w:color w:val="000000"/>
        </w:rPr>
        <w:t>stw</w:t>
      </w:r>
      <w:r w:rsidRPr="00DD1DFA">
        <w:rPr>
          <w:noProof/>
          <w:color w:val="000000"/>
        </w:rPr>
        <w:t>arzającym im nierówne warunki działania, Komisja może przyjąć akty wykonawcze określające szczegółowo sposób wykonywania</w:t>
      </w:r>
      <w:r w:rsidRPr="00DD1DFA">
        <w:rPr>
          <w:noProof/>
          <w:color w:val="000000"/>
          <w:szCs w:val="24"/>
        </w:rPr>
        <w:t xml:space="preserve"> </w:t>
      </w:r>
      <w:r w:rsidRPr="00DD1DFA">
        <w:rPr>
          <w:noProof/>
        </w:rPr>
        <w:t xml:space="preserve">obowiązków jednostek notyfikowanych </w:t>
      </w:r>
      <w:r w:rsidRPr="00DD1DFA">
        <w:rPr>
          <w:noProof/>
          <w:color w:val="000000"/>
        </w:rPr>
        <w:t>przewidzianych</w:t>
      </w:r>
      <w:r w:rsidR="00DD1DFA" w:rsidRPr="00DD1DFA">
        <w:rPr>
          <w:noProof/>
          <w:color w:val="000000"/>
        </w:rPr>
        <w:t xml:space="preserve"> w</w:t>
      </w:r>
      <w:r w:rsidR="00DD1DFA">
        <w:rPr>
          <w:noProof/>
          <w:color w:val="000000"/>
        </w:rPr>
        <w:t> </w:t>
      </w:r>
      <w:r w:rsidR="00DD1DFA" w:rsidRPr="00DD1DFA">
        <w:rPr>
          <w:noProof/>
          <w:color w:val="000000"/>
        </w:rPr>
        <w:t>art</w:t>
      </w:r>
      <w:r w:rsidRPr="00DD1DFA">
        <w:rPr>
          <w:noProof/>
          <w:color w:val="000000"/>
        </w:rPr>
        <w:t>.</w:t>
      </w:r>
      <w:r w:rsidR="00DD1DFA" w:rsidRPr="00DD1DFA">
        <w:rPr>
          <w:noProof/>
          <w:color w:val="000000"/>
        </w:rPr>
        <w:t> </w:t>
      </w:r>
      <w:r w:rsidRPr="00DD1DFA">
        <w:rPr>
          <w:noProof/>
          <w:color w:val="000000"/>
        </w:rPr>
        <w:t>60</w:t>
      </w:r>
      <w:r w:rsidR="00DD1DFA" w:rsidRPr="00DD1DFA">
        <w:rPr>
          <w:noProof/>
          <w:color w:val="000000"/>
        </w:rPr>
        <w:t xml:space="preserve"> i</w:t>
      </w:r>
      <w:r w:rsidR="00DD1DFA">
        <w:rPr>
          <w:noProof/>
          <w:color w:val="000000"/>
        </w:rPr>
        <w:t> </w:t>
      </w:r>
      <w:r w:rsidR="00DD1DFA" w:rsidRPr="00DD1DFA">
        <w:rPr>
          <w:noProof/>
          <w:color w:val="000000"/>
        </w:rPr>
        <w:t>6</w:t>
      </w:r>
      <w:r w:rsidRPr="00DD1DFA">
        <w:rPr>
          <w:noProof/>
          <w:color w:val="000000"/>
        </w:rPr>
        <w:t xml:space="preserve">1. </w:t>
      </w:r>
    </w:p>
    <w:p w14:paraId="6FAB6F5C" w14:textId="2BC01F2D" w:rsidR="0024643A" w:rsidRPr="00DD1DFA" w:rsidRDefault="007A5097" w:rsidP="007A5097">
      <w:pPr>
        <w:overflowPunct w:val="0"/>
        <w:spacing w:after="0"/>
        <w:rPr>
          <w:rFonts w:eastAsia="Times New Roman"/>
          <w:noProof/>
          <w:color w:val="000000"/>
          <w:szCs w:val="24"/>
        </w:rPr>
      </w:pPr>
      <w:r w:rsidRPr="00DD1DFA">
        <w:rPr>
          <w:noProof/>
          <w:color w:val="000000"/>
        </w:rPr>
        <w:t>Te akty wykonawcze przyjmuje się zgodnie</w:t>
      </w:r>
      <w:r w:rsidR="00DD1DFA" w:rsidRPr="00DD1DFA">
        <w:rPr>
          <w:noProof/>
          <w:color w:val="000000"/>
        </w:rPr>
        <w:t xml:space="preserve"> z</w:t>
      </w:r>
      <w:r w:rsidR="00DD1DFA">
        <w:rPr>
          <w:noProof/>
          <w:color w:val="000000"/>
        </w:rPr>
        <w:t> </w:t>
      </w:r>
      <w:r w:rsidR="00DD1DFA" w:rsidRPr="00DD1DFA">
        <w:rPr>
          <w:noProof/>
          <w:color w:val="000000"/>
        </w:rPr>
        <w:t>pro</w:t>
      </w:r>
      <w:r w:rsidRPr="00DD1DFA">
        <w:rPr>
          <w:noProof/>
          <w:color w:val="000000"/>
        </w:rPr>
        <w:t>cedurą sprawdzającą,</w:t>
      </w:r>
      <w:r w:rsidR="00DD1DFA" w:rsidRPr="00DD1DFA">
        <w:rPr>
          <w:noProof/>
          <w:color w:val="000000"/>
        </w:rPr>
        <w:t xml:space="preserve"> o</w:t>
      </w:r>
      <w:r w:rsidR="00DD1DFA">
        <w:rPr>
          <w:noProof/>
          <w:color w:val="000000"/>
        </w:rPr>
        <w:t> </w:t>
      </w:r>
      <w:r w:rsidR="00DD1DFA" w:rsidRPr="00DD1DFA">
        <w:rPr>
          <w:noProof/>
          <w:color w:val="000000"/>
        </w:rPr>
        <w:t>któ</w:t>
      </w:r>
      <w:r w:rsidRPr="00DD1DFA">
        <w:rPr>
          <w:noProof/>
          <w:color w:val="000000"/>
        </w:rPr>
        <w:t>rej mowa</w:t>
      </w:r>
      <w:r w:rsidR="00DD1DFA" w:rsidRPr="00DD1DFA">
        <w:rPr>
          <w:noProof/>
          <w:color w:val="000000"/>
        </w:rPr>
        <w:t xml:space="preserve"> w</w:t>
      </w:r>
      <w:r w:rsidR="00DD1DFA">
        <w:rPr>
          <w:noProof/>
          <w:color w:val="000000"/>
        </w:rPr>
        <w:t> </w:t>
      </w:r>
      <w:r w:rsidR="00DD1DFA" w:rsidRPr="00DD1DFA">
        <w:rPr>
          <w:noProof/>
          <w:color w:val="000000"/>
        </w:rPr>
        <w:t>art</w:t>
      </w:r>
      <w:r w:rsidRPr="00DD1DFA">
        <w:rPr>
          <w:noProof/>
          <w:color w:val="000000"/>
        </w:rPr>
        <w:t>.</w:t>
      </w:r>
      <w:r w:rsidR="00DD1DFA" w:rsidRPr="00DD1DFA">
        <w:rPr>
          <w:noProof/>
          <w:color w:val="000000"/>
        </w:rPr>
        <w:t> </w:t>
      </w:r>
      <w:r w:rsidRPr="00DD1DFA">
        <w:rPr>
          <w:noProof/>
          <w:color w:val="000000"/>
        </w:rPr>
        <w:t>88 ust.</w:t>
      </w:r>
      <w:r w:rsidR="00DD1DFA" w:rsidRPr="00DD1DFA">
        <w:rPr>
          <w:noProof/>
          <w:color w:val="000000"/>
        </w:rPr>
        <w:t> </w:t>
      </w:r>
      <w:r w:rsidRPr="00DD1DFA">
        <w:rPr>
          <w:noProof/>
          <w:color w:val="000000"/>
        </w:rPr>
        <w:t>2.</w:t>
      </w:r>
    </w:p>
    <w:p w14:paraId="1EDC0FF7" w14:textId="77777777" w:rsidR="00BC1E12" w:rsidRPr="00DD1DFA" w:rsidRDefault="00F53F9F" w:rsidP="000558F4">
      <w:pPr>
        <w:pStyle w:val="Titrearticle"/>
        <w:rPr>
          <w:noProof/>
        </w:rPr>
      </w:pPr>
      <w:r w:rsidRPr="00DD1DFA">
        <w:rPr>
          <w:noProof/>
        </w:rPr>
        <w:t>Artykuł 63</w:t>
      </w:r>
    </w:p>
    <w:p w14:paraId="7B5D44BA" w14:textId="77777777" w:rsidR="00BC1E12" w:rsidRPr="00DD1DFA" w:rsidRDefault="00BC1E12" w:rsidP="000558F4">
      <w:pPr>
        <w:pStyle w:val="Titrearticle"/>
        <w:rPr>
          <w:b/>
          <w:noProof/>
        </w:rPr>
      </w:pPr>
      <w:r w:rsidRPr="00DD1DFA">
        <w:rPr>
          <w:b/>
          <w:noProof/>
        </w:rPr>
        <w:t>Koordynacja działań jednostek notyfikowanych</w:t>
      </w:r>
    </w:p>
    <w:p w14:paraId="44229725" w14:textId="7F35E221" w:rsidR="00E953E7" w:rsidRPr="00DD1DFA" w:rsidRDefault="00E953E7" w:rsidP="00E953E7">
      <w:pPr>
        <w:overflowPunct w:val="0"/>
        <w:spacing w:after="0"/>
        <w:rPr>
          <w:noProof/>
          <w:color w:val="000000"/>
        </w:rPr>
      </w:pPr>
      <w:r w:rsidRPr="00DD1DFA">
        <w:rPr>
          <w:noProof/>
          <w:color w:val="000000"/>
        </w:rPr>
        <w:t>Komisja zapewnia wprowadzenie</w:t>
      </w:r>
      <w:r w:rsidR="00DD1DFA" w:rsidRPr="00DD1DFA">
        <w:rPr>
          <w:noProof/>
          <w:color w:val="000000"/>
        </w:rPr>
        <w:t xml:space="preserve"> i</w:t>
      </w:r>
      <w:r w:rsidR="00DD1DFA">
        <w:rPr>
          <w:noProof/>
          <w:color w:val="000000"/>
        </w:rPr>
        <w:t> </w:t>
      </w:r>
      <w:r w:rsidR="00DD1DFA" w:rsidRPr="00DD1DFA">
        <w:rPr>
          <w:noProof/>
          <w:color w:val="000000"/>
        </w:rPr>
        <w:t>wła</w:t>
      </w:r>
      <w:r w:rsidRPr="00DD1DFA">
        <w:rPr>
          <w:noProof/>
          <w:color w:val="000000"/>
        </w:rPr>
        <w:t>ściwe funkcjonowanie odpowiedniej koordynacji</w:t>
      </w:r>
      <w:r w:rsidR="00DD1DFA" w:rsidRPr="00DD1DFA">
        <w:rPr>
          <w:noProof/>
          <w:color w:val="000000"/>
        </w:rPr>
        <w:t xml:space="preserve"> i</w:t>
      </w:r>
      <w:r w:rsidR="00DD1DFA">
        <w:rPr>
          <w:noProof/>
          <w:color w:val="000000"/>
        </w:rPr>
        <w:t> </w:t>
      </w:r>
      <w:r w:rsidR="00DD1DFA" w:rsidRPr="00DD1DFA">
        <w:rPr>
          <w:noProof/>
          <w:color w:val="000000"/>
        </w:rPr>
        <w:t>wsp</w:t>
      </w:r>
      <w:r w:rsidRPr="00DD1DFA">
        <w:rPr>
          <w:noProof/>
          <w:color w:val="000000"/>
        </w:rPr>
        <w:t>ółpracy między jednostkami notyfikowanymi na mocy art.</w:t>
      </w:r>
      <w:r w:rsidR="00DD1DFA" w:rsidRPr="00DD1DFA">
        <w:rPr>
          <w:noProof/>
          <w:color w:val="000000"/>
        </w:rPr>
        <w:t> </w:t>
      </w:r>
      <w:r w:rsidRPr="00DD1DFA">
        <w:rPr>
          <w:noProof/>
          <w:color w:val="000000"/>
        </w:rPr>
        <w:t>47</w:t>
      </w:r>
      <w:r w:rsidR="00DD1DFA" w:rsidRPr="00DD1DFA">
        <w:rPr>
          <w:noProof/>
          <w:color w:val="000000"/>
        </w:rPr>
        <w:t xml:space="preserve"> w</w:t>
      </w:r>
      <w:r w:rsidR="00DD1DFA">
        <w:rPr>
          <w:noProof/>
          <w:color w:val="000000"/>
        </w:rPr>
        <w:t> </w:t>
      </w:r>
      <w:r w:rsidR="00DD1DFA" w:rsidRPr="00DD1DFA">
        <w:rPr>
          <w:noProof/>
          <w:color w:val="000000"/>
        </w:rPr>
        <w:t>for</w:t>
      </w:r>
      <w:r w:rsidRPr="00DD1DFA">
        <w:rPr>
          <w:noProof/>
          <w:color w:val="000000"/>
        </w:rPr>
        <w:t>mie grupy jednostek notyfikowanych. Koordynacja</w:t>
      </w:r>
      <w:r w:rsidR="00DD1DFA" w:rsidRPr="00DD1DFA">
        <w:rPr>
          <w:noProof/>
          <w:color w:val="000000"/>
        </w:rPr>
        <w:t xml:space="preserve"> i</w:t>
      </w:r>
      <w:r w:rsidR="00DD1DFA">
        <w:rPr>
          <w:noProof/>
          <w:color w:val="000000"/>
        </w:rPr>
        <w:t> </w:t>
      </w:r>
      <w:r w:rsidR="00DD1DFA" w:rsidRPr="00DD1DFA">
        <w:rPr>
          <w:noProof/>
          <w:color w:val="000000"/>
        </w:rPr>
        <w:t>wsp</w:t>
      </w:r>
      <w:r w:rsidRPr="00DD1DFA">
        <w:rPr>
          <w:noProof/>
          <w:color w:val="000000"/>
        </w:rPr>
        <w:t>ółpraca</w:t>
      </w:r>
      <w:r w:rsidR="00DD1DFA" w:rsidRPr="00DD1DFA">
        <w:rPr>
          <w:noProof/>
          <w:color w:val="000000"/>
        </w:rPr>
        <w:t xml:space="preserve"> w</w:t>
      </w:r>
      <w:r w:rsidR="00DD1DFA">
        <w:rPr>
          <w:noProof/>
          <w:color w:val="000000"/>
        </w:rPr>
        <w:t> </w:t>
      </w:r>
      <w:r w:rsidR="00DD1DFA" w:rsidRPr="00DD1DFA">
        <w:rPr>
          <w:noProof/>
          <w:color w:val="000000"/>
        </w:rPr>
        <w:t>gru</w:t>
      </w:r>
      <w:r w:rsidRPr="00DD1DFA">
        <w:rPr>
          <w:noProof/>
          <w:color w:val="000000"/>
        </w:rPr>
        <w:t>pie,</w:t>
      </w:r>
      <w:r w:rsidR="00DD1DFA" w:rsidRPr="00DD1DFA">
        <w:rPr>
          <w:noProof/>
          <w:color w:val="000000"/>
        </w:rPr>
        <w:t xml:space="preserve"> o</w:t>
      </w:r>
      <w:r w:rsidR="00DD1DFA">
        <w:rPr>
          <w:noProof/>
          <w:color w:val="000000"/>
        </w:rPr>
        <w:t> </w:t>
      </w:r>
      <w:r w:rsidR="00DD1DFA" w:rsidRPr="00DD1DFA">
        <w:rPr>
          <w:noProof/>
          <w:color w:val="000000"/>
        </w:rPr>
        <w:t>któ</w:t>
      </w:r>
      <w:r w:rsidRPr="00DD1DFA">
        <w:rPr>
          <w:noProof/>
          <w:color w:val="000000"/>
        </w:rPr>
        <w:t>rej mowa</w:t>
      </w:r>
      <w:r w:rsidR="00DD1DFA" w:rsidRPr="00DD1DFA">
        <w:rPr>
          <w:noProof/>
          <w:color w:val="000000"/>
        </w:rPr>
        <w:t xml:space="preserve"> w</w:t>
      </w:r>
      <w:r w:rsidR="00DD1DFA">
        <w:rPr>
          <w:noProof/>
          <w:color w:val="000000"/>
        </w:rPr>
        <w:t> </w:t>
      </w:r>
      <w:r w:rsidR="00DD1DFA" w:rsidRPr="00DD1DFA">
        <w:rPr>
          <w:noProof/>
          <w:color w:val="000000"/>
        </w:rPr>
        <w:t>ust</w:t>
      </w:r>
      <w:r w:rsidRPr="00DD1DFA">
        <w:rPr>
          <w:noProof/>
          <w:color w:val="000000"/>
        </w:rPr>
        <w:t>.</w:t>
      </w:r>
      <w:r w:rsidR="00DD1DFA" w:rsidRPr="00DD1DFA">
        <w:rPr>
          <w:noProof/>
          <w:color w:val="000000"/>
        </w:rPr>
        <w:t> </w:t>
      </w:r>
      <w:r w:rsidRPr="00DD1DFA">
        <w:rPr>
          <w:noProof/>
          <w:color w:val="000000"/>
        </w:rPr>
        <w:t>1, mają na celu zapewnienie zharmonizowanego stosowania niniejszego rozporządzenia.</w:t>
      </w:r>
    </w:p>
    <w:p w14:paraId="7E0D3EC7" w14:textId="1A90B72C" w:rsidR="00E953E7" w:rsidRPr="00DD1DFA" w:rsidRDefault="00E953E7" w:rsidP="00E953E7">
      <w:pPr>
        <w:overflowPunct w:val="0"/>
        <w:spacing w:after="0"/>
        <w:rPr>
          <w:noProof/>
          <w:color w:val="000000"/>
        </w:rPr>
      </w:pPr>
      <w:r w:rsidRPr="00DD1DFA">
        <w:rPr>
          <w:noProof/>
          <w:color w:val="000000"/>
        </w:rPr>
        <w:t>Jednostki notyfikowane uczestniczą</w:t>
      </w:r>
      <w:r w:rsidR="00DD1DFA" w:rsidRPr="00DD1DFA">
        <w:rPr>
          <w:noProof/>
          <w:color w:val="000000"/>
        </w:rPr>
        <w:t xml:space="preserve"> w</w:t>
      </w:r>
      <w:r w:rsidR="00DD1DFA">
        <w:rPr>
          <w:noProof/>
          <w:color w:val="000000"/>
        </w:rPr>
        <w:t> </w:t>
      </w:r>
      <w:r w:rsidR="00DD1DFA" w:rsidRPr="00DD1DFA">
        <w:rPr>
          <w:noProof/>
          <w:color w:val="000000"/>
        </w:rPr>
        <w:t>pra</w:t>
      </w:r>
      <w:r w:rsidRPr="00DD1DFA">
        <w:rPr>
          <w:noProof/>
          <w:color w:val="000000"/>
        </w:rPr>
        <w:t>cach tej grupy bezpośrednio lub poprzez wyznaczonych przedstawicieli.</w:t>
      </w:r>
    </w:p>
    <w:p w14:paraId="5D2E5E6A" w14:textId="5921E8E2" w:rsidR="00BC1E12" w:rsidRPr="00DD1DFA" w:rsidRDefault="00E953E7" w:rsidP="00E953E7">
      <w:pPr>
        <w:overflowPunct w:val="0"/>
        <w:spacing w:after="0"/>
        <w:rPr>
          <w:rFonts w:eastAsia="Times New Roman"/>
          <w:noProof/>
          <w:color w:val="000000"/>
          <w:szCs w:val="24"/>
        </w:rPr>
      </w:pPr>
      <w:r w:rsidRPr="00DD1DFA">
        <w:rPr>
          <w:noProof/>
          <w:color w:val="000000"/>
        </w:rPr>
        <w:t xml:space="preserve">Jednostki notyfikowane stosują jako ogólne </w:t>
      </w:r>
      <w:r w:rsidRPr="00DD1DFA">
        <w:rPr>
          <w:noProof/>
        </w:rPr>
        <w:t>wytyczne decyzje administracyjne</w:t>
      </w:r>
      <w:r w:rsidR="00DD1DFA" w:rsidRPr="00DD1DFA">
        <w:rPr>
          <w:noProof/>
        </w:rPr>
        <w:t xml:space="preserve"> i</w:t>
      </w:r>
      <w:r w:rsidR="00DD1DFA">
        <w:rPr>
          <w:noProof/>
        </w:rPr>
        <w:t> </w:t>
      </w:r>
      <w:r w:rsidR="00DD1DFA" w:rsidRPr="00DD1DFA">
        <w:rPr>
          <w:noProof/>
        </w:rPr>
        <w:t>dok</w:t>
      </w:r>
      <w:r w:rsidRPr="00DD1DFA">
        <w:rPr>
          <w:noProof/>
        </w:rPr>
        <w:t>umenty</w:t>
      </w:r>
      <w:r w:rsidRPr="00DD1DFA">
        <w:rPr>
          <w:b/>
          <w:noProof/>
        </w:rPr>
        <w:t xml:space="preserve"> </w:t>
      </w:r>
      <w:r w:rsidRPr="00DD1DFA">
        <w:rPr>
          <w:noProof/>
          <w:color w:val="000000"/>
        </w:rPr>
        <w:t>wydane przez tę grupę.</w:t>
      </w:r>
    </w:p>
    <w:p w14:paraId="56E8E7BE" w14:textId="77777777" w:rsidR="00BC1E12" w:rsidRPr="00DD1DFA" w:rsidRDefault="00BC1E12" w:rsidP="000558F4">
      <w:pPr>
        <w:pStyle w:val="ChapterTitle"/>
        <w:rPr>
          <w:noProof/>
          <w:sz w:val="24"/>
          <w:szCs w:val="24"/>
        </w:rPr>
      </w:pPr>
      <w:r w:rsidRPr="00DD1DFA">
        <w:rPr>
          <w:noProof/>
          <w:sz w:val="24"/>
          <w:szCs w:val="24"/>
        </w:rPr>
        <w:t>ROZDZIAŁ VII</w:t>
      </w:r>
    </w:p>
    <w:p w14:paraId="400F38B1" w14:textId="77777777" w:rsidR="00BC1E12" w:rsidRPr="00DD1DFA" w:rsidRDefault="00BC1E12" w:rsidP="000558F4">
      <w:pPr>
        <w:pStyle w:val="ChapterTitle"/>
        <w:rPr>
          <w:rFonts w:ascii="Calibri" w:eastAsia="Calibri" w:hAnsi="Calibri" w:cs="DejaVu Sans"/>
          <w:noProof/>
          <w:color w:val="00000A"/>
          <w:sz w:val="24"/>
          <w:szCs w:val="24"/>
        </w:rPr>
      </w:pPr>
      <w:r w:rsidRPr="00DD1DFA">
        <w:rPr>
          <w:noProof/>
          <w:sz w:val="24"/>
          <w:szCs w:val="24"/>
        </w:rPr>
        <w:t xml:space="preserve">PROCEDURY UPROSZCZONE </w:t>
      </w:r>
    </w:p>
    <w:p w14:paraId="22FEC1E2" w14:textId="77777777" w:rsidR="00BC1E12" w:rsidRPr="00DD1DFA" w:rsidRDefault="00F53F9F" w:rsidP="000558F4">
      <w:pPr>
        <w:pStyle w:val="Titrearticle"/>
        <w:rPr>
          <w:noProof/>
        </w:rPr>
      </w:pPr>
      <w:r w:rsidRPr="00DD1DFA">
        <w:rPr>
          <w:noProof/>
        </w:rPr>
        <w:t>Artykuł 64</w:t>
      </w:r>
    </w:p>
    <w:p w14:paraId="2260BDF1" w14:textId="34060905" w:rsidR="00BC1E12" w:rsidRPr="00DD1DFA" w:rsidRDefault="00BC1E12" w:rsidP="000558F4">
      <w:pPr>
        <w:pStyle w:val="Titrearticle"/>
        <w:rPr>
          <w:b/>
          <w:noProof/>
        </w:rPr>
      </w:pPr>
      <w:r w:rsidRPr="00DD1DFA">
        <w:rPr>
          <w:b/>
          <w:noProof/>
        </w:rPr>
        <w:t>Stosowanie odpowiedniej dokumentacji technicznej</w:t>
      </w:r>
    </w:p>
    <w:p w14:paraId="74637AEC" w14:textId="4B3F8A92" w:rsidR="00E953E7" w:rsidRPr="00DD1DFA" w:rsidRDefault="005F7EFA" w:rsidP="005F7EFA">
      <w:pPr>
        <w:pStyle w:val="ManualNumPar1"/>
        <w:rPr>
          <w:noProof/>
        </w:rPr>
      </w:pPr>
      <w:r w:rsidRPr="005F7EFA">
        <w:t>1.</w:t>
      </w:r>
      <w:r w:rsidRPr="005F7EFA">
        <w:tab/>
      </w:r>
      <w:r w:rsidR="00E953E7" w:rsidRPr="00DD1DFA">
        <w:rPr>
          <w:noProof/>
        </w:rPr>
        <w:t>Producent może zastąpić badanie typu odpowiednią dokumentacją techniczną wykazującą, że:</w:t>
      </w:r>
    </w:p>
    <w:p w14:paraId="276FAEAA" w14:textId="265F61DB" w:rsidR="00E953E7" w:rsidRPr="00DD1DFA" w:rsidRDefault="003C1401" w:rsidP="003C1401">
      <w:pPr>
        <w:pStyle w:val="Point1"/>
        <w:rPr>
          <w:noProof/>
        </w:rPr>
      </w:pPr>
      <w:r w:rsidRPr="003C1401">
        <w:rPr>
          <w:noProof/>
        </w:rPr>
        <w:t>a)</w:t>
      </w:r>
      <w:r w:rsidRPr="003C1401">
        <w:rPr>
          <w:noProof/>
        </w:rPr>
        <w:tab/>
      </w:r>
      <w:r w:rsidR="00E953E7" w:rsidRPr="00DD1DFA">
        <w:rPr>
          <w:noProof/>
        </w:rPr>
        <w:t>w odniesieniu do jednej lub kilku zasadniczych charakterystyk wyrobu, który producent wprowadza do obrotu, uznaje się, że wyrób ten osiąga określony poziom lub klasę właściwości użytkowych bez badań lub obliczeń, lub bez dalszych badań lub obliczeń, zgodnie</w:t>
      </w:r>
      <w:r w:rsidR="00DD1DFA" w:rsidRPr="00DD1DFA">
        <w:rPr>
          <w:noProof/>
        </w:rPr>
        <w:t xml:space="preserve"> z</w:t>
      </w:r>
      <w:r w:rsidR="00DD1DFA">
        <w:rPr>
          <w:noProof/>
        </w:rPr>
        <w:t> </w:t>
      </w:r>
      <w:r w:rsidR="00DD1DFA" w:rsidRPr="00DD1DFA">
        <w:rPr>
          <w:noProof/>
        </w:rPr>
        <w:t>war</w:t>
      </w:r>
      <w:r w:rsidR="00E953E7" w:rsidRPr="00DD1DFA">
        <w:rPr>
          <w:noProof/>
        </w:rPr>
        <w:t>unkami określonymi</w:t>
      </w:r>
      <w:r w:rsidR="00DD1DFA" w:rsidRPr="00DD1DFA">
        <w:rPr>
          <w:noProof/>
        </w:rPr>
        <w:t xml:space="preserve"> w</w:t>
      </w:r>
      <w:r w:rsidR="00DD1DFA">
        <w:rPr>
          <w:noProof/>
        </w:rPr>
        <w:t> </w:t>
      </w:r>
      <w:r w:rsidR="00DD1DFA" w:rsidRPr="00DD1DFA">
        <w:rPr>
          <w:noProof/>
        </w:rPr>
        <w:t>tym</w:t>
      </w:r>
      <w:r w:rsidR="00E953E7" w:rsidRPr="00DD1DFA">
        <w:rPr>
          <w:noProof/>
        </w:rPr>
        <w:t xml:space="preserve"> celu</w:t>
      </w:r>
      <w:r w:rsidR="00DD1DFA" w:rsidRPr="00DD1DFA">
        <w:rPr>
          <w:noProof/>
        </w:rPr>
        <w:t xml:space="preserve"> w</w:t>
      </w:r>
      <w:r w:rsidR="00DD1DFA">
        <w:rPr>
          <w:noProof/>
        </w:rPr>
        <w:t> </w:t>
      </w:r>
      <w:r w:rsidR="00DD1DFA" w:rsidRPr="00DD1DFA">
        <w:rPr>
          <w:noProof/>
        </w:rPr>
        <w:t>odp</w:t>
      </w:r>
      <w:r w:rsidR="00E953E7" w:rsidRPr="00DD1DFA">
        <w:rPr>
          <w:noProof/>
        </w:rPr>
        <w:t>owiedniej zharmonizowanej specyfikacji technicznej lub</w:t>
      </w:r>
      <w:r w:rsidR="00DD1DFA" w:rsidRPr="00DD1DFA">
        <w:rPr>
          <w:noProof/>
        </w:rPr>
        <w:t xml:space="preserve"> w</w:t>
      </w:r>
      <w:r w:rsidR="00DD1DFA">
        <w:rPr>
          <w:noProof/>
        </w:rPr>
        <w:t> </w:t>
      </w:r>
      <w:r w:rsidR="00DD1DFA" w:rsidRPr="00DD1DFA">
        <w:rPr>
          <w:noProof/>
        </w:rPr>
        <w:t>akc</w:t>
      </w:r>
      <w:r w:rsidR="00E953E7" w:rsidRPr="00DD1DFA">
        <w:rPr>
          <w:noProof/>
        </w:rPr>
        <w:t>ie Komisji; lub</w:t>
      </w:r>
    </w:p>
    <w:p w14:paraId="028C7E36" w14:textId="768B9F9E" w:rsidR="00E953E7" w:rsidRPr="00DD1DFA" w:rsidRDefault="003C1401" w:rsidP="003C1401">
      <w:pPr>
        <w:pStyle w:val="Point1"/>
        <w:rPr>
          <w:noProof/>
        </w:rPr>
      </w:pPr>
      <w:r w:rsidRPr="003C1401">
        <w:rPr>
          <w:noProof/>
        </w:rPr>
        <w:t>b)</w:t>
      </w:r>
      <w:r w:rsidRPr="003C1401">
        <w:rPr>
          <w:noProof/>
        </w:rPr>
        <w:tab/>
      </w:r>
      <w:r w:rsidR="00E953E7" w:rsidRPr="00DD1DFA">
        <w:rPr>
          <w:noProof/>
        </w:rPr>
        <w:t>wyrób, objęty zharmonizowaną specyfikacją techniczną, który producent wprowadza do obrotu jest, systemem składającym się</w:t>
      </w:r>
      <w:r w:rsidR="00DD1DFA" w:rsidRPr="00DD1DFA">
        <w:rPr>
          <w:noProof/>
        </w:rPr>
        <w:t xml:space="preserve"> z</w:t>
      </w:r>
      <w:r w:rsidR="00DD1DFA">
        <w:rPr>
          <w:noProof/>
        </w:rPr>
        <w:t> </w:t>
      </w:r>
      <w:r w:rsidR="00DD1DFA" w:rsidRPr="00DD1DFA">
        <w:rPr>
          <w:noProof/>
        </w:rPr>
        <w:t>ele</w:t>
      </w:r>
      <w:r w:rsidR="00E953E7" w:rsidRPr="00DD1DFA">
        <w:rPr>
          <w:noProof/>
        </w:rPr>
        <w:t>mentów, który producent montuje, ściśle przestrzegając dokładnych instrukcji,</w:t>
      </w:r>
      <w:r w:rsidR="00DD1DFA" w:rsidRPr="00DD1DFA">
        <w:rPr>
          <w:noProof/>
        </w:rPr>
        <w:t xml:space="preserve"> w</w:t>
      </w:r>
      <w:r w:rsidR="00DD1DFA">
        <w:rPr>
          <w:noProof/>
        </w:rPr>
        <w:t> </w:t>
      </w:r>
      <w:r w:rsidR="00DD1DFA" w:rsidRPr="00DD1DFA">
        <w:rPr>
          <w:noProof/>
        </w:rPr>
        <w:t>tym</w:t>
      </w:r>
      <w:r w:rsidR="00E953E7" w:rsidRPr="00DD1DFA">
        <w:rPr>
          <w:noProof/>
        </w:rPr>
        <w:t xml:space="preserve"> kryteriów kompatybilności</w:t>
      </w:r>
      <w:r w:rsidR="00DD1DFA" w:rsidRPr="00DD1DFA">
        <w:rPr>
          <w:noProof/>
        </w:rPr>
        <w:t xml:space="preserve"> w</w:t>
      </w:r>
      <w:r w:rsidR="00DD1DFA">
        <w:rPr>
          <w:noProof/>
        </w:rPr>
        <w:t> </w:t>
      </w:r>
      <w:r w:rsidR="00DD1DFA" w:rsidRPr="00DD1DFA">
        <w:rPr>
          <w:noProof/>
        </w:rPr>
        <w:t>prz</w:t>
      </w:r>
      <w:r w:rsidR="00E953E7" w:rsidRPr="00DD1DFA">
        <w:rPr>
          <w:noProof/>
        </w:rPr>
        <w:t>ypadku pojedynczych elementów, udzielonych przez dostawcę takiego systemu lub jego części składowej, który to dostawca zbadał już ten system lub ten element</w:t>
      </w:r>
      <w:r w:rsidR="00DD1DFA" w:rsidRPr="00DD1DFA">
        <w:rPr>
          <w:noProof/>
        </w:rPr>
        <w:t xml:space="preserve"> w</w:t>
      </w:r>
      <w:r w:rsidR="00DD1DFA">
        <w:rPr>
          <w:noProof/>
        </w:rPr>
        <w:t> </w:t>
      </w:r>
      <w:r w:rsidR="00DD1DFA" w:rsidRPr="00DD1DFA">
        <w:rPr>
          <w:noProof/>
        </w:rPr>
        <w:t>odn</w:t>
      </w:r>
      <w:r w:rsidR="00E953E7" w:rsidRPr="00DD1DFA">
        <w:rPr>
          <w:noProof/>
        </w:rPr>
        <w:t>iesieniu do jednej lub kilku jego zasadniczych charakterystyk zgodnie</w:t>
      </w:r>
      <w:r w:rsidR="00DD1DFA" w:rsidRPr="00DD1DFA">
        <w:rPr>
          <w:noProof/>
        </w:rPr>
        <w:t xml:space="preserve"> z</w:t>
      </w:r>
      <w:r w:rsidR="00DD1DFA">
        <w:rPr>
          <w:noProof/>
        </w:rPr>
        <w:t> </w:t>
      </w:r>
      <w:r w:rsidR="00DD1DFA" w:rsidRPr="00DD1DFA">
        <w:rPr>
          <w:noProof/>
        </w:rPr>
        <w:t>odp</w:t>
      </w:r>
      <w:r w:rsidR="00E953E7" w:rsidRPr="00DD1DFA">
        <w:rPr>
          <w:noProof/>
        </w:rPr>
        <w:t>owiednią zharmonizowaną specyfikacją techniczną. Gdy te warunki są spełnione</w:t>
      </w:r>
      <w:r w:rsidR="00DD1DFA" w:rsidRPr="00DD1DFA">
        <w:rPr>
          <w:noProof/>
        </w:rPr>
        <w:t xml:space="preserve"> i</w:t>
      </w:r>
      <w:r w:rsidR="00DD1DFA">
        <w:rPr>
          <w:noProof/>
        </w:rPr>
        <w:t> </w:t>
      </w:r>
      <w:r w:rsidR="00DD1DFA" w:rsidRPr="00DD1DFA">
        <w:rPr>
          <w:noProof/>
        </w:rPr>
        <w:t>gdy</w:t>
      </w:r>
      <w:r w:rsidR="00E953E7" w:rsidRPr="00DD1DFA">
        <w:rPr>
          <w:noProof/>
        </w:rPr>
        <w:t xml:space="preserve"> producent zweryfikował przede wszystkim, że spełnione są dokładne kryteria kompatybilności dostawcy, producent jest uprawniony do deklarowania właściwości użytkowych odpowiadających wszystkim lub części wyników badań, którym poddano dostarczony mu system lub element.</w:t>
      </w:r>
    </w:p>
    <w:p w14:paraId="62D297E9" w14:textId="4B81BD14" w:rsidR="00BC1E12" w:rsidRPr="00DD1DFA" w:rsidRDefault="005F7EFA" w:rsidP="005F7EFA">
      <w:pPr>
        <w:pStyle w:val="ManualNumPar1"/>
        <w:rPr>
          <w:noProof/>
        </w:rPr>
      </w:pPr>
      <w:r w:rsidRPr="005F7EFA">
        <w:t>2.</w:t>
      </w:r>
      <w:r w:rsidRPr="005F7EFA">
        <w:tab/>
      </w:r>
      <w:r w:rsidR="00E953E7" w:rsidRPr="00DD1DFA">
        <w:rPr>
          <w:noProof/>
        </w:rPr>
        <w:t>Jeżeli wyrób,</w:t>
      </w:r>
      <w:r w:rsidR="00DD1DFA" w:rsidRPr="00DD1DFA">
        <w:rPr>
          <w:noProof/>
        </w:rPr>
        <w:t xml:space="preserve"> o</w:t>
      </w:r>
      <w:r w:rsidR="00DD1DFA">
        <w:rPr>
          <w:noProof/>
        </w:rPr>
        <w:t> </w:t>
      </w:r>
      <w:r w:rsidR="00DD1DFA" w:rsidRPr="00DD1DFA">
        <w:rPr>
          <w:noProof/>
        </w:rPr>
        <w:t>któ</w:t>
      </w:r>
      <w:r w:rsidR="00E953E7" w:rsidRPr="00DD1DFA">
        <w:rPr>
          <w:noProof/>
        </w:rPr>
        <w:t>rym mowa</w:t>
      </w:r>
      <w:r w:rsidR="00DD1DFA" w:rsidRPr="00DD1DFA">
        <w:rPr>
          <w:noProof/>
        </w:rPr>
        <w:t xml:space="preserve"> w</w:t>
      </w:r>
      <w:r w:rsidR="00DD1DFA">
        <w:rPr>
          <w:noProof/>
        </w:rPr>
        <w:t> </w:t>
      </w:r>
      <w:r w:rsidR="00DD1DFA" w:rsidRPr="00DD1DFA">
        <w:rPr>
          <w:noProof/>
        </w:rPr>
        <w:t>ust</w:t>
      </w:r>
      <w:r w:rsidR="00E953E7" w:rsidRPr="00DD1DFA">
        <w:rPr>
          <w:noProof/>
        </w:rPr>
        <w:t>.</w:t>
      </w:r>
      <w:r w:rsidR="00DD1DFA" w:rsidRPr="00DD1DFA">
        <w:rPr>
          <w:noProof/>
        </w:rPr>
        <w:t> </w:t>
      </w:r>
      <w:r w:rsidR="00E953E7" w:rsidRPr="00DD1DFA">
        <w:rPr>
          <w:noProof/>
        </w:rPr>
        <w:t>1, należy do rodziny lub kategorii wyrobów, dla których mającym zastosowanie systemem oceny</w:t>
      </w:r>
      <w:r w:rsidR="00DD1DFA" w:rsidRPr="00DD1DFA">
        <w:rPr>
          <w:noProof/>
        </w:rPr>
        <w:t xml:space="preserve"> i</w:t>
      </w:r>
      <w:r w:rsidR="00DD1DFA">
        <w:rPr>
          <w:noProof/>
        </w:rPr>
        <w:t> </w:t>
      </w:r>
      <w:r w:rsidR="00DD1DFA" w:rsidRPr="00DD1DFA">
        <w:rPr>
          <w:noProof/>
        </w:rPr>
        <w:t>wer</w:t>
      </w:r>
      <w:r w:rsidR="00E953E7" w:rsidRPr="00DD1DFA">
        <w:rPr>
          <w:noProof/>
        </w:rPr>
        <w:t>yfikacji jest system 1+ lub</w:t>
      </w:r>
      <w:r w:rsidR="00DD1DFA" w:rsidRPr="00DD1DFA">
        <w:rPr>
          <w:noProof/>
        </w:rPr>
        <w:t> </w:t>
      </w:r>
      <w:r w:rsidR="00E953E7" w:rsidRPr="00DD1DFA">
        <w:rPr>
          <w:noProof/>
        </w:rPr>
        <w:t>1, określony</w:t>
      </w:r>
      <w:r w:rsidR="00DD1DFA" w:rsidRPr="00DD1DFA">
        <w:rPr>
          <w:noProof/>
        </w:rPr>
        <w:t xml:space="preserve"> w</w:t>
      </w:r>
      <w:r w:rsidR="00DD1DFA">
        <w:rPr>
          <w:noProof/>
        </w:rPr>
        <w:t> </w:t>
      </w:r>
      <w:r w:rsidR="00DD1DFA" w:rsidRPr="00DD1DFA">
        <w:rPr>
          <w:noProof/>
        </w:rPr>
        <w:t>zał</w:t>
      </w:r>
      <w:r w:rsidR="00E953E7" w:rsidRPr="00DD1DFA">
        <w:rPr>
          <w:noProof/>
        </w:rPr>
        <w:t>ączniku V, jednostka notyfikowana lub JOT, oprócz zadań określonych</w:t>
      </w:r>
      <w:r w:rsidR="00DD1DFA" w:rsidRPr="00DD1DFA">
        <w:rPr>
          <w:noProof/>
        </w:rPr>
        <w:t xml:space="preserve"> w</w:t>
      </w:r>
      <w:r w:rsidR="00DD1DFA">
        <w:rPr>
          <w:noProof/>
        </w:rPr>
        <w:t> </w:t>
      </w:r>
      <w:r w:rsidR="00DD1DFA" w:rsidRPr="00DD1DFA">
        <w:rPr>
          <w:noProof/>
        </w:rPr>
        <w:t>zał</w:t>
      </w:r>
      <w:r w:rsidR="00E953E7" w:rsidRPr="00DD1DFA">
        <w:rPr>
          <w:noProof/>
        </w:rPr>
        <w:t>ączniku V, ocenia</w:t>
      </w:r>
      <w:r w:rsidR="00DD1DFA" w:rsidRPr="00DD1DFA">
        <w:rPr>
          <w:noProof/>
        </w:rPr>
        <w:t xml:space="preserve"> i</w:t>
      </w:r>
      <w:r w:rsidR="00DD1DFA">
        <w:rPr>
          <w:noProof/>
        </w:rPr>
        <w:t> </w:t>
      </w:r>
      <w:r w:rsidR="00DD1DFA" w:rsidRPr="00DD1DFA">
        <w:rPr>
          <w:noProof/>
        </w:rPr>
        <w:t>poś</w:t>
      </w:r>
      <w:r w:rsidR="00E953E7" w:rsidRPr="00DD1DFA">
        <w:rPr>
          <w:noProof/>
        </w:rPr>
        <w:t>wiadcza prawidłowe wypełnienie zobowiązań,</w:t>
      </w:r>
      <w:r w:rsidR="00DD1DFA" w:rsidRPr="00DD1DFA">
        <w:rPr>
          <w:noProof/>
        </w:rPr>
        <w:t xml:space="preserve"> o</w:t>
      </w:r>
      <w:r w:rsidR="00DD1DFA">
        <w:rPr>
          <w:noProof/>
        </w:rPr>
        <w:t> </w:t>
      </w:r>
      <w:r w:rsidR="00DD1DFA" w:rsidRPr="00DD1DFA">
        <w:rPr>
          <w:noProof/>
        </w:rPr>
        <w:t>któ</w:t>
      </w:r>
      <w:r w:rsidR="00E953E7" w:rsidRPr="00DD1DFA">
        <w:rPr>
          <w:noProof/>
        </w:rPr>
        <w:t>rych mowa</w:t>
      </w:r>
      <w:r w:rsidR="00DD1DFA" w:rsidRPr="00DD1DFA">
        <w:rPr>
          <w:noProof/>
        </w:rPr>
        <w:t xml:space="preserve"> w</w:t>
      </w:r>
      <w:r w:rsidR="00DD1DFA">
        <w:rPr>
          <w:noProof/>
        </w:rPr>
        <w:t> </w:t>
      </w:r>
      <w:r w:rsidR="00DD1DFA" w:rsidRPr="00DD1DFA">
        <w:rPr>
          <w:noProof/>
        </w:rPr>
        <w:t>ust</w:t>
      </w:r>
      <w:r w:rsidR="00E953E7" w:rsidRPr="00DD1DFA">
        <w:rPr>
          <w:noProof/>
        </w:rPr>
        <w:t>.</w:t>
      </w:r>
      <w:r w:rsidR="00DD1DFA" w:rsidRPr="00DD1DFA">
        <w:rPr>
          <w:noProof/>
        </w:rPr>
        <w:t> </w:t>
      </w:r>
      <w:r w:rsidR="00E953E7" w:rsidRPr="00DD1DFA">
        <w:rPr>
          <w:noProof/>
        </w:rPr>
        <w:t>1.</w:t>
      </w:r>
    </w:p>
    <w:p w14:paraId="441AABA0" w14:textId="77777777" w:rsidR="00BC1E12" w:rsidRPr="00DD1DFA" w:rsidRDefault="00F53F9F" w:rsidP="000558F4">
      <w:pPr>
        <w:pStyle w:val="Titrearticle"/>
        <w:rPr>
          <w:noProof/>
        </w:rPr>
      </w:pPr>
      <w:r w:rsidRPr="00DD1DFA">
        <w:rPr>
          <w:noProof/>
        </w:rPr>
        <w:t>Artykuł 65</w:t>
      </w:r>
    </w:p>
    <w:p w14:paraId="4E36EBC5" w14:textId="77777777" w:rsidR="00BC1E12" w:rsidRPr="00DD1DFA" w:rsidRDefault="00BC1E12" w:rsidP="000558F4">
      <w:pPr>
        <w:pStyle w:val="Titrearticle"/>
        <w:rPr>
          <w:b/>
          <w:noProof/>
        </w:rPr>
      </w:pPr>
      <w:r w:rsidRPr="00DD1DFA">
        <w:rPr>
          <w:b/>
          <w:noProof/>
        </w:rPr>
        <w:t>Stosowanie procedur uproszczonych przez mikroprzedsiębiorstwa</w:t>
      </w:r>
    </w:p>
    <w:p w14:paraId="2BFFCBD2" w14:textId="4605119E" w:rsidR="002A1351" w:rsidRPr="00DD1DFA" w:rsidRDefault="005F7EFA" w:rsidP="005F7EFA">
      <w:pPr>
        <w:pStyle w:val="ManualNumPar1"/>
        <w:rPr>
          <w:noProof/>
        </w:rPr>
      </w:pPr>
      <w:r w:rsidRPr="005F7EFA">
        <w:t>1.</w:t>
      </w:r>
      <w:r w:rsidRPr="005F7EFA">
        <w:tab/>
      </w:r>
      <w:r w:rsidR="002A1351" w:rsidRPr="00DD1DFA">
        <w:rPr>
          <w:noProof/>
        </w:rPr>
        <w:t>Mikroprzedsiębiorstwa wytwarzające wyroby objęte zharmonizowaną specyfikacją techniczną mogą traktować wyroby, do których ma zastosowanie system 3 zgodnie</w:t>
      </w:r>
      <w:r w:rsidR="00DD1DFA" w:rsidRPr="00DD1DFA">
        <w:rPr>
          <w:noProof/>
        </w:rPr>
        <w:t xml:space="preserve"> z</w:t>
      </w:r>
      <w:r w:rsidR="00DD1DFA">
        <w:rPr>
          <w:noProof/>
        </w:rPr>
        <w:t> </w:t>
      </w:r>
      <w:r w:rsidR="00DD1DFA" w:rsidRPr="00DD1DFA">
        <w:rPr>
          <w:noProof/>
        </w:rPr>
        <w:t>prz</w:t>
      </w:r>
      <w:r w:rsidR="002A1351" w:rsidRPr="00DD1DFA">
        <w:rPr>
          <w:noProof/>
        </w:rPr>
        <w:t>episami dotyczącymi systemu 4. Gdy producent stosuje tę uproszczoną procedurę, wykazuje on zgodność wyrobu</w:t>
      </w:r>
      <w:r w:rsidR="00DD1DFA" w:rsidRPr="00DD1DFA">
        <w:rPr>
          <w:noProof/>
        </w:rPr>
        <w:t xml:space="preserve"> z</w:t>
      </w:r>
      <w:r w:rsidR="00DD1DFA">
        <w:rPr>
          <w:noProof/>
        </w:rPr>
        <w:t> </w:t>
      </w:r>
      <w:r w:rsidR="00DD1DFA" w:rsidRPr="00DD1DFA">
        <w:rPr>
          <w:noProof/>
        </w:rPr>
        <w:t>maj</w:t>
      </w:r>
      <w:r w:rsidR="002A1351" w:rsidRPr="00DD1DFA">
        <w:rPr>
          <w:noProof/>
        </w:rPr>
        <w:t>ącymi zastosowanie wymaganiami za pomocą specjalnej dokumentacji technicznej.</w:t>
      </w:r>
    </w:p>
    <w:p w14:paraId="0F3AF64F" w14:textId="7DA1DF6B" w:rsidR="00BC1E12" w:rsidRPr="00DD1DFA" w:rsidRDefault="005F7EFA" w:rsidP="005F7EFA">
      <w:pPr>
        <w:pStyle w:val="ManualNumPar1"/>
        <w:rPr>
          <w:rFonts w:ascii="Calibri" w:eastAsia="Calibri" w:hAnsi="Calibri" w:cs="DejaVu Sans"/>
          <w:noProof/>
          <w:color w:val="00000A"/>
          <w:sz w:val="22"/>
        </w:rPr>
      </w:pPr>
      <w:r w:rsidRPr="005F7EFA">
        <w:t>2.</w:t>
      </w:r>
      <w:r w:rsidRPr="005F7EFA">
        <w:tab/>
      </w:r>
      <w:r w:rsidR="002A1351" w:rsidRPr="00DD1DFA">
        <w:rPr>
          <w:noProof/>
        </w:rPr>
        <w:t>JOT lub jednostka notyfikowana ocenia</w:t>
      </w:r>
      <w:r w:rsidR="00DD1DFA" w:rsidRPr="00DD1DFA">
        <w:rPr>
          <w:noProof/>
        </w:rPr>
        <w:t xml:space="preserve"> i</w:t>
      </w:r>
      <w:r w:rsidR="00DD1DFA">
        <w:rPr>
          <w:noProof/>
        </w:rPr>
        <w:t> </w:t>
      </w:r>
      <w:r w:rsidR="00DD1DFA" w:rsidRPr="00DD1DFA">
        <w:rPr>
          <w:noProof/>
        </w:rPr>
        <w:t>pot</w:t>
      </w:r>
      <w:r w:rsidR="002A1351" w:rsidRPr="00DD1DFA">
        <w:rPr>
          <w:noProof/>
        </w:rPr>
        <w:t>wierdza spełnienie wymogów niniejszego artykułu.</w:t>
      </w:r>
    </w:p>
    <w:p w14:paraId="6407DEF5" w14:textId="77777777" w:rsidR="00BC1E12" w:rsidRPr="00DD1DFA" w:rsidRDefault="00F53F9F" w:rsidP="0071346B">
      <w:pPr>
        <w:pStyle w:val="Titrearticle"/>
        <w:rPr>
          <w:noProof/>
        </w:rPr>
      </w:pPr>
      <w:bookmarkStart w:id="4" w:name="__DdeLink__39808_680924720"/>
      <w:bookmarkEnd w:id="4"/>
      <w:r w:rsidRPr="00DD1DFA">
        <w:rPr>
          <w:noProof/>
        </w:rPr>
        <w:t>Artykuł 66</w:t>
      </w:r>
    </w:p>
    <w:p w14:paraId="1D0147EE" w14:textId="77777777" w:rsidR="00BC1E12" w:rsidRPr="00DD1DFA" w:rsidRDefault="00BC1E12" w:rsidP="0071346B">
      <w:pPr>
        <w:pStyle w:val="Titrearticle"/>
        <w:rPr>
          <w:b/>
          <w:noProof/>
        </w:rPr>
      </w:pPr>
      <w:r w:rsidRPr="00DD1DFA">
        <w:rPr>
          <w:b/>
          <w:noProof/>
        </w:rPr>
        <w:t>Nieseryjne wyroby wykonywane na zamówienie</w:t>
      </w:r>
    </w:p>
    <w:p w14:paraId="553130A7" w14:textId="5860336E" w:rsidR="002A1351" w:rsidRPr="00DD1DFA" w:rsidRDefault="005F7EFA" w:rsidP="005F7EFA">
      <w:pPr>
        <w:pStyle w:val="ManualNumPar1"/>
        <w:rPr>
          <w:noProof/>
        </w:rPr>
      </w:pPr>
      <w:r w:rsidRPr="005F7EFA">
        <w:t>1.</w:t>
      </w:r>
      <w:r w:rsidRPr="005F7EFA">
        <w:tab/>
      </w:r>
      <w:r w:rsidR="002A1351" w:rsidRPr="00DD1DFA">
        <w:rPr>
          <w:noProof/>
        </w:rPr>
        <w:t>W przypadku wyrobów objętych zharmonizowaną specyfikacją techniczną</w:t>
      </w:r>
      <w:r w:rsidR="00DD1DFA" w:rsidRPr="00DD1DFA">
        <w:rPr>
          <w:noProof/>
        </w:rPr>
        <w:t xml:space="preserve"> i</w:t>
      </w:r>
      <w:r w:rsidR="00DD1DFA">
        <w:rPr>
          <w:noProof/>
        </w:rPr>
        <w:t> </w:t>
      </w:r>
      <w:r w:rsidR="00DD1DFA" w:rsidRPr="00DD1DFA">
        <w:rPr>
          <w:noProof/>
        </w:rPr>
        <w:t>któ</w:t>
      </w:r>
      <w:r w:rsidR="002A1351" w:rsidRPr="00DD1DFA">
        <w:rPr>
          <w:noProof/>
        </w:rPr>
        <w:t>re są produkowane jednostkowo lub na zamówienie</w:t>
      </w:r>
      <w:r w:rsidR="00DD1DFA" w:rsidRPr="00DD1DFA">
        <w:rPr>
          <w:noProof/>
        </w:rPr>
        <w:t xml:space="preserve"> w</w:t>
      </w:r>
      <w:r w:rsidR="00DD1DFA">
        <w:rPr>
          <w:noProof/>
        </w:rPr>
        <w:t> </w:t>
      </w:r>
      <w:r w:rsidR="00DD1DFA" w:rsidRPr="00DD1DFA">
        <w:rPr>
          <w:noProof/>
        </w:rPr>
        <w:t>nie</w:t>
      </w:r>
      <w:r w:rsidR="002A1351" w:rsidRPr="00DD1DFA">
        <w:rPr>
          <w:noProof/>
        </w:rPr>
        <w:t>seryjnym procesie produkcyjnym</w:t>
      </w:r>
      <w:r w:rsidR="00DD1DFA" w:rsidRPr="00DD1DFA">
        <w:rPr>
          <w:noProof/>
        </w:rPr>
        <w:t xml:space="preserve"> w</w:t>
      </w:r>
      <w:r w:rsidR="00DD1DFA">
        <w:rPr>
          <w:noProof/>
        </w:rPr>
        <w:t> </w:t>
      </w:r>
      <w:r w:rsidR="00DD1DFA" w:rsidRPr="00DD1DFA">
        <w:rPr>
          <w:noProof/>
        </w:rPr>
        <w:t>odp</w:t>
      </w:r>
      <w:r w:rsidR="002A1351" w:rsidRPr="00DD1DFA">
        <w:rPr>
          <w:noProof/>
        </w:rPr>
        <w:t>owiedzi na specjalne zlecenie oraz wbudowywane</w:t>
      </w:r>
      <w:r w:rsidR="00DD1DFA" w:rsidRPr="00DD1DFA">
        <w:rPr>
          <w:noProof/>
        </w:rPr>
        <w:t xml:space="preserve"> w</w:t>
      </w:r>
      <w:r w:rsidR="00DD1DFA">
        <w:rPr>
          <w:noProof/>
        </w:rPr>
        <w:t> </w:t>
      </w:r>
      <w:r w:rsidR="00DD1DFA" w:rsidRPr="00DD1DFA">
        <w:rPr>
          <w:noProof/>
        </w:rPr>
        <w:t>jed</w:t>
      </w:r>
      <w:r w:rsidR="002A1351" w:rsidRPr="00DD1DFA">
        <w:rPr>
          <w:noProof/>
        </w:rPr>
        <w:t>nym określonym obiekcie budowlanym przez producentów odpowiedzialnych również za bezpieczne wbudowanie tych wyrobów</w:t>
      </w:r>
      <w:r w:rsidR="00DD1DFA" w:rsidRPr="00DD1DFA">
        <w:rPr>
          <w:noProof/>
        </w:rPr>
        <w:t xml:space="preserve"> w</w:t>
      </w:r>
      <w:r w:rsidR="00DD1DFA">
        <w:rPr>
          <w:noProof/>
        </w:rPr>
        <w:t> </w:t>
      </w:r>
      <w:r w:rsidR="00DD1DFA" w:rsidRPr="00DD1DFA">
        <w:rPr>
          <w:noProof/>
        </w:rPr>
        <w:t>obi</w:t>
      </w:r>
      <w:r w:rsidR="002A1351" w:rsidRPr="00DD1DFA">
        <w:rPr>
          <w:noProof/>
        </w:rPr>
        <w:t>ektach budowlanych, część mającego zastosowanie systemu poświęcona ocenie właściwości użytkowych, jak określono</w:t>
      </w:r>
      <w:r w:rsidR="00DD1DFA" w:rsidRPr="00DD1DFA">
        <w:rPr>
          <w:noProof/>
        </w:rPr>
        <w:t xml:space="preserve"> w</w:t>
      </w:r>
      <w:r w:rsidR="00DD1DFA">
        <w:rPr>
          <w:noProof/>
        </w:rPr>
        <w:t> </w:t>
      </w:r>
      <w:r w:rsidR="00DD1DFA" w:rsidRPr="00DD1DFA">
        <w:rPr>
          <w:noProof/>
        </w:rPr>
        <w:t>zał</w:t>
      </w:r>
      <w:r w:rsidR="002A1351" w:rsidRPr="00DD1DFA">
        <w:rPr>
          <w:noProof/>
        </w:rPr>
        <w:t>ączniku V, może zostać zastąpiona przez producenta specjalną dokumentacją techniczną wykazującą zgodność tych wyrobów</w:t>
      </w:r>
      <w:r w:rsidR="00DD1DFA" w:rsidRPr="00DD1DFA">
        <w:rPr>
          <w:noProof/>
        </w:rPr>
        <w:t xml:space="preserve"> z</w:t>
      </w:r>
      <w:r w:rsidR="00DD1DFA">
        <w:rPr>
          <w:noProof/>
        </w:rPr>
        <w:t> </w:t>
      </w:r>
      <w:r w:rsidR="00DD1DFA" w:rsidRPr="00DD1DFA">
        <w:rPr>
          <w:noProof/>
        </w:rPr>
        <w:t>maj</w:t>
      </w:r>
      <w:r w:rsidR="002A1351" w:rsidRPr="00DD1DFA">
        <w:rPr>
          <w:noProof/>
        </w:rPr>
        <w:t>ącymi zastosowanie wymogami</w:t>
      </w:r>
      <w:r w:rsidR="00DD1DFA" w:rsidRPr="00DD1DFA">
        <w:rPr>
          <w:noProof/>
        </w:rPr>
        <w:t xml:space="preserve"> i</w:t>
      </w:r>
      <w:r w:rsidR="00DD1DFA">
        <w:rPr>
          <w:noProof/>
        </w:rPr>
        <w:t> </w:t>
      </w:r>
      <w:r w:rsidR="00DD1DFA" w:rsidRPr="00DD1DFA">
        <w:rPr>
          <w:noProof/>
        </w:rPr>
        <w:t>zaw</w:t>
      </w:r>
      <w:r w:rsidR="002A1351" w:rsidRPr="00DD1DFA">
        <w:rPr>
          <w:noProof/>
        </w:rPr>
        <w:t>ierającą dane równoważne danym wymaganym na podstawie niniejszego rozporządzenia</w:t>
      </w:r>
      <w:r w:rsidR="00DD1DFA" w:rsidRPr="00DD1DFA">
        <w:rPr>
          <w:noProof/>
        </w:rPr>
        <w:t xml:space="preserve"> i</w:t>
      </w:r>
      <w:r w:rsidR="00DD1DFA">
        <w:rPr>
          <w:noProof/>
        </w:rPr>
        <w:t> </w:t>
      </w:r>
      <w:r w:rsidR="00DD1DFA" w:rsidRPr="00DD1DFA">
        <w:rPr>
          <w:noProof/>
        </w:rPr>
        <w:t>maj</w:t>
      </w:r>
      <w:r w:rsidR="002A1351" w:rsidRPr="00DD1DFA">
        <w:rPr>
          <w:noProof/>
        </w:rPr>
        <w:t>ących zastosowanie zharmonizowanych specyfikacji technicznych. Równoważność jest zapewniona, gdy wszystkie potrzebne dane</w:t>
      </w:r>
      <w:r w:rsidR="00DD1DFA" w:rsidRPr="00DD1DFA">
        <w:rPr>
          <w:noProof/>
        </w:rPr>
        <w:t xml:space="preserve"> i</w:t>
      </w:r>
      <w:r w:rsidR="00DD1DFA">
        <w:rPr>
          <w:noProof/>
        </w:rPr>
        <w:t> </w:t>
      </w:r>
      <w:r w:rsidR="00DD1DFA" w:rsidRPr="00DD1DFA">
        <w:rPr>
          <w:noProof/>
        </w:rPr>
        <w:t>wym</w:t>
      </w:r>
      <w:r w:rsidR="002A1351" w:rsidRPr="00DD1DFA">
        <w:rPr>
          <w:noProof/>
        </w:rPr>
        <w:t>agania mające zastosowanie do danego obiektu budowlanego</w:t>
      </w:r>
      <w:r w:rsidR="00DD1DFA" w:rsidRPr="00DD1DFA">
        <w:rPr>
          <w:noProof/>
        </w:rPr>
        <w:t xml:space="preserve"> i</w:t>
      </w:r>
      <w:r w:rsidR="00DD1DFA">
        <w:rPr>
          <w:noProof/>
        </w:rPr>
        <w:t> </w:t>
      </w:r>
      <w:r w:rsidR="00DD1DFA" w:rsidRPr="00DD1DFA">
        <w:rPr>
          <w:noProof/>
        </w:rPr>
        <w:t>jeg</w:t>
      </w:r>
      <w:r w:rsidR="002A1351" w:rsidRPr="00DD1DFA">
        <w:rPr>
          <w:noProof/>
        </w:rPr>
        <w:t>o przyszłego demontażu,</w:t>
      </w:r>
      <w:r w:rsidR="00DD1DFA" w:rsidRPr="00DD1DFA">
        <w:rPr>
          <w:noProof/>
        </w:rPr>
        <w:t xml:space="preserve"> w</w:t>
      </w:r>
      <w:r w:rsidR="00DD1DFA">
        <w:rPr>
          <w:noProof/>
        </w:rPr>
        <w:t> </w:t>
      </w:r>
      <w:r w:rsidR="00DD1DFA" w:rsidRPr="00DD1DFA">
        <w:rPr>
          <w:noProof/>
        </w:rPr>
        <w:t>tym</w:t>
      </w:r>
      <w:r w:rsidR="002A1351" w:rsidRPr="00DD1DFA">
        <w:rPr>
          <w:noProof/>
        </w:rPr>
        <w:t xml:space="preserve"> ponownego użycia, regeneracji</w:t>
      </w:r>
      <w:r w:rsidR="00DD1DFA" w:rsidRPr="00DD1DFA">
        <w:rPr>
          <w:noProof/>
        </w:rPr>
        <w:t xml:space="preserve"> i</w:t>
      </w:r>
      <w:r w:rsidR="00DD1DFA">
        <w:rPr>
          <w:noProof/>
        </w:rPr>
        <w:t> </w:t>
      </w:r>
      <w:r w:rsidR="00DD1DFA" w:rsidRPr="00DD1DFA">
        <w:rPr>
          <w:noProof/>
        </w:rPr>
        <w:t>rec</w:t>
      </w:r>
      <w:r w:rsidR="002A1351" w:rsidRPr="00DD1DFA">
        <w:rPr>
          <w:noProof/>
        </w:rPr>
        <w:t>yklingu zamontowanych</w:t>
      </w:r>
      <w:r w:rsidR="00DD1DFA" w:rsidRPr="00DD1DFA">
        <w:rPr>
          <w:noProof/>
        </w:rPr>
        <w:t xml:space="preserve"> w</w:t>
      </w:r>
      <w:r w:rsidR="00DD1DFA">
        <w:rPr>
          <w:noProof/>
        </w:rPr>
        <w:t> </w:t>
      </w:r>
      <w:r w:rsidR="00DD1DFA" w:rsidRPr="00DD1DFA">
        <w:rPr>
          <w:noProof/>
        </w:rPr>
        <w:t>nim</w:t>
      </w:r>
      <w:r w:rsidR="002A1351" w:rsidRPr="00DD1DFA">
        <w:rPr>
          <w:noProof/>
        </w:rPr>
        <w:t xml:space="preserve"> wyrobów, są podane lub spełnione dzięki zastosowaniu najnowocześniejszych metod.</w:t>
      </w:r>
    </w:p>
    <w:p w14:paraId="5B24638A" w14:textId="1F6A9EF1" w:rsidR="00BC1E12" w:rsidRPr="00DD1DFA" w:rsidRDefault="005F7EFA" w:rsidP="005F7EFA">
      <w:pPr>
        <w:pStyle w:val="ManualNumPar1"/>
        <w:rPr>
          <w:rFonts w:eastAsia="Calibri"/>
          <w:noProof/>
          <w:szCs w:val="24"/>
        </w:rPr>
      </w:pPr>
      <w:r w:rsidRPr="005F7EFA">
        <w:t>2.</w:t>
      </w:r>
      <w:r w:rsidRPr="005F7EFA">
        <w:tab/>
      </w:r>
      <w:r w:rsidR="002A1351" w:rsidRPr="00DD1DFA">
        <w:rPr>
          <w:noProof/>
        </w:rPr>
        <w:t>Jednostka notyfikowana lub JOT, oprócz zadań określonych</w:t>
      </w:r>
      <w:r w:rsidR="00DD1DFA" w:rsidRPr="00DD1DFA">
        <w:rPr>
          <w:noProof/>
        </w:rPr>
        <w:t xml:space="preserve"> w</w:t>
      </w:r>
      <w:r w:rsidR="00DD1DFA">
        <w:rPr>
          <w:noProof/>
        </w:rPr>
        <w:t> </w:t>
      </w:r>
      <w:r w:rsidR="00DD1DFA" w:rsidRPr="00DD1DFA">
        <w:rPr>
          <w:noProof/>
        </w:rPr>
        <w:t>zał</w:t>
      </w:r>
      <w:r w:rsidR="002A1351" w:rsidRPr="00DD1DFA">
        <w:rPr>
          <w:noProof/>
        </w:rPr>
        <w:t>ączniku V, ocenia</w:t>
      </w:r>
      <w:r w:rsidR="00DD1DFA" w:rsidRPr="00DD1DFA">
        <w:rPr>
          <w:noProof/>
        </w:rPr>
        <w:t xml:space="preserve"> i</w:t>
      </w:r>
      <w:r w:rsidR="00DD1DFA">
        <w:rPr>
          <w:noProof/>
        </w:rPr>
        <w:t> </w:t>
      </w:r>
      <w:r w:rsidR="00DD1DFA" w:rsidRPr="00DD1DFA">
        <w:rPr>
          <w:noProof/>
        </w:rPr>
        <w:t>poś</w:t>
      </w:r>
      <w:r w:rsidR="002A1351" w:rsidRPr="00DD1DFA">
        <w:rPr>
          <w:noProof/>
        </w:rPr>
        <w:t>wiadcza prawidłowe wypełnienie zobowiązań,</w:t>
      </w:r>
      <w:r w:rsidR="00DD1DFA" w:rsidRPr="00DD1DFA">
        <w:rPr>
          <w:noProof/>
        </w:rPr>
        <w:t xml:space="preserve"> o</w:t>
      </w:r>
      <w:r w:rsidR="00DD1DFA">
        <w:rPr>
          <w:noProof/>
        </w:rPr>
        <w:t> </w:t>
      </w:r>
      <w:r w:rsidR="00DD1DFA" w:rsidRPr="00DD1DFA">
        <w:rPr>
          <w:noProof/>
        </w:rPr>
        <w:t>któ</w:t>
      </w:r>
      <w:r w:rsidR="002A1351" w:rsidRPr="00DD1DFA">
        <w:rPr>
          <w:noProof/>
        </w:rPr>
        <w:t>rych mowa</w:t>
      </w:r>
      <w:r w:rsidR="00DD1DFA" w:rsidRPr="00DD1DFA">
        <w:rPr>
          <w:noProof/>
        </w:rPr>
        <w:t xml:space="preserve"> w</w:t>
      </w:r>
      <w:r w:rsidR="00DD1DFA">
        <w:rPr>
          <w:noProof/>
        </w:rPr>
        <w:t> </w:t>
      </w:r>
      <w:r w:rsidR="00DD1DFA" w:rsidRPr="00DD1DFA">
        <w:rPr>
          <w:noProof/>
        </w:rPr>
        <w:t>ust</w:t>
      </w:r>
      <w:r w:rsidR="002A1351" w:rsidRPr="00DD1DFA">
        <w:rPr>
          <w:noProof/>
        </w:rPr>
        <w:t>.</w:t>
      </w:r>
      <w:r w:rsidR="00DD1DFA" w:rsidRPr="00DD1DFA">
        <w:rPr>
          <w:noProof/>
        </w:rPr>
        <w:t> </w:t>
      </w:r>
      <w:r w:rsidR="002A1351" w:rsidRPr="00DD1DFA">
        <w:rPr>
          <w:noProof/>
        </w:rPr>
        <w:t>1.</w:t>
      </w:r>
    </w:p>
    <w:p w14:paraId="1E0B7C0D" w14:textId="77777777" w:rsidR="00BC1E12" w:rsidRPr="00DD1DFA" w:rsidRDefault="00F53F9F" w:rsidP="00182B04">
      <w:pPr>
        <w:pStyle w:val="Titrearticle"/>
        <w:rPr>
          <w:noProof/>
        </w:rPr>
      </w:pPr>
      <w:r w:rsidRPr="00DD1DFA">
        <w:rPr>
          <w:noProof/>
        </w:rPr>
        <w:t>Artykuł 67</w:t>
      </w:r>
    </w:p>
    <w:p w14:paraId="39A2CD2C" w14:textId="5443C2D8" w:rsidR="00BC1E12" w:rsidRPr="00DD1DFA" w:rsidRDefault="00BC1E12" w:rsidP="00182B04">
      <w:pPr>
        <w:pStyle w:val="Titrearticle"/>
        <w:rPr>
          <w:b/>
          <w:noProof/>
        </w:rPr>
      </w:pPr>
      <w:r w:rsidRPr="00DD1DFA">
        <w:rPr>
          <w:b/>
          <w:noProof/>
        </w:rPr>
        <w:t>Uznanie oceny</w:t>
      </w:r>
      <w:r w:rsidR="00DD1DFA" w:rsidRPr="00DD1DFA">
        <w:rPr>
          <w:b/>
          <w:noProof/>
        </w:rPr>
        <w:t xml:space="preserve"> i</w:t>
      </w:r>
      <w:r w:rsidR="00DD1DFA">
        <w:rPr>
          <w:b/>
          <w:noProof/>
        </w:rPr>
        <w:t> </w:t>
      </w:r>
      <w:r w:rsidR="00DD1DFA" w:rsidRPr="00DD1DFA">
        <w:rPr>
          <w:b/>
          <w:noProof/>
        </w:rPr>
        <w:t>wer</w:t>
      </w:r>
      <w:r w:rsidRPr="00DD1DFA">
        <w:rPr>
          <w:b/>
          <w:noProof/>
        </w:rPr>
        <w:t>yfikacji przez inną jednostkę notyfikowaną</w:t>
      </w:r>
    </w:p>
    <w:p w14:paraId="35A5F1A5" w14:textId="57DB9EDE" w:rsidR="00D47FE4" w:rsidRPr="00DD1DFA" w:rsidRDefault="005F7EFA" w:rsidP="005F7EFA">
      <w:pPr>
        <w:pStyle w:val="ManualNumPar1"/>
        <w:rPr>
          <w:rFonts w:eastAsia="Calibri"/>
          <w:noProof/>
          <w:szCs w:val="24"/>
        </w:rPr>
      </w:pPr>
      <w:r w:rsidRPr="005F7EFA">
        <w:t>1.</w:t>
      </w:r>
      <w:r w:rsidRPr="005F7EFA">
        <w:tab/>
      </w:r>
      <w:r w:rsidR="00D47FE4" w:rsidRPr="00DD1DFA">
        <w:rPr>
          <w:noProof/>
        </w:rPr>
        <w:t>Jednostka notyfikowana (zwana dalej uznającą jednostką notyfikowaną) może odstąpić od oceny</w:t>
      </w:r>
      <w:r w:rsidR="00DD1DFA" w:rsidRPr="00DD1DFA">
        <w:rPr>
          <w:noProof/>
        </w:rPr>
        <w:t xml:space="preserve"> i</w:t>
      </w:r>
      <w:r w:rsidR="00DD1DFA">
        <w:rPr>
          <w:noProof/>
        </w:rPr>
        <w:t> </w:t>
      </w:r>
      <w:r w:rsidR="00DD1DFA" w:rsidRPr="00DD1DFA">
        <w:rPr>
          <w:noProof/>
        </w:rPr>
        <w:t>wer</w:t>
      </w:r>
      <w:r w:rsidR="00D47FE4" w:rsidRPr="00DD1DFA">
        <w:rPr>
          <w:noProof/>
        </w:rPr>
        <w:t>yfikacji określonego elementu, który ma być oceniony lub zweryfikowany zgodnie</w:t>
      </w:r>
      <w:r w:rsidR="00DD1DFA" w:rsidRPr="00DD1DFA">
        <w:rPr>
          <w:noProof/>
        </w:rPr>
        <w:t xml:space="preserve"> z</w:t>
      </w:r>
      <w:r w:rsidR="00DD1DFA">
        <w:rPr>
          <w:noProof/>
        </w:rPr>
        <w:t> </w:t>
      </w:r>
      <w:r w:rsidR="00DD1DFA" w:rsidRPr="00DD1DFA">
        <w:rPr>
          <w:noProof/>
        </w:rPr>
        <w:t>nin</w:t>
      </w:r>
      <w:r w:rsidR="00D47FE4" w:rsidRPr="00DD1DFA">
        <w:rPr>
          <w:noProof/>
        </w:rPr>
        <w:t>iejszym rozporządzeniem,</w:t>
      </w:r>
      <w:r w:rsidR="00DD1DFA" w:rsidRPr="00DD1DFA">
        <w:rPr>
          <w:noProof/>
        </w:rPr>
        <w:t xml:space="preserve"> i</w:t>
      </w:r>
      <w:r w:rsidR="00DD1DFA">
        <w:rPr>
          <w:noProof/>
        </w:rPr>
        <w:t> </w:t>
      </w:r>
      <w:r w:rsidR="00DD1DFA" w:rsidRPr="00DD1DFA">
        <w:rPr>
          <w:noProof/>
        </w:rPr>
        <w:t>uzn</w:t>
      </w:r>
      <w:r w:rsidR="00D47FE4" w:rsidRPr="00DD1DFA">
        <w:rPr>
          <w:noProof/>
        </w:rPr>
        <w:t>ać ocenę</w:t>
      </w:r>
      <w:r w:rsidR="00DD1DFA" w:rsidRPr="00DD1DFA">
        <w:rPr>
          <w:noProof/>
        </w:rPr>
        <w:t xml:space="preserve"> i</w:t>
      </w:r>
      <w:r w:rsidR="00DD1DFA">
        <w:rPr>
          <w:noProof/>
        </w:rPr>
        <w:t> </w:t>
      </w:r>
      <w:r w:rsidR="00DD1DFA" w:rsidRPr="00DD1DFA">
        <w:rPr>
          <w:noProof/>
        </w:rPr>
        <w:t>wer</w:t>
      </w:r>
      <w:r w:rsidR="00D47FE4" w:rsidRPr="00DD1DFA">
        <w:rPr>
          <w:noProof/>
        </w:rPr>
        <w:t>yfikację przeprowadzoną przez inną jednostkę notyfikowaną dla tego samego podmiotu gospodarczego, jeżeli:</w:t>
      </w:r>
    </w:p>
    <w:p w14:paraId="3A34068E" w14:textId="7DD7DAB7" w:rsidR="00D47FE4" w:rsidRPr="00DD1DFA" w:rsidRDefault="003C1401" w:rsidP="003C1401">
      <w:pPr>
        <w:pStyle w:val="Point1"/>
        <w:rPr>
          <w:noProof/>
        </w:rPr>
      </w:pPr>
      <w:r w:rsidRPr="003C1401">
        <w:rPr>
          <w:noProof/>
        </w:rPr>
        <w:t>a)</w:t>
      </w:r>
      <w:r w:rsidRPr="003C1401">
        <w:rPr>
          <w:noProof/>
        </w:rPr>
        <w:tab/>
      </w:r>
      <w:r w:rsidR="00D47FE4" w:rsidRPr="00DD1DFA">
        <w:rPr>
          <w:noProof/>
        </w:rPr>
        <w:t>inna jednostka notyfikowana prawidłowo oceniła</w:t>
      </w:r>
      <w:r w:rsidR="00DD1DFA" w:rsidRPr="00DD1DFA">
        <w:rPr>
          <w:noProof/>
        </w:rPr>
        <w:t xml:space="preserve"> i</w:t>
      </w:r>
      <w:r w:rsidR="00DD1DFA">
        <w:rPr>
          <w:noProof/>
        </w:rPr>
        <w:t> </w:t>
      </w:r>
      <w:r w:rsidR="00DD1DFA" w:rsidRPr="00DD1DFA">
        <w:rPr>
          <w:noProof/>
        </w:rPr>
        <w:t>zwe</w:t>
      </w:r>
      <w:r w:rsidR="00D47FE4" w:rsidRPr="00DD1DFA">
        <w:rPr>
          <w:noProof/>
        </w:rPr>
        <w:t>ryfikowała dany element, co – choć jest możliwe do obalenia – należy założyć, jeżeli odpowiednie sprawozdanie nie zawiera żadnych informacji sugerujących błąd;</w:t>
      </w:r>
    </w:p>
    <w:p w14:paraId="78EC5797" w14:textId="0DEF6034" w:rsidR="00D47FE4" w:rsidRPr="00DD1DFA" w:rsidRDefault="003C1401" w:rsidP="003C1401">
      <w:pPr>
        <w:pStyle w:val="Point1"/>
        <w:rPr>
          <w:noProof/>
        </w:rPr>
      </w:pPr>
      <w:r w:rsidRPr="003C1401">
        <w:rPr>
          <w:noProof/>
        </w:rPr>
        <w:t>b)</w:t>
      </w:r>
      <w:r w:rsidRPr="003C1401">
        <w:rPr>
          <w:noProof/>
        </w:rPr>
        <w:tab/>
      </w:r>
      <w:r w:rsidR="00D47FE4" w:rsidRPr="00DD1DFA">
        <w:rPr>
          <w:noProof/>
        </w:rPr>
        <w:t>istnieje porozumienie między dwiema jednostkami notyfikowanymi, zobowiązujące je do wymiany wszelkich informacji dotyczących oceny</w:t>
      </w:r>
      <w:r w:rsidR="00DD1DFA" w:rsidRPr="00DD1DFA">
        <w:rPr>
          <w:noProof/>
        </w:rPr>
        <w:t xml:space="preserve"> i</w:t>
      </w:r>
      <w:r w:rsidR="00DD1DFA">
        <w:rPr>
          <w:noProof/>
        </w:rPr>
        <w:t> </w:t>
      </w:r>
      <w:r w:rsidR="00DD1DFA" w:rsidRPr="00DD1DFA">
        <w:rPr>
          <w:noProof/>
        </w:rPr>
        <w:t>wer</w:t>
      </w:r>
      <w:r w:rsidR="00D47FE4" w:rsidRPr="00DD1DFA">
        <w:rPr>
          <w:noProof/>
        </w:rPr>
        <w:t>yfikacji oraz ich odpowiednich certyfikatów</w:t>
      </w:r>
      <w:r w:rsidR="00DD1DFA" w:rsidRPr="00DD1DFA">
        <w:rPr>
          <w:noProof/>
        </w:rPr>
        <w:t xml:space="preserve"> i</w:t>
      </w:r>
      <w:r w:rsidR="00DD1DFA">
        <w:rPr>
          <w:noProof/>
        </w:rPr>
        <w:t> </w:t>
      </w:r>
      <w:r w:rsidR="00DD1DFA" w:rsidRPr="00DD1DFA">
        <w:rPr>
          <w:noProof/>
        </w:rPr>
        <w:t>spr</w:t>
      </w:r>
      <w:r w:rsidR="00D47FE4" w:rsidRPr="00DD1DFA">
        <w:rPr>
          <w:noProof/>
        </w:rPr>
        <w:t>awozdań;</w:t>
      </w:r>
    </w:p>
    <w:p w14:paraId="1DE92C2D" w14:textId="1F344B88" w:rsidR="00D47FE4" w:rsidRPr="00DD1DFA" w:rsidRDefault="003C1401" w:rsidP="003C1401">
      <w:pPr>
        <w:pStyle w:val="Point1"/>
        <w:rPr>
          <w:noProof/>
        </w:rPr>
      </w:pPr>
      <w:r w:rsidRPr="003C1401">
        <w:rPr>
          <w:noProof/>
        </w:rPr>
        <w:t>c)</w:t>
      </w:r>
      <w:r w:rsidRPr="003C1401">
        <w:rPr>
          <w:noProof/>
        </w:rPr>
        <w:tab/>
      </w:r>
      <w:r w:rsidR="00D47FE4" w:rsidRPr="00DD1DFA">
        <w:rPr>
          <w:noProof/>
        </w:rPr>
        <w:t>oceniony lub zweryfikowany podmiot gospodarczy zgadza się udostępnić wszystkie istotne dane</w:t>
      </w:r>
      <w:r w:rsidR="00DD1DFA" w:rsidRPr="00DD1DFA">
        <w:rPr>
          <w:noProof/>
        </w:rPr>
        <w:t xml:space="preserve"> i</w:t>
      </w:r>
      <w:r w:rsidR="00DD1DFA">
        <w:rPr>
          <w:noProof/>
        </w:rPr>
        <w:t> </w:t>
      </w:r>
      <w:r w:rsidR="00DD1DFA" w:rsidRPr="00DD1DFA">
        <w:rPr>
          <w:noProof/>
        </w:rPr>
        <w:t>dok</w:t>
      </w:r>
      <w:r w:rsidR="00D47FE4" w:rsidRPr="00DD1DFA">
        <w:rPr>
          <w:noProof/>
        </w:rPr>
        <w:t xml:space="preserve">umenty uznającej jednostce notyfikowanej; </w:t>
      </w:r>
    </w:p>
    <w:p w14:paraId="1550789E" w14:textId="5311E565" w:rsidR="00D47FE4" w:rsidRPr="00DD1DFA" w:rsidRDefault="003C1401" w:rsidP="003C1401">
      <w:pPr>
        <w:pStyle w:val="Point1"/>
        <w:rPr>
          <w:noProof/>
        </w:rPr>
      </w:pPr>
      <w:r w:rsidRPr="003C1401">
        <w:rPr>
          <w:noProof/>
        </w:rPr>
        <w:t>d)</w:t>
      </w:r>
      <w:r w:rsidRPr="003C1401">
        <w:rPr>
          <w:noProof/>
        </w:rPr>
        <w:tab/>
      </w:r>
      <w:r w:rsidR="00D47FE4" w:rsidRPr="00DD1DFA">
        <w:rPr>
          <w:noProof/>
        </w:rPr>
        <w:t>ważność certyfikatu ogranicza się do ważności certyfikatu wydanego przez inną jednostkę notyfikowaną.</w:t>
      </w:r>
    </w:p>
    <w:p w14:paraId="4B2FF6B3" w14:textId="4F57F870" w:rsidR="00D47FE4" w:rsidRPr="00DD1DFA" w:rsidRDefault="00D47FE4" w:rsidP="00D47FE4">
      <w:pPr>
        <w:pStyle w:val="Text1"/>
        <w:rPr>
          <w:noProof/>
        </w:rPr>
      </w:pPr>
      <w:r w:rsidRPr="00DD1DFA">
        <w:rPr>
          <w:noProof/>
        </w:rPr>
        <w:t>Niniejszy ustęp ma również zastosowanie do sprawozdań</w:t>
      </w:r>
      <w:r w:rsidR="00DD1DFA" w:rsidRPr="00DD1DFA">
        <w:rPr>
          <w:noProof/>
        </w:rPr>
        <w:t xml:space="preserve"> z</w:t>
      </w:r>
      <w:r w:rsidR="00DD1DFA">
        <w:rPr>
          <w:noProof/>
        </w:rPr>
        <w:t> </w:t>
      </w:r>
      <w:r w:rsidR="00DD1DFA" w:rsidRPr="00DD1DFA">
        <w:rPr>
          <w:noProof/>
        </w:rPr>
        <w:t>bad</w:t>
      </w:r>
      <w:r w:rsidRPr="00DD1DFA">
        <w:rPr>
          <w:noProof/>
        </w:rPr>
        <w:t>ań, po których nie następuje certyfikacja, oraz do ocen obliczeń dotyczących zrównoważenia środowiskowego dokonywanych na podstawie rozporządzenia (UE) ... [Rozporządzenie</w:t>
      </w:r>
      <w:r w:rsidR="00DD1DFA" w:rsidRPr="00DD1DFA">
        <w:rPr>
          <w:noProof/>
        </w:rPr>
        <w:t xml:space="preserve"> w</w:t>
      </w:r>
      <w:r w:rsidR="00DD1DFA">
        <w:rPr>
          <w:noProof/>
        </w:rPr>
        <w:t> </w:t>
      </w:r>
      <w:r w:rsidR="00DD1DFA" w:rsidRPr="00DD1DFA">
        <w:rPr>
          <w:noProof/>
        </w:rPr>
        <w:t>spr</w:t>
      </w:r>
      <w:r w:rsidRPr="00DD1DFA">
        <w:rPr>
          <w:noProof/>
        </w:rPr>
        <w:t>awie ekoprojektu dla zrównoważonych produktów].</w:t>
      </w:r>
    </w:p>
    <w:p w14:paraId="0A181ECD" w14:textId="17D169FC" w:rsidR="00D47FE4" w:rsidRPr="00DD1DFA" w:rsidRDefault="005F7EFA" w:rsidP="005F7EFA">
      <w:pPr>
        <w:pStyle w:val="ManualNumPar1"/>
        <w:rPr>
          <w:rFonts w:eastAsia="Calibri"/>
          <w:noProof/>
          <w:szCs w:val="24"/>
        </w:rPr>
      </w:pPr>
      <w:r w:rsidRPr="005F7EFA">
        <w:t>2.</w:t>
      </w:r>
      <w:r w:rsidRPr="005F7EFA">
        <w:tab/>
      </w:r>
      <w:r w:rsidR="00D15E79" w:rsidRPr="00DD1DFA">
        <w:rPr>
          <w:noProof/>
        </w:rPr>
        <w:t>Jeżeli jednostka notyfikowana pragnie uznać ocenę lub weryfikację dokonaną przez inną jednostkę notyfikowaną</w:t>
      </w:r>
      <w:r w:rsidR="00DD1DFA" w:rsidRPr="00DD1DFA">
        <w:rPr>
          <w:noProof/>
        </w:rPr>
        <w:t xml:space="preserve"> w</w:t>
      </w:r>
      <w:r w:rsidR="00DD1DFA">
        <w:rPr>
          <w:noProof/>
        </w:rPr>
        <w:t> </w:t>
      </w:r>
      <w:r w:rsidR="00DD1DFA" w:rsidRPr="00DD1DFA">
        <w:rPr>
          <w:noProof/>
        </w:rPr>
        <w:t>odn</w:t>
      </w:r>
      <w:r w:rsidR="00D15E79" w:rsidRPr="00DD1DFA">
        <w:rPr>
          <w:noProof/>
        </w:rPr>
        <w:t>iesieniu do podmiotu gospodarczego, za który odpowiedzialność ponosi wyłącznie ta druga jednostka notyfikowana („inny podmiot gospodarczy”), oraz pod warunkiem, że te podmioty gospodarcze zawarły dodatkowo porozumienie zapewniające swobodny przepływ wszystkich informacji między nimi</w:t>
      </w:r>
      <w:r w:rsidR="00DD1DFA" w:rsidRPr="00DD1DFA">
        <w:rPr>
          <w:noProof/>
        </w:rPr>
        <w:t xml:space="preserve"> a</w:t>
      </w:r>
      <w:r w:rsidR="00DD1DFA">
        <w:rPr>
          <w:noProof/>
        </w:rPr>
        <w:t> </w:t>
      </w:r>
      <w:r w:rsidR="00DD1DFA" w:rsidRPr="00DD1DFA">
        <w:rPr>
          <w:noProof/>
        </w:rPr>
        <w:t>jed</w:t>
      </w:r>
      <w:r w:rsidR="00D15E79" w:rsidRPr="00DD1DFA">
        <w:rPr>
          <w:noProof/>
        </w:rPr>
        <w:t>nostkami notyfikowanymi</w:t>
      </w:r>
      <w:r w:rsidR="00DD1DFA" w:rsidRPr="00DD1DFA">
        <w:rPr>
          <w:noProof/>
        </w:rPr>
        <w:t xml:space="preserve"> w</w:t>
      </w:r>
      <w:r w:rsidR="00DD1DFA">
        <w:rPr>
          <w:noProof/>
        </w:rPr>
        <w:t> </w:t>
      </w:r>
      <w:r w:rsidR="00DD1DFA" w:rsidRPr="00DD1DFA">
        <w:rPr>
          <w:noProof/>
        </w:rPr>
        <w:t>cel</w:t>
      </w:r>
      <w:r w:rsidR="00D15E79" w:rsidRPr="00DD1DFA">
        <w:rPr>
          <w:noProof/>
        </w:rPr>
        <w:t>u zapewnienia zgodności</w:t>
      </w:r>
      <w:r w:rsidR="00DD1DFA" w:rsidRPr="00DD1DFA">
        <w:rPr>
          <w:noProof/>
        </w:rPr>
        <w:t xml:space="preserve"> z</w:t>
      </w:r>
      <w:r w:rsidR="00DD1DFA">
        <w:rPr>
          <w:noProof/>
        </w:rPr>
        <w:t> </w:t>
      </w:r>
      <w:r w:rsidR="00DD1DFA" w:rsidRPr="00DD1DFA">
        <w:rPr>
          <w:noProof/>
        </w:rPr>
        <w:t>nin</w:t>
      </w:r>
      <w:r w:rsidR="00D15E79" w:rsidRPr="00DD1DFA">
        <w:rPr>
          <w:noProof/>
        </w:rPr>
        <w:t>iejszym rozporządzeniem, uznanie takie jest możliwe wyłącznie</w:t>
      </w:r>
      <w:r w:rsidR="00DD1DFA" w:rsidRPr="00DD1DFA">
        <w:rPr>
          <w:noProof/>
        </w:rPr>
        <w:t xml:space="preserve"> w</w:t>
      </w:r>
      <w:r w:rsidR="00DD1DFA">
        <w:rPr>
          <w:noProof/>
        </w:rPr>
        <w:t> </w:t>
      </w:r>
      <w:r w:rsidR="00DD1DFA" w:rsidRPr="00DD1DFA">
        <w:rPr>
          <w:noProof/>
        </w:rPr>
        <w:t>odn</w:t>
      </w:r>
      <w:r w:rsidR="00D15E79" w:rsidRPr="00DD1DFA">
        <w:rPr>
          <w:noProof/>
        </w:rPr>
        <w:t>iesieniu do:</w:t>
      </w:r>
    </w:p>
    <w:p w14:paraId="5A6255EB" w14:textId="4719F056" w:rsidR="00D47FE4" w:rsidRPr="00DD1DFA" w:rsidRDefault="003C1401" w:rsidP="003C1401">
      <w:pPr>
        <w:pStyle w:val="Point1"/>
        <w:rPr>
          <w:noProof/>
        </w:rPr>
      </w:pPr>
      <w:r w:rsidRPr="003C1401">
        <w:rPr>
          <w:noProof/>
        </w:rPr>
        <w:t>a)</w:t>
      </w:r>
      <w:r w:rsidRPr="003C1401">
        <w:rPr>
          <w:noProof/>
        </w:rPr>
        <w:tab/>
      </w:r>
      <w:r w:rsidR="00D47FE4" w:rsidRPr="00DD1DFA">
        <w:rPr>
          <w:noProof/>
        </w:rPr>
        <w:t>weryfikacji obliczeń dotyczących zrównoważenia środowiskowego innego podmiotu gospodarczego, mianowicie dostawcy lub usługodawcy, oraz dostarczanych przez nich towarów lub świadczonych przez nich usług, lub</w:t>
      </w:r>
    </w:p>
    <w:p w14:paraId="09870219" w14:textId="227EBA7D" w:rsidR="00D47FE4" w:rsidRPr="00DD1DFA" w:rsidRDefault="003C1401" w:rsidP="003C1401">
      <w:pPr>
        <w:pStyle w:val="Point1"/>
        <w:rPr>
          <w:noProof/>
        </w:rPr>
      </w:pPr>
      <w:r w:rsidRPr="003C1401">
        <w:rPr>
          <w:noProof/>
        </w:rPr>
        <w:t>b)</w:t>
      </w:r>
      <w:r w:rsidRPr="003C1401">
        <w:rPr>
          <w:noProof/>
        </w:rPr>
        <w:tab/>
      </w:r>
      <w:r w:rsidR="00D47FE4" w:rsidRPr="00DD1DFA">
        <w:rPr>
          <w:noProof/>
        </w:rPr>
        <w:t>części składowych, jeżeli te części składowe nie stanowią całego wyrobu.</w:t>
      </w:r>
    </w:p>
    <w:p w14:paraId="08344819" w14:textId="444C1A33" w:rsidR="00D47FE4" w:rsidRPr="00DD1DFA" w:rsidRDefault="00D47FE4" w:rsidP="00D47FE4">
      <w:pPr>
        <w:pStyle w:val="Text1"/>
        <w:rPr>
          <w:noProof/>
        </w:rPr>
      </w:pPr>
      <w:r w:rsidRPr="00DD1DFA">
        <w:rPr>
          <w:noProof/>
          <w:color w:val="000000"/>
        </w:rPr>
        <w:t>Niniejszy ustęp ma również zastosowanie do ocen obliczeń dotyczących zrównoważenia środowiskowego dokonywanych na podstawie rozporządzenia (UE) ... [Rozporządzenie</w:t>
      </w:r>
      <w:r w:rsidR="00DD1DFA" w:rsidRPr="00DD1DFA">
        <w:rPr>
          <w:noProof/>
          <w:color w:val="000000"/>
        </w:rPr>
        <w:t xml:space="preserve"> w</w:t>
      </w:r>
      <w:r w:rsidR="00DD1DFA">
        <w:rPr>
          <w:noProof/>
          <w:color w:val="000000"/>
        </w:rPr>
        <w:t> </w:t>
      </w:r>
      <w:r w:rsidR="00DD1DFA" w:rsidRPr="00DD1DFA">
        <w:rPr>
          <w:noProof/>
          <w:color w:val="000000"/>
        </w:rPr>
        <w:t>spr</w:t>
      </w:r>
      <w:r w:rsidRPr="00DD1DFA">
        <w:rPr>
          <w:noProof/>
          <w:color w:val="000000"/>
        </w:rPr>
        <w:t>awie ekoprojektu dla zrównoważonych produktów].</w:t>
      </w:r>
    </w:p>
    <w:p w14:paraId="58BE91A4" w14:textId="77777777" w:rsidR="00BC1E12" w:rsidRPr="00DD1DFA" w:rsidRDefault="00BC1E12" w:rsidP="00F83862">
      <w:pPr>
        <w:pStyle w:val="ChapterTitle"/>
        <w:rPr>
          <w:rFonts w:ascii="Calibri" w:eastAsia="Calibri" w:hAnsi="Calibri" w:cs="DejaVu Sans"/>
          <w:noProof/>
          <w:color w:val="00000A"/>
          <w:sz w:val="24"/>
          <w:szCs w:val="24"/>
        </w:rPr>
      </w:pPr>
      <w:r w:rsidRPr="00DD1DFA">
        <w:rPr>
          <w:noProof/>
          <w:sz w:val="24"/>
          <w:szCs w:val="24"/>
        </w:rPr>
        <w:t>ROZDZIAŁ VIII</w:t>
      </w:r>
    </w:p>
    <w:p w14:paraId="21E62103" w14:textId="77777777" w:rsidR="00BC1E12" w:rsidRPr="00DD1DFA" w:rsidRDefault="00704389" w:rsidP="00F83862">
      <w:pPr>
        <w:pStyle w:val="ChapterTitle"/>
        <w:rPr>
          <w:rFonts w:ascii="Calibri" w:eastAsia="Calibri" w:hAnsi="Calibri" w:cs="DejaVu Sans"/>
          <w:noProof/>
          <w:color w:val="00000A"/>
          <w:sz w:val="24"/>
          <w:szCs w:val="24"/>
        </w:rPr>
      </w:pPr>
      <w:r w:rsidRPr="00DD1DFA">
        <w:rPr>
          <w:noProof/>
          <w:sz w:val="24"/>
          <w:szCs w:val="24"/>
        </w:rPr>
        <w:t>NADZÓR RYNKU I PROCEDURY OCHRONNE</w:t>
      </w:r>
    </w:p>
    <w:p w14:paraId="148D412A" w14:textId="77777777" w:rsidR="009B78B2" w:rsidRPr="00DD1DFA" w:rsidRDefault="00F53F9F" w:rsidP="00F83862">
      <w:pPr>
        <w:pStyle w:val="Titrearticle"/>
        <w:rPr>
          <w:noProof/>
        </w:rPr>
      </w:pPr>
      <w:r w:rsidRPr="00DD1DFA">
        <w:rPr>
          <w:noProof/>
        </w:rPr>
        <w:t>Artykuł 68</w:t>
      </w:r>
    </w:p>
    <w:p w14:paraId="0A09B044" w14:textId="77777777" w:rsidR="00704389" w:rsidRPr="00DD1DFA" w:rsidRDefault="00704389" w:rsidP="00704389">
      <w:pPr>
        <w:pStyle w:val="Titrearticle"/>
        <w:rPr>
          <w:b/>
          <w:noProof/>
        </w:rPr>
      </w:pPr>
      <w:r w:rsidRPr="00DD1DFA">
        <w:rPr>
          <w:b/>
          <w:noProof/>
        </w:rPr>
        <w:t>Portal rozpatrywania skarg</w:t>
      </w:r>
    </w:p>
    <w:p w14:paraId="30BBE989" w14:textId="25465FAE" w:rsidR="00704389" w:rsidRPr="00DD1DFA" w:rsidRDefault="005F7EFA" w:rsidP="005F7EFA">
      <w:pPr>
        <w:pStyle w:val="ManualNumPar1"/>
        <w:rPr>
          <w:noProof/>
        </w:rPr>
      </w:pPr>
      <w:r w:rsidRPr="005F7EFA">
        <w:t>1.</w:t>
      </w:r>
      <w:r w:rsidRPr="005F7EFA">
        <w:tab/>
      </w:r>
      <w:r w:rsidR="00704389" w:rsidRPr="00DD1DFA">
        <w:rPr>
          <w:noProof/>
        </w:rPr>
        <w:t>Komisja tworzy system umożliwiający każdej osobie fizycznej lub prawnej składanie skarg lub sprawozdań dotyczących ewentualnych niezgodności</w:t>
      </w:r>
      <w:r w:rsidR="00DD1DFA" w:rsidRPr="00DD1DFA">
        <w:rPr>
          <w:noProof/>
        </w:rPr>
        <w:t xml:space="preserve"> z</w:t>
      </w:r>
      <w:r w:rsidR="00DD1DFA">
        <w:rPr>
          <w:noProof/>
        </w:rPr>
        <w:t> </w:t>
      </w:r>
      <w:r w:rsidR="00DD1DFA" w:rsidRPr="00DD1DFA">
        <w:rPr>
          <w:noProof/>
        </w:rPr>
        <w:t>nin</w:t>
      </w:r>
      <w:r w:rsidR="00704389" w:rsidRPr="00DD1DFA">
        <w:rPr>
          <w:noProof/>
        </w:rPr>
        <w:t>iejszym rozporządzeniem.</w:t>
      </w:r>
    </w:p>
    <w:p w14:paraId="33FAF587" w14:textId="21250BE7" w:rsidR="00C135F5" w:rsidRPr="00DD1DFA" w:rsidRDefault="005F7EFA" w:rsidP="005F7EFA">
      <w:pPr>
        <w:pStyle w:val="ManualNumPar1"/>
        <w:rPr>
          <w:noProof/>
        </w:rPr>
      </w:pPr>
      <w:r w:rsidRPr="005F7EFA">
        <w:t>2.</w:t>
      </w:r>
      <w:r w:rsidRPr="005F7EFA">
        <w:tab/>
      </w:r>
      <w:r w:rsidR="00704389" w:rsidRPr="00DD1DFA">
        <w:rPr>
          <w:noProof/>
        </w:rPr>
        <w:t>Jeżeli Komisja uzna skargę lub sprawozdanie za istotne</w:t>
      </w:r>
      <w:r w:rsidR="00DD1DFA" w:rsidRPr="00DD1DFA">
        <w:rPr>
          <w:noProof/>
        </w:rPr>
        <w:t xml:space="preserve"> i</w:t>
      </w:r>
      <w:r w:rsidR="00DD1DFA">
        <w:rPr>
          <w:noProof/>
        </w:rPr>
        <w:t> </w:t>
      </w:r>
      <w:r w:rsidR="00DD1DFA" w:rsidRPr="00DD1DFA">
        <w:rPr>
          <w:noProof/>
        </w:rPr>
        <w:t>uza</w:t>
      </w:r>
      <w:r w:rsidR="00704389" w:rsidRPr="00DD1DFA">
        <w:rPr>
          <w:noProof/>
        </w:rPr>
        <w:t>sadnione, przekazuje je organowi nadzoru rynku</w:t>
      </w:r>
      <w:r w:rsidR="00DD1DFA" w:rsidRPr="00DD1DFA">
        <w:rPr>
          <w:noProof/>
        </w:rPr>
        <w:t xml:space="preserve"> w</w:t>
      </w:r>
      <w:r w:rsidR="00DD1DFA">
        <w:rPr>
          <w:noProof/>
        </w:rPr>
        <w:t> </w:t>
      </w:r>
      <w:r w:rsidR="00DD1DFA" w:rsidRPr="00DD1DFA">
        <w:rPr>
          <w:noProof/>
        </w:rPr>
        <w:t>cel</w:t>
      </w:r>
      <w:r w:rsidR="00704389" w:rsidRPr="00DD1DFA">
        <w:rPr>
          <w:noProof/>
        </w:rPr>
        <w:t>u podjęcia działań następczych wobec odpowiedniej osoby fizycznej lub prawnej zgodnie</w:t>
      </w:r>
      <w:r w:rsidR="00DD1DFA" w:rsidRPr="00DD1DFA">
        <w:rPr>
          <w:noProof/>
        </w:rPr>
        <w:t xml:space="preserve"> z</w:t>
      </w:r>
      <w:r w:rsidR="00DD1DFA">
        <w:rPr>
          <w:noProof/>
        </w:rPr>
        <w:t> </w:t>
      </w:r>
      <w:r w:rsidR="00DD1DFA" w:rsidRPr="00DD1DFA">
        <w:rPr>
          <w:noProof/>
        </w:rPr>
        <w:t>art</w:t>
      </w:r>
      <w:r w:rsidR="00704389" w:rsidRPr="00DD1DFA">
        <w:rPr>
          <w:noProof/>
        </w:rPr>
        <w:t>.</w:t>
      </w:r>
      <w:r w:rsidR="00DD1DFA" w:rsidRPr="00DD1DFA">
        <w:rPr>
          <w:noProof/>
        </w:rPr>
        <w:t> </w:t>
      </w:r>
      <w:r w:rsidR="00704389" w:rsidRPr="00DD1DFA">
        <w:rPr>
          <w:noProof/>
        </w:rPr>
        <w:t>11 ust.</w:t>
      </w:r>
      <w:r w:rsidR="00DD1DFA" w:rsidRPr="00DD1DFA">
        <w:rPr>
          <w:noProof/>
        </w:rPr>
        <w:t> </w:t>
      </w:r>
      <w:r w:rsidR="00704389" w:rsidRPr="00DD1DFA">
        <w:rPr>
          <w:noProof/>
        </w:rPr>
        <w:t>7 lit.</w:t>
      </w:r>
      <w:r w:rsidR="00DD1DFA" w:rsidRPr="00DD1DFA">
        <w:rPr>
          <w:noProof/>
        </w:rPr>
        <w:t> </w:t>
      </w:r>
      <w:r w:rsidR="00704389" w:rsidRPr="00DD1DFA">
        <w:rPr>
          <w:noProof/>
        </w:rPr>
        <w:t>a) rozporządzenia (UE) 2019/1020.</w:t>
      </w:r>
    </w:p>
    <w:p w14:paraId="3DA9FDD5" w14:textId="77777777" w:rsidR="00704389" w:rsidRPr="00DD1DFA" w:rsidRDefault="00704389" w:rsidP="00704389">
      <w:pPr>
        <w:pStyle w:val="Titrearticle"/>
        <w:rPr>
          <w:noProof/>
        </w:rPr>
      </w:pPr>
      <w:r w:rsidRPr="00DD1DFA">
        <w:rPr>
          <w:noProof/>
        </w:rPr>
        <w:t>Artykuł 69</w:t>
      </w:r>
    </w:p>
    <w:p w14:paraId="3D7B9A4A" w14:textId="77777777" w:rsidR="00704389" w:rsidRPr="00DD1DFA" w:rsidRDefault="00704389" w:rsidP="00704389">
      <w:pPr>
        <w:pStyle w:val="Titrearticle"/>
        <w:rPr>
          <w:b/>
          <w:noProof/>
        </w:rPr>
      </w:pPr>
      <w:r w:rsidRPr="00DD1DFA">
        <w:rPr>
          <w:b/>
          <w:noProof/>
        </w:rPr>
        <w:t>Właściwe organy</w:t>
      </w:r>
    </w:p>
    <w:p w14:paraId="49DACE6A" w14:textId="6FAB7E9C" w:rsidR="00704389" w:rsidRPr="00DD1DFA" w:rsidRDefault="005F7EFA" w:rsidP="005F7EFA">
      <w:pPr>
        <w:pStyle w:val="ManualNumPar1"/>
        <w:rPr>
          <w:noProof/>
        </w:rPr>
      </w:pPr>
      <w:r w:rsidRPr="005F7EFA">
        <w:t>1.</w:t>
      </w:r>
      <w:r w:rsidRPr="005F7EFA">
        <w:tab/>
      </w:r>
      <w:r w:rsidR="00704389" w:rsidRPr="00DD1DFA">
        <w:rPr>
          <w:noProof/>
        </w:rPr>
        <w:t>Państwa członkowskie wyznaczają spośród swoich organów nadzoru rynku co najmniej jeden „właściwy organ”, który dysponuje szczególną wiedzą potrzebną do oceny wyrobów zarówno pod względem technicznym, jak</w:t>
      </w:r>
      <w:r w:rsidR="00DD1DFA" w:rsidRPr="00DD1DFA">
        <w:rPr>
          <w:noProof/>
        </w:rPr>
        <w:t xml:space="preserve"> i</w:t>
      </w:r>
      <w:r w:rsidR="00DD1DFA">
        <w:rPr>
          <w:noProof/>
        </w:rPr>
        <w:t> </w:t>
      </w:r>
      <w:r w:rsidR="00DD1DFA" w:rsidRPr="00DD1DFA">
        <w:rPr>
          <w:noProof/>
        </w:rPr>
        <w:t>pra</w:t>
      </w:r>
      <w:r w:rsidR="00704389" w:rsidRPr="00DD1DFA">
        <w:rPr>
          <w:noProof/>
        </w:rPr>
        <w:t>wnym.</w:t>
      </w:r>
    </w:p>
    <w:p w14:paraId="6A2DA7ED" w14:textId="79F9652E" w:rsidR="00704389" w:rsidRPr="00DD1DFA" w:rsidRDefault="005F7EFA" w:rsidP="005F7EFA">
      <w:pPr>
        <w:pStyle w:val="ManualNumPar1"/>
        <w:rPr>
          <w:noProof/>
        </w:rPr>
      </w:pPr>
      <w:r w:rsidRPr="005F7EFA">
        <w:t>2.</w:t>
      </w:r>
      <w:r w:rsidRPr="005F7EFA">
        <w:tab/>
      </w:r>
      <w:r w:rsidR="00704389" w:rsidRPr="00DD1DFA">
        <w:rPr>
          <w:noProof/>
        </w:rPr>
        <w:t>Państwa członkowskie wyznaczają spośród swoich właściwych organów „właściwy organ krajowy”, który pełni rolę punktu kontaktowego ds. kontaktów</w:t>
      </w:r>
      <w:r w:rsidR="00DD1DFA" w:rsidRPr="00DD1DFA">
        <w:rPr>
          <w:noProof/>
        </w:rPr>
        <w:t xml:space="preserve"> z</w:t>
      </w:r>
      <w:r w:rsidR="00DD1DFA">
        <w:rPr>
          <w:noProof/>
        </w:rPr>
        <w:t> </w:t>
      </w:r>
      <w:r w:rsidR="00DD1DFA" w:rsidRPr="00DD1DFA">
        <w:rPr>
          <w:noProof/>
        </w:rPr>
        <w:t>inn</w:t>
      </w:r>
      <w:r w:rsidR="00704389" w:rsidRPr="00DD1DFA">
        <w:rPr>
          <w:noProof/>
        </w:rPr>
        <w:t>ymi państwami członkowskimi.</w:t>
      </w:r>
    </w:p>
    <w:p w14:paraId="74900CC1" w14:textId="77777777" w:rsidR="00704389" w:rsidRPr="00DD1DFA" w:rsidRDefault="00704389" w:rsidP="00704389">
      <w:pPr>
        <w:pStyle w:val="Titrearticle"/>
        <w:rPr>
          <w:noProof/>
        </w:rPr>
      </w:pPr>
      <w:r w:rsidRPr="00DD1DFA">
        <w:rPr>
          <w:noProof/>
        </w:rPr>
        <w:t>Artykuł 70</w:t>
      </w:r>
    </w:p>
    <w:p w14:paraId="55464A43" w14:textId="00C357FD" w:rsidR="00704389" w:rsidRPr="00DD1DFA" w:rsidRDefault="00704389" w:rsidP="00704389">
      <w:pPr>
        <w:pStyle w:val="Titrearticle"/>
        <w:rPr>
          <w:b/>
          <w:noProof/>
        </w:rPr>
      </w:pPr>
      <w:r w:rsidRPr="00DD1DFA">
        <w:rPr>
          <w:b/>
          <w:noProof/>
        </w:rPr>
        <w:t>Procedura postępowania</w:t>
      </w:r>
      <w:r w:rsidR="00DD1DFA" w:rsidRPr="00DD1DFA">
        <w:rPr>
          <w:b/>
          <w:noProof/>
        </w:rPr>
        <w:t xml:space="preserve"> w</w:t>
      </w:r>
      <w:r w:rsidR="00DD1DFA">
        <w:rPr>
          <w:b/>
          <w:noProof/>
        </w:rPr>
        <w:t> </w:t>
      </w:r>
      <w:r w:rsidR="00DD1DFA" w:rsidRPr="00DD1DFA">
        <w:rPr>
          <w:b/>
          <w:noProof/>
        </w:rPr>
        <w:t>prz</w:t>
      </w:r>
      <w:r w:rsidRPr="00DD1DFA">
        <w:rPr>
          <w:b/>
          <w:noProof/>
        </w:rPr>
        <w:t>ypadku niezgodności</w:t>
      </w:r>
    </w:p>
    <w:p w14:paraId="049BD9D0" w14:textId="4DEC36A6" w:rsidR="00704389" w:rsidRPr="00DD1DFA" w:rsidRDefault="005F7EFA" w:rsidP="005F7EFA">
      <w:pPr>
        <w:pStyle w:val="ManualNumPar1"/>
        <w:rPr>
          <w:noProof/>
        </w:rPr>
      </w:pPr>
      <w:r w:rsidRPr="005F7EFA">
        <w:t>1.</w:t>
      </w:r>
      <w:r w:rsidRPr="005F7EFA">
        <w:tab/>
      </w:r>
      <w:r w:rsidR="00704389" w:rsidRPr="00DD1DFA">
        <w:rPr>
          <w:noProof/>
        </w:rPr>
        <w:t>W przypadku gdy organ nadzoru rynku jednego</w:t>
      </w:r>
      <w:r w:rsidR="00DD1DFA" w:rsidRPr="00DD1DFA">
        <w:rPr>
          <w:noProof/>
        </w:rPr>
        <w:t xml:space="preserve"> z</w:t>
      </w:r>
      <w:r w:rsidR="00DD1DFA">
        <w:rPr>
          <w:noProof/>
        </w:rPr>
        <w:t> </w:t>
      </w:r>
      <w:r w:rsidR="00DD1DFA" w:rsidRPr="00DD1DFA">
        <w:rPr>
          <w:noProof/>
        </w:rPr>
        <w:t>pań</w:t>
      </w:r>
      <w:r w:rsidR="00704389" w:rsidRPr="00DD1DFA">
        <w:rPr>
          <w:noProof/>
        </w:rPr>
        <w:t>stw członkowskich ma wystarczające powody, by sądzić, że określone wyroby objęte normą dotyczącą wyrobów budowlanych lub</w:t>
      </w:r>
      <w:r w:rsidR="00DD1DFA" w:rsidRPr="00DD1DFA">
        <w:rPr>
          <w:noProof/>
        </w:rPr>
        <w:t xml:space="preserve"> w</w:t>
      </w:r>
      <w:r w:rsidR="00DD1DFA">
        <w:rPr>
          <w:noProof/>
        </w:rPr>
        <w:t> </w:t>
      </w:r>
      <w:r w:rsidR="00DD1DFA" w:rsidRPr="00DD1DFA">
        <w:rPr>
          <w:noProof/>
        </w:rPr>
        <w:t>odn</w:t>
      </w:r>
      <w:r w:rsidR="00704389" w:rsidRPr="00DD1DFA">
        <w:rPr>
          <w:noProof/>
        </w:rPr>
        <w:t>iesieniu do których wydano europejską ocenę techniczną lub ich producent nie spełniają wymogów, dokonuje on oceny tych wyrobów</w:t>
      </w:r>
      <w:r w:rsidR="00DD1DFA" w:rsidRPr="00DD1DFA">
        <w:rPr>
          <w:noProof/>
        </w:rPr>
        <w:t xml:space="preserve"> i</w:t>
      </w:r>
      <w:r w:rsidR="00DD1DFA">
        <w:rPr>
          <w:noProof/>
        </w:rPr>
        <w:t> </w:t>
      </w:r>
      <w:r w:rsidR="00DD1DFA" w:rsidRPr="00DD1DFA">
        <w:rPr>
          <w:noProof/>
        </w:rPr>
        <w:t>pro</w:t>
      </w:r>
      <w:r w:rsidR="00704389" w:rsidRPr="00DD1DFA">
        <w:rPr>
          <w:noProof/>
        </w:rPr>
        <w:t>ducenta pod kątem spełnienia odnośnych wymogów określonych</w:t>
      </w:r>
      <w:r w:rsidR="00DD1DFA" w:rsidRPr="00DD1DFA">
        <w:rPr>
          <w:noProof/>
        </w:rPr>
        <w:t xml:space="preserve"> w</w:t>
      </w:r>
      <w:r w:rsidR="00DD1DFA">
        <w:rPr>
          <w:noProof/>
        </w:rPr>
        <w:t> </w:t>
      </w:r>
      <w:r w:rsidR="00DD1DFA" w:rsidRPr="00DD1DFA">
        <w:rPr>
          <w:noProof/>
        </w:rPr>
        <w:t>nin</w:t>
      </w:r>
      <w:r w:rsidR="00704389" w:rsidRPr="00DD1DFA">
        <w:rPr>
          <w:noProof/>
        </w:rPr>
        <w:t>iejszym rozporządzeniu. Odpowiednie podmioty gospodarcze współpracują</w:t>
      </w:r>
      <w:r w:rsidR="00DD1DFA" w:rsidRPr="00DD1DFA">
        <w:rPr>
          <w:noProof/>
        </w:rPr>
        <w:t xml:space="preserve"> w</w:t>
      </w:r>
      <w:r w:rsidR="00DD1DFA">
        <w:rPr>
          <w:noProof/>
        </w:rPr>
        <w:t> </w:t>
      </w:r>
      <w:r w:rsidR="00DD1DFA" w:rsidRPr="00DD1DFA">
        <w:rPr>
          <w:noProof/>
        </w:rPr>
        <w:t>raz</w:t>
      </w:r>
      <w:r w:rsidR="00704389" w:rsidRPr="00DD1DFA">
        <w:rPr>
          <w:noProof/>
        </w:rPr>
        <w:t>ie konieczności</w:t>
      </w:r>
      <w:r w:rsidR="00DD1DFA" w:rsidRPr="00DD1DFA">
        <w:rPr>
          <w:noProof/>
        </w:rPr>
        <w:t xml:space="preserve"> z</w:t>
      </w:r>
      <w:r w:rsidR="00DD1DFA">
        <w:rPr>
          <w:noProof/>
        </w:rPr>
        <w:t> </w:t>
      </w:r>
      <w:r w:rsidR="00DD1DFA" w:rsidRPr="00DD1DFA">
        <w:rPr>
          <w:noProof/>
        </w:rPr>
        <w:t>org</w:t>
      </w:r>
      <w:r w:rsidR="00704389" w:rsidRPr="00DD1DFA">
        <w:rPr>
          <w:noProof/>
        </w:rPr>
        <w:t>anami nadzoru rynku.</w:t>
      </w:r>
    </w:p>
    <w:p w14:paraId="69FFC27F" w14:textId="26F912B5" w:rsidR="00704389" w:rsidRPr="00DD1DFA" w:rsidRDefault="00704389" w:rsidP="00704389">
      <w:pPr>
        <w:pStyle w:val="Text1"/>
        <w:rPr>
          <w:noProof/>
        </w:rPr>
      </w:pPr>
      <w:r w:rsidRPr="00DD1DFA">
        <w:rPr>
          <w:noProof/>
        </w:rPr>
        <w:t>Jeżeli</w:t>
      </w:r>
      <w:r w:rsidR="00DD1DFA" w:rsidRPr="00DD1DFA">
        <w:rPr>
          <w:noProof/>
        </w:rPr>
        <w:t xml:space="preserve"> w</w:t>
      </w:r>
      <w:r w:rsidR="00DD1DFA">
        <w:rPr>
          <w:noProof/>
        </w:rPr>
        <w:t> </w:t>
      </w:r>
      <w:r w:rsidR="00DD1DFA" w:rsidRPr="00DD1DFA">
        <w:rPr>
          <w:noProof/>
        </w:rPr>
        <w:t>tok</w:t>
      </w:r>
      <w:r w:rsidRPr="00DD1DFA">
        <w:rPr>
          <w:noProof/>
        </w:rPr>
        <w:t>u tej oceny organ nadzoru rynku stwierdzi, że dane wyroby lub ich producent nie spełniają wymogów</w:t>
      </w:r>
      <w:r w:rsidR="00DD1DFA" w:rsidRPr="00DD1DFA">
        <w:rPr>
          <w:noProof/>
        </w:rPr>
        <w:t xml:space="preserve"> i</w:t>
      </w:r>
      <w:r w:rsidR="00DD1DFA">
        <w:rPr>
          <w:noProof/>
        </w:rPr>
        <w:t> </w:t>
      </w:r>
      <w:r w:rsidR="00DD1DFA" w:rsidRPr="00DD1DFA">
        <w:rPr>
          <w:noProof/>
        </w:rPr>
        <w:t>obo</w:t>
      </w:r>
      <w:r w:rsidRPr="00DD1DFA">
        <w:rPr>
          <w:noProof/>
        </w:rPr>
        <w:t>wiązków określonych</w:t>
      </w:r>
      <w:r w:rsidR="00DD1DFA" w:rsidRPr="00DD1DFA">
        <w:rPr>
          <w:noProof/>
        </w:rPr>
        <w:t xml:space="preserve"> w</w:t>
      </w:r>
      <w:r w:rsidR="00DD1DFA">
        <w:rPr>
          <w:noProof/>
        </w:rPr>
        <w:t> </w:t>
      </w:r>
      <w:r w:rsidR="00DD1DFA" w:rsidRPr="00DD1DFA">
        <w:rPr>
          <w:noProof/>
        </w:rPr>
        <w:t>nin</w:t>
      </w:r>
      <w:r w:rsidRPr="00DD1DFA">
        <w:rPr>
          <w:noProof/>
        </w:rPr>
        <w:t>iejszym rozporządzeniu, żąda on niezwłocznie od odpowiednich podmiotów gospodarczych podjęcia wszelkich odpowiednich</w:t>
      </w:r>
      <w:r w:rsidR="00DD1DFA" w:rsidRPr="00DD1DFA">
        <w:rPr>
          <w:noProof/>
        </w:rPr>
        <w:t xml:space="preserve"> i</w:t>
      </w:r>
      <w:r w:rsidR="00DD1DFA">
        <w:rPr>
          <w:noProof/>
        </w:rPr>
        <w:t> </w:t>
      </w:r>
      <w:r w:rsidR="00DD1DFA" w:rsidRPr="00DD1DFA">
        <w:rPr>
          <w:noProof/>
        </w:rPr>
        <w:t>pro</w:t>
      </w:r>
      <w:r w:rsidRPr="00DD1DFA">
        <w:rPr>
          <w:noProof/>
        </w:rPr>
        <w:t>porcjonalnych działań naprawczych</w:t>
      </w:r>
      <w:r w:rsidR="00DD1DFA" w:rsidRPr="00DD1DFA">
        <w:rPr>
          <w:noProof/>
        </w:rPr>
        <w:t xml:space="preserve"> w</w:t>
      </w:r>
      <w:r w:rsidR="00DD1DFA">
        <w:rPr>
          <w:noProof/>
        </w:rPr>
        <w:t> </w:t>
      </w:r>
      <w:r w:rsidR="00DD1DFA" w:rsidRPr="00DD1DFA">
        <w:rPr>
          <w:noProof/>
        </w:rPr>
        <w:t>cel</w:t>
      </w:r>
      <w:r w:rsidRPr="00DD1DFA">
        <w:rPr>
          <w:noProof/>
        </w:rPr>
        <w:t>u doprowadzenia wyrobów lub siebie do zgodności</w:t>
      </w:r>
      <w:r w:rsidR="00DD1DFA" w:rsidRPr="00DD1DFA">
        <w:rPr>
          <w:noProof/>
        </w:rPr>
        <w:t xml:space="preserve"> z</w:t>
      </w:r>
      <w:r w:rsidR="00DD1DFA">
        <w:rPr>
          <w:noProof/>
        </w:rPr>
        <w:t> </w:t>
      </w:r>
      <w:r w:rsidR="00DD1DFA" w:rsidRPr="00DD1DFA">
        <w:rPr>
          <w:noProof/>
        </w:rPr>
        <w:t>tym</w:t>
      </w:r>
      <w:r w:rsidRPr="00DD1DFA">
        <w:rPr>
          <w:noProof/>
        </w:rPr>
        <w:t>i wymogami</w:t>
      </w:r>
      <w:r w:rsidR="00DD1DFA" w:rsidRPr="00DD1DFA">
        <w:rPr>
          <w:noProof/>
        </w:rPr>
        <w:t xml:space="preserve"> i</w:t>
      </w:r>
      <w:r w:rsidR="00DD1DFA">
        <w:rPr>
          <w:noProof/>
        </w:rPr>
        <w:t> </w:t>
      </w:r>
      <w:r w:rsidR="00DD1DFA" w:rsidRPr="00DD1DFA">
        <w:rPr>
          <w:noProof/>
        </w:rPr>
        <w:t>obo</w:t>
      </w:r>
      <w:r w:rsidRPr="00DD1DFA">
        <w:rPr>
          <w:noProof/>
        </w:rPr>
        <w:t>wiązkami lub do wycofania wyrobów</w:t>
      </w:r>
      <w:r w:rsidR="00DD1DFA" w:rsidRPr="00DD1DFA">
        <w:rPr>
          <w:noProof/>
        </w:rPr>
        <w:t xml:space="preserve"> z</w:t>
      </w:r>
      <w:r w:rsidR="00DD1DFA">
        <w:rPr>
          <w:noProof/>
        </w:rPr>
        <w:t> </w:t>
      </w:r>
      <w:r w:rsidR="00DD1DFA" w:rsidRPr="00DD1DFA">
        <w:rPr>
          <w:noProof/>
        </w:rPr>
        <w:t>obr</w:t>
      </w:r>
      <w:r w:rsidRPr="00DD1DFA">
        <w:rPr>
          <w:noProof/>
        </w:rPr>
        <w:t>otu lub ich odzyskania</w:t>
      </w:r>
      <w:r w:rsidR="00DD1DFA" w:rsidRPr="00DD1DFA">
        <w:rPr>
          <w:noProof/>
        </w:rPr>
        <w:t xml:space="preserve"> w</w:t>
      </w:r>
      <w:r w:rsidR="00DD1DFA">
        <w:rPr>
          <w:noProof/>
        </w:rPr>
        <w:t> </w:t>
      </w:r>
      <w:r w:rsidR="00DD1DFA" w:rsidRPr="00DD1DFA">
        <w:rPr>
          <w:noProof/>
        </w:rPr>
        <w:t>roz</w:t>
      </w:r>
      <w:r w:rsidRPr="00DD1DFA">
        <w:rPr>
          <w:noProof/>
        </w:rPr>
        <w:t>sądnym terminie, stosownym do charakteru</w:t>
      </w:r>
      <w:r w:rsidR="00DD1DFA" w:rsidRPr="00DD1DFA">
        <w:rPr>
          <w:noProof/>
        </w:rPr>
        <w:t xml:space="preserve"> i</w:t>
      </w:r>
      <w:r w:rsidR="00DD1DFA">
        <w:rPr>
          <w:noProof/>
        </w:rPr>
        <w:t> </w:t>
      </w:r>
      <w:r w:rsidR="00DD1DFA" w:rsidRPr="00DD1DFA">
        <w:rPr>
          <w:noProof/>
        </w:rPr>
        <w:t>sto</w:t>
      </w:r>
      <w:r w:rsidRPr="00DD1DFA">
        <w:rPr>
          <w:noProof/>
        </w:rPr>
        <w:t>pnia niezgodności. Działania naprawcze, które muszą podjąć podmioty gospodarcze, mogą obejmować działania wymienione</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16 ust.</w:t>
      </w:r>
      <w:r w:rsidR="00DD1DFA" w:rsidRPr="00DD1DFA">
        <w:rPr>
          <w:noProof/>
        </w:rPr>
        <w:t> </w:t>
      </w:r>
      <w:r w:rsidRPr="00DD1DFA">
        <w:rPr>
          <w:noProof/>
        </w:rPr>
        <w:t>3 rozporządzenia (UE) 2019/1020.</w:t>
      </w:r>
    </w:p>
    <w:p w14:paraId="13D57C59" w14:textId="76BB86D6" w:rsidR="00704389" w:rsidRPr="00DD1DFA" w:rsidRDefault="00704389" w:rsidP="00704389">
      <w:pPr>
        <w:pStyle w:val="Text1"/>
        <w:rPr>
          <w:noProof/>
        </w:rPr>
      </w:pPr>
      <w:r w:rsidRPr="00DD1DFA">
        <w:rPr>
          <w:noProof/>
        </w:rPr>
        <w:t>Organ nadzoru rynku powiadamia</w:t>
      </w:r>
      <w:r w:rsidR="00DD1DFA" w:rsidRPr="00DD1DFA">
        <w:rPr>
          <w:noProof/>
        </w:rPr>
        <w:t xml:space="preserve"> o</w:t>
      </w:r>
      <w:r w:rsidR="00DD1DFA">
        <w:rPr>
          <w:noProof/>
        </w:rPr>
        <w:t> </w:t>
      </w:r>
      <w:r w:rsidR="00DD1DFA" w:rsidRPr="00DD1DFA">
        <w:rPr>
          <w:noProof/>
        </w:rPr>
        <w:t>tym</w:t>
      </w:r>
      <w:r w:rsidRPr="00DD1DFA">
        <w:rPr>
          <w:noProof/>
        </w:rPr>
        <w:t xml:space="preserve"> jednostki notyfikowane, jeżeli ich to dotyczy.</w:t>
      </w:r>
    </w:p>
    <w:p w14:paraId="00101FA1" w14:textId="112EDD4B" w:rsidR="00704389" w:rsidRPr="00DD1DFA" w:rsidRDefault="005F7EFA" w:rsidP="005F7EFA">
      <w:pPr>
        <w:pStyle w:val="ManualNumPar1"/>
        <w:rPr>
          <w:noProof/>
        </w:rPr>
      </w:pPr>
      <w:r w:rsidRPr="005F7EFA">
        <w:t>2.</w:t>
      </w:r>
      <w:r w:rsidRPr="005F7EFA">
        <w:tab/>
      </w:r>
      <w:r w:rsidR="00704389" w:rsidRPr="00DD1DFA">
        <w:rPr>
          <w:noProof/>
        </w:rPr>
        <w:t>W przypadku gdy organ nadzoru rynku uzna, że niezgodność nie ogranicza się do terytorium jego państwa, informuje on, za pośrednictwem właściwego organu krajowego, Komisję oraz pozostałe państwa członkowskie</w:t>
      </w:r>
      <w:r w:rsidR="00DD1DFA" w:rsidRPr="00DD1DFA">
        <w:rPr>
          <w:noProof/>
        </w:rPr>
        <w:t xml:space="preserve"> o</w:t>
      </w:r>
      <w:r w:rsidR="00DD1DFA">
        <w:rPr>
          <w:noProof/>
        </w:rPr>
        <w:t> </w:t>
      </w:r>
      <w:r w:rsidR="00DD1DFA" w:rsidRPr="00DD1DFA">
        <w:rPr>
          <w:noProof/>
        </w:rPr>
        <w:t>wyn</w:t>
      </w:r>
      <w:r w:rsidR="00704389" w:rsidRPr="00DD1DFA">
        <w:rPr>
          <w:noProof/>
        </w:rPr>
        <w:t>ikach oceny oraz działaniach, których podjęcia zażądał od podmiotów gospodarczych.</w:t>
      </w:r>
    </w:p>
    <w:p w14:paraId="059A06EF" w14:textId="13BE938A" w:rsidR="00704389" w:rsidRPr="00DD1DFA" w:rsidRDefault="005F7EFA" w:rsidP="005F7EFA">
      <w:pPr>
        <w:pStyle w:val="ManualNumPar1"/>
        <w:rPr>
          <w:noProof/>
        </w:rPr>
      </w:pPr>
      <w:r w:rsidRPr="005F7EFA">
        <w:t>3.</w:t>
      </w:r>
      <w:r w:rsidRPr="005F7EFA">
        <w:tab/>
      </w:r>
      <w:r w:rsidR="00704389" w:rsidRPr="00DD1DFA">
        <w:rPr>
          <w:noProof/>
        </w:rPr>
        <w:t>Podmioty gospodarcze podejmują wszelkie stosowne działania naprawcze</w:t>
      </w:r>
      <w:r w:rsidR="00DD1DFA" w:rsidRPr="00DD1DFA">
        <w:rPr>
          <w:noProof/>
        </w:rPr>
        <w:t xml:space="preserve"> w</w:t>
      </w:r>
      <w:r w:rsidR="00DD1DFA">
        <w:rPr>
          <w:noProof/>
        </w:rPr>
        <w:t> </w:t>
      </w:r>
      <w:r w:rsidR="00DD1DFA" w:rsidRPr="00DD1DFA">
        <w:rPr>
          <w:noProof/>
        </w:rPr>
        <w:t>odn</w:t>
      </w:r>
      <w:r w:rsidR="00704389" w:rsidRPr="00DD1DFA">
        <w:rPr>
          <w:noProof/>
        </w:rPr>
        <w:t>iesieniu do wszystkich wyrobów, które te podmioty gospodarcze udostępniły na rynku</w:t>
      </w:r>
      <w:r w:rsidR="00DD1DFA" w:rsidRPr="00DD1DFA">
        <w:rPr>
          <w:noProof/>
        </w:rPr>
        <w:t xml:space="preserve"> w</w:t>
      </w:r>
      <w:r w:rsidR="00DD1DFA">
        <w:rPr>
          <w:noProof/>
        </w:rPr>
        <w:t> </w:t>
      </w:r>
      <w:r w:rsidR="00DD1DFA" w:rsidRPr="00DD1DFA">
        <w:rPr>
          <w:noProof/>
        </w:rPr>
        <w:t>cał</w:t>
      </w:r>
      <w:r w:rsidR="00704389" w:rsidRPr="00DD1DFA">
        <w:rPr>
          <w:noProof/>
        </w:rPr>
        <w:t>ej Unii.</w:t>
      </w:r>
    </w:p>
    <w:p w14:paraId="0108AF15" w14:textId="3CEAB8C1" w:rsidR="00704389" w:rsidRPr="00DD1DFA" w:rsidRDefault="005F7EFA" w:rsidP="005F7EFA">
      <w:pPr>
        <w:pStyle w:val="ManualNumPar1"/>
        <w:rPr>
          <w:noProof/>
        </w:rPr>
      </w:pPr>
      <w:r w:rsidRPr="005F7EFA">
        <w:t>4.</w:t>
      </w:r>
      <w:r w:rsidRPr="005F7EFA">
        <w:tab/>
      </w:r>
      <w:r w:rsidR="00704389" w:rsidRPr="00DD1DFA">
        <w:rPr>
          <w:noProof/>
        </w:rPr>
        <w:t>W przypadku gdy odpowiednie podmioty gospodarcze nie podejmują odpowiednich działań naprawczych</w:t>
      </w:r>
      <w:r w:rsidR="00DD1DFA" w:rsidRPr="00DD1DFA">
        <w:rPr>
          <w:noProof/>
        </w:rPr>
        <w:t xml:space="preserve"> w</w:t>
      </w:r>
      <w:r w:rsidR="00DD1DFA">
        <w:rPr>
          <w:noProof/>
        </w:rPr>
        <w:t> </w:t>
      </w:r>
      <w:r w:rsidR="00DD1DFA" w:rsidRPr="00DD1DFA">
        <w:rPr>
          <w:noProof/>
        </w:rPr>
        <w:t>ter</w:t>
      </w:r>
      <w:r w:rsidR="00704389" w:rsidRPr="00DD1DFA">
        <w:rPr>
          <w:noProof/>
        </w:rPr>
        <w:t>minie,</w:t>
      </w:r>
      <w:r w:rsidR="00DD1DFA" w:rsidRPr="00DD1DFA">
        <w:rPr>
          <w:noProof/>
        </w:rPr>
        <w:t xml:space="preserve"> o</w:t>
      </w:r>
      <w:r w:rsidR="00DD1DFA">
        <w:rPr>
          <w:noProof/>
        </w:rPr>
        <w:t> </w:t>
      </w:r>
      <w:r w:rsidR="00DD1DFA" w:rsidRPr="00DD1DFA">
        <w:rPr>
          <w:noProof/>
        </w:rPr>
        <w:t>któ</w:t>
      </w:r>
      <w:r w:rsidR="00704389" w:rsidRPr="00DD1DFA">
        <w:rPr>
          <w:noProof/>
        </w:rPr>
        <w:t>rym mowa</w:t>
      </w:r>
      <w:r w:rsidR="00DD1DFA" w:rsidRPr="00DD1DFA">
        <w:rPr>
          <w:noProof/>
        </w:rPr>
        <w:t xml:space="preserve"> w</w:t>
      </w:r>
      <w:r w:rsidR="00DD1DFA">
        <w:rPr>
          <w:noProof/>
        </w:rPr>
        <w:t> </w:t>
      </w:r>
      <w:r w:rsidR="00DD1DFA" w:rsidRPr="00DD1DFA">
        <w:rPr>
          <w:noProof/>
        </w:rPr>
        <w:t>ust</w:t>
      </w:r>
      <w:r w:rsidR="00704389" w:rsidRPr="00DD1DFA">
        <w:rPr>
          <w:noProof/>
        </w:rPr>
        <w:t>.</w:t>
      </w:r>
      <w:r w:rsidR="00DD1DFA" w:rsidRPr="00DD1DFA">
        <w:rPr>
          <w:noProof/>
        </w:rPr>
        <w:t> </w:t>
      </w:r>
      <w:r w:rsidR="00704389" w:rsidRPr="00DD1DFA">
        <w:rPr>
          <w:noProof/>
        </w:rPr>
        <w:t>1 akapit drugi, lub gdy niezgodność nadal występuje, organ nadzoru rynku jest zobowiązany zastosować wszelkie odpowiednie środki tymczasowe lub ostateczne środki</w:t>
      </w:r>
      <w:r w:rsidR="00DD1DFA" w:rsidRPr="00DD1DFA">
        <w:rPr>
          <w:noProof/>
        </w:rPr>
        <w:t xml:space="preserve"> w</w:t>
      </w:r>
      <w:r w:rsidR="00DD1DFA">
        <w:rPr>
          <w:noProof/>
        </w:rPr>
        <w:t> </w:t>
      </w:r>
      <w:r w:rsidR="00DD1DFA" w:rsidRPr="00DD1DFA">
        <w:rPr>
          <w:noProof/>
        </w:rPr>
        <w:t>cel</w:t>
      </w:r>
      <w:r w:rsidR="00704389" w:rsidRPr="00DD1DFA">
        <w:rPr>
          <w:noProof/>
        </w:rPr>
        <w:t>u zakazania lub ograniczenia udostępniania wyrobów na rynku, wycofania ich</w:t>
      </w:r>
      <w:r w:rsidR="00DD1DFA" w:rsidRPr="00DD1DFA">
        <w:rPr>
          <w:noProof/>
        </w:rPr>
        <w:t xml:space="preserve"> z</w:t>
      </w:r>
      <w:r w:rsidR="00DD1DFA">
        <w:rPr>
          <w:noProof/>
        </w:rPr>
        <w:t> </w:t>
      </w:r>
      <w:r w:rsidR="00DD1DFA" w:rsidRPr="00DD1DFA">
        <w:rPr>
          <w:noProof/>
        </w:rPr>
        <w:t>obr</w:t>
      </w:r>
      <w:r w:rsidR="00704389" w:rsidRPr="00DD1DFA">
        <w:rPr>
          <w:noProof/>
        </w:rPr>
        <w:t>otu lub ich odzyskania.</w:t>
      </w:r>
    </w:p>
    <w:p w14:paraId="453178DC" w14:textId="1D331018" w:rsidR="00704389" w:rsidRPr="00DD1DFA" w:rsidRDefault="00704389" w:rsidP="00704389">
      <w:pPr>
        <w:pStyle w:val="Text1"/>
        <w:rPr>
          <w:noProof/>
        </w:rPr>
      </w:pPr>
      <w:r w:rsidRPr="00DD1DFA">
        <w:rPr>
          <w:noProof/>
        </w:rPr>
        <w:t>Organ nadzoru rynku niezwłocznie informuje</w:t>
      </w:r>
      <w:r w:rsidR="00DD1DFA" w:rsidRPr="00DD1DFA">
        <w:rPr>
          <w:noProof/>
        </w:rPr>
        <w:t xml:space="preserve"> o</w:t>
      </w:r>
      <w:r w:rsidR="00DD1DFA">
        <w:rPr>
          <w:noProof/>
        </w:rPr>
        <w:t> </w:t>
      </w:r>
      <w:r w:rsidR="00DD1DFA" w:rsidRPr="00DD1DFA">
        <w:rPr>
          <w:noProof/>
        </w:rPr>
        <w:t>tyc</w:t>
      </w:r>
      <w:r w:rsidRPr="00DD1DFA">
        <w:rPr>
          <w:noProof/>
        </w:rPr>
        <w:t>h środkach opinię publiczną, a za pośrednictwem właściwego organu krajowego – Komisję</w:t>
      </w:r>
      <w:r w:rsidR="00DD1DFA" w:rsidRPr="00DD1DFA">
        <w:rPr>
          <w:noProof/>
        </w:rPr>
        <w:t xml:space="preserve"> i</w:t>
      </w:r>
      <w:r w:rsidR="00DD1DFA">
        <w:rPr>
          <w:noProof/>
        </w:rPr>
        <w:t> </w:t>
      </w:r>
      <w:r w:rsidR="00DD1DFA" w:rsidRPr="00DD1DFA">
        <w:rPr>
          <w:noProof/>
        </w:rPr>
        <w:t>poz</w:t>
      </w:r>
      <w:r w:rsidRPr="00DD1DFA">
        <w:rPr>
          <w:noProof/>
        </w:rPr>
        <w:t>ostałe państwa członkowskie.</w:t>
      </w:r>
    </w:p>
    <w:p w14:paraId="15F67B77" w14:textId="1D861BF1" w:rsidR="00704389" w:rsidRPr="00DD1DFA" w:rsidRDefault="005F7EFA" w:rsidP="005F7EFA">
      <w:pPr>
        <w:pStyle w:val="ManualNumPar1"/>
        <w:rPr>
          <w:noProof/>
        </w:rPr>
      </w:pPr>
      <w:r w:rsidRPr="005F7EFA">
        <w:t>5.</w:t>
      </w:r>
      <w:r w:rsidRPr="005F7EFA">
        <w:tab/>
      </w:r>
      <w:r w:rsidR="00704389" w:rsidRPr="00DD1DFA">
        <w:rPr>
          <w:noProof/>
        </w:rPr>
        <w:t>Informacje,</w:t>
      </w:r>
      <w:r w:rsidR="00DD1DFA" w:rsidRPr="00DD1DFA">
        <w:rPr>
          <w:noProof/>
        </w:rPr>
        <w:t xml:space="preserve"> o</w:t>
      </w:r>
      <w:r w:rsidR="00DD1DFA">
        <w:rPr>
          <w:noProof/>
        </w:rPr>
        <w:t> </w:t>
      </w:r>
      <w:r w:rsidR="00DD1DFA" w:rsidRPr="00DD1DFA">
        <w:rPr>
          <w:noProof/>
        </w:rPr>
        <w:t>któ</w:t>
      </w:r>
      <w:r w:rsidR="00704389" w:rsidRPr="00DD1DFA">
        <w:rPr>
          <w:noProof/>
        </w:rPr>
        <w:t>rych mowa</w:t>
      </w:r>
      <w:r w:rsidR="00DD1DFA" w:rsidRPr="00DD1DFA">
        <w:rPr>
          <w:noProof/>
        </w:rPr>
        <w:t xml:space="preserve"> w</w:t>
      </w:r>
      <w:r w:rsidR="00DD1DFA">
        <w:rPr>
          <w:noProof/>
        </w:rPr>
        <w:t> </w:t>
      </w:r>
      <w:r w:rsidR="00DD1DFA" w:rsidRPr="00DD1DFA">
        <w:rPr>
          <w:noProof/>
        </w:rPr>
        <w:t>ost</w:t>
      </w:r>
      <w:r w:rsidR="00704389" w:rsidRPr="00DD1DFA">
        <w:rPr>
          <w:noProof/>
        </w:rPr>
        <w:t>atnim zdaniu ust.</w:t>
      </w:r>
      <w:r w:rsidR="00DD1DFA" w:rsidRPr="00DD1DFA">
        <w:rPr>
          <w:noProof/>
        </w:rPr>
        <w:t> </w:t>
      </w:r>
      <w:r w:rsidR="00704389" w:rsidRPr="00DD1DFA">
        <w:rPr>
          <w:noProof/>
        </w:rPr>
        <w:t>4, obejmują wszelkie dostępne szczegóły, przede wszystkim dane niezbędne do identyfikacji niespełniających wymagań wyrobów, pochodzenie wyrobu budowlanego, charakter domniemanej niezgodności</w:t>
      </w:r>
      <w:r w:rsidR="00DD1DFA" w:rsidRPr="00DD1DFA">
        <w:rPr>
          <w:noProof/>
        </w:rPr>
        <w:t xml:space="preserve"> i</w:t>
      </w:r>
      <w:r w:rsidR="00DD1DFA">
        <w:rPr>
          <w:noProof/>
        </w:rPr>
        <w:t> </w:t>
      </w:r>
      <w:r w:rsidR="00DD1DFA" w:rsidRPr="00DD1DFA">
        <w:rPr>
          <w:noProof/>
        </w:rPr>
        <w:t>zwi</w:t>
      </w:r>
      <w:r w:rsidR="00704389" w:rsidRPr="00DD1DFA">
        <w:rPr>
          <w:noProof/>
        </w:rPr>
        <w:t>ązanego</w:t>
      </w:r>
      <w:r w:rsidR="00DD1DFA" w:rsidRPr="00DD1DFA">
        <w:rPr>
          <w:noProof/>
        </w:rPr>
        <w:t xml:space="preserve"> z</w:t>
      </w:r>
      <w:r w:rsidR="00DD1DFA">
        <w:rPr>
          <w:noProof/>
        </w:rPr>
        <w:t> </w:t>
      </w:r>
      <w:r w:rsidR="00DD1DFA" w:rsidRPr="00DD1DFA">
        <w:rPr>
          <w:noProof/>
        </w:rPr>
        <w:t>tym</w:t>
      </w:r>
      <w:r w:rsidR="00704389" w:rsidRPr="00DD1DFA">
        <w:rPr>
          <w:noProof/>
        </w:rPr>
        <w:t xml:space="preserve"> ryzyka, charakter</w:t>
      </w:r>
      <w:r w:rsidR="00DD1DFA" w:rsidRPr="00DD1DFA">
        <w:rPr>
          <w:noProof/>
        </w:rPr>
        <w:t xml:space="preserve"> i</w:t>
      </w:r>
      <w:r w:rsidR="00DD1DFA">
        <w:rPr>
          <w:noProof/>
        </w:rPr>
        <w:t> </w:t>
      </w:r>
      <w:r w:rsidR="00DD1DFA" w:rsidRPr="00DD1DFA">
        <w:rPr>
          <w:noProof/>
        </w:rPr>
        <w:t>okr</w:t>
      </w:r>
      <w:r w:rsidR="00704389" w:rsidRPr="00DD1DFA">
        <w:rPr>
          <w:noProof/>
        </w:rPr>
        <w:t>es obowiązywania wprowadzonych środków krajowych,</w:t>
      </w:r>
      <w:r w:rsidR="00DD1DFA" w:rsidRPr="00DD1DFA">
        <w:rPr>
          <w:noProof/>
        </w:rPr>
        <w:t xml:space="preserve"> a</w:t>
      </w:r>
      <w:r w:rsidR="00DD1DFA">
        <w:rPr>
          <w:noProof/>
        </w:rPr>
        <w:t> </w:t>
      </w:r>
      <w:r w:rsidR="00DD1DFA" w:rsidRPr="00DD1DFA">
        <w:rPr>
          <w:noProof/>
        </w:rPr>
        <w:t>tak</w:t>
      </w:r>
      <w:r w:rsidR="00704389" w:rsidRPr="00DD1DFA">
        <w:rPr>
          <w:noProof/>
        </w:rPr>
        <w:t>że argumenty przedstawione przez dany podmiot gospodarczy</w:t>
      </w:r>
      <w:r w:rsidR="00DD1DFA" w:rsidRPr="00DD1DFA">
        <w:rPr>
          <w:noProof/>
        </w:rPr>
        <w:t>. W</w:t>
      </w:r>
      <w:r w:rsidR="00DD1DFA">
        <w:rPr>
          <w:noProof/>
        </w:rPr>
        <w:t> </w:t>
      </w:r>
      <w:r w:rsidR="00DD1DFA" w:rsidRPr="00DD1DFA">
        <w:rPr>
          <w:noProof/>
        </w:rPr>
        <w:t>szc</w:t>
      </w:r>
      <w:r w:rsidR="00704389" w:rsidRPr="00DD1DFA">
        <w:rPr>
          <w:noProof/>
        </w:rPr>
        <w:t>zególności organy nadzoru rynku są zobowiązane wskazać, czy niezgodność ta wynika z:</w:t>
      </w:r>
    </w:p>
    <w:p w14:paraId="2BEB547B" w14:textId="5F104C71" w:rsidR="00704389" w:rsidRPr="00DD1DFA" w:rsidRDefault="003C1401" w:rsidP="003C1401">
      <w:pPr>
        <w:pStyle w:val="Point1"/>
        <w:rPr>
          <w:noProof/>
        </w:rPr>
      </w:pPr>
      <w:r w:rsidRPr="003C1401">
        <w:rPr>
          <w:noProof/>
        </w:rPr>
        <w:t>a)</w:t>
      </w:r>
      <w:r w:rsidRPr="003C1401">
        <w:rPr>
          <w:noProof/>
        </w:rPr>
        <w:tab/>
      </w:r>
      <w:r w:rsidR="00704389" w:rsidRPr="00DD1DFA">
        <w:rPr>
          <w:noProof/>
        </w:rPr>
        <w:t>niespełnienia przez wyroby deklarowanych właściwości użytkowych lub wymogów związanych ze spełnieniem określonych</w:t>
      </w:r>
      <w:r w:rsidR="00DD1DFA" w:rsidRPr="00DD1DFA">
        <w:rPr>
          <w:noProof/>
        </w:rPr>
        <w:t xml:space="preserve"> w</w:t>
      </w:r>
      <w:r w:rsidR="00DD1DFA">
        <w:rPr>
          <w:noProof/>
        </w:rPr>
        <w:t> </w:t>
      </w:r>
      <w:r w:rsidR="00DD1DFA" w:rsidRPr="00DD1DFA">
        <w:rPr>
          <w:noProof/>
        </w:rPr>
        <w:t>nin</w:t>
      </w:r>
      <w:r w:rsidR="00704389" w:rsidRPr="00DD1DFA">
        <w:rPr>
          <w:noProof/>
        </w:rPr>
        <w:t>iejszym rozporządzeniu podstawowych wymagań dotyczących obiektów budowlanych;</w:t>
      </w:r>
    </w:p>
    <w:p w14:paraId="7E14BAC3" w14:textId="01A4FAF4" w:rsidR="00704389" w:rsidRPr="00DD1DFA" w:rsidRDefault="003C1401" w:rsidP="003C1401">
      <w:pPr>
        <w:pStyle w:val="Point1"/>
        <w:rPr>
          <w:noProof/>
        </w:rPr>
      </w:pPr>
      <w:r w:rsidRPr="003C1401">
        <w:rPr>
          <w:noProof/>
        </w:rPr>
        <w:t>b)</w:t>
      </w:r>
      <w:r w:rsidRPr="003C1401">
        <w:rPr>
          <w:noProof/>
        </w:rPr>
        <w:tab/>
      </w:r>
      <w:r w:rsidR="00704389" w:rsidRPr="00DD1DFA">
        <w:rPr>
          <w:noProof/>
        </w:rPr>
        <w:t>niewywiązania się przez producenta</w:t>
      </w:r>
      <w:r w:rsidR="00DD1DFA" w:rsidRPr="00DD1DFA">
        <w:rPr>
          <w:noProof/>
        </w:rPr>
        <w:t xml:space="preserve"> z</w:t>
      </w:r>
      <w:r w:rsidR="00DD1DFA">
        <w:rPr>
          <w:noProof/>
        </w:rPr>
        <w:t> </w:t>
      </w:r>
      <w:r w:rsidR="00DD1DFA" w:rsidRPr="00DD1DFA">
        <w:rPr>
          <w:noProof/>
        </w:rPr>
        <w:t>obo</w:t>
      </w:r>
      <w:r w:rsidR="00704389" w:rsidRPr="00DD1DFA">
        <w:rPr>
          <w:noProof/>
        </w:rPr>
        <w:t>wiązków;</w:t>
      </w:r>
    </w:p>
    <w:p w14:paraId="7C4DC100" w14:textId="298E03AF" w:rsidR="00704389" w:rsidRPr="00DD1DFA" w:rsidRDefault="003C1401" w:rsidP="003C1401">
      <w:pPr>
        <w:pStyle w:val="Point1"/>
        <w:rPr>
          <w:noProof/>
        </w:rPr>
      </w:pPr>
      <w:r w:rsidRPr="003C1401">
        <w:rPr>
          <w:noProof/>
        </w:rPr>
        <w:t>c)</w:t>
      </w:r>
      <w:r w:rsidRPr="003C1401">
        <w:rPr>
          <w:noProof/>
        </w:rPr>
        <w:tab/>
      </w:r>
      <w:r w:rsidR="00704389" w:rsidRPr="00DD1DFA">
        <w:rPr>
          <w:noProof/>
        </w:rPr>
        <w:t>uchybień</w:t>
      </w:r>
      <w:r w:rsidR="00DD1DFA" w:rsidRPr="00DD1DFA">
        <w:rPr>
          <w:noProof/>
        </w:rPr>
        <w:t xml:space="preserve"> w</w:t>
      </w:r>
      <w:r w:rsidR="00DD1DFA">
        <w:rPr>
          <w:noProof/>
        </w:rPr>
        <w:t> </w:t>
      </w:r>
      <w:r w:rsidR="00DD1DFA" w:rsidRPr="00DD1DFA">
        <w:rPr>
          <w:noProof/>
        </w:rPr>
        <w:t>zha</w:t>
      </w:r>
      <w:r w:rsidR="00704389" w:rsidRPr="00DD1DFA">
        <w:rPr>
          <w:noProof/>
        </w:rPr>
        <w:t>rmonizowanych specyfikacjach technicznych lub europejskim dokumencie oceny.</w:t>
      </w:r>
    </w:p>
    <w:p w14:paraId="4DF20812" w14:textId="0C0100BD" w:rsidR="00704389" w:rsidRPr="00DD1DFA" w:rsidRDefault="005F7EFA" w:rsidP="005F7EFA">
      <w:pPr>
        <w:pStyle w:val="ManualNumPar1"/>
        <w:rPr>
          <w:noProof/>
        </w:rPr>
      </w:pPr>
      <w:r w:rsidRPr="005F7EFA">
        <w:t>6.</w:t>
      </w:r>
      <w:r w:rsidRPr="005F7EFA">
        <w:tab/>
      </w:r>
      <w:r w:rsidR="00704389" w:rsidRPr="00DD1DFA">
        <w:rPr>
          <w:noProof/>
        </w:rPr>
        <w:t>Państwa członkowskie inne niż państwo członkowskie, które wszczęło procedurę, niezwłocznie informują Komisję</w:t>
      </w:r>
      <w:r w:rsidR="00DD1DFA" w:rsidRPr="00DD1DFA">
        <w:rPr>
          <w:noProof/>
        </w:rPr>
        <w:t xml:space="preserve"> i</w:t>
      </w:r>
      <w:r w:rsidR="00DD1DFA">
        <w:rPr>
          <w:noProof/>
        </w:rPr>
        <w:t> </w:t>
      </w:r>
      <w:r w:rsidR="00DD1DFA" w:rsidRPr="00DD1DFA">
        <w:rPr>
          <w:noProof/>
        </w:rPr>
        <w:t>poz</w:t>
      </w:r>
      <w:r w:rsidR="00704389" w:rsidRPr="00DD1DFA">
        <w:rPr>
          <w:noProof/>
        </w:rPr>
        <w:t>ostałe państwa członkowskie</w:t>
      </w:r>
      <w:r w:rsidR="00DD1DFA" w:rsidRPr="00DD1DFA">
        <w:rPr>
          <w:noProof/>
        </w:rPr>
        <w:t xml:space="preserve"> o</w:t>
      </w:r>
      <w:r w:rsidR="00DD1DFA">
        <w:rPr>
          <w:noProof/>
        </w:rPr>
        <w:t> </w:t>
      </w:r>
      <w:r w:rsidR="00DD1DFA" w:rsidRPr="00DD1DFA">
        <w:rPr>
          <w:noProof/>
        </w:rPr>
        <w:t>wsz</w:t>
      </w:r>
      <w:r w:rsidR="00704389" w:rsidRPr="00DD1DFA">
        <w:rPr>
          <w:noProof/>
        </w:rPr>
        <w:t>elkich przyjętych środkach</w:t>
      </w:r>
      <w:r w:rsidR="00DD1DFA" w:rsidRPr="00DD1DFA">
        <w:rPr>
          <w:noProof/>
        </w:rPr>
        <w:t xml:space="preserve"> i</w:t>
      </w:r>
      <w:r w:rsidR="00DD1DFA">
        <w:rPr>
          <w:noProof/>
        </w:rPr>
        <w:t> </w:t>
      </w:r>
      <w:r w:rsidR="00DD1DFA" w:rsidRPr="00DD1DFA">
        <w:rPr>
          <w:noProof/>
        </w:rPr>
        <w:t>wsz</w:t>
      </w:r>
      <w:r w:rsidR="00704389" w:rsidRPr="00DD1DFA">
        <w:rPr>
          <w:noProof/>
        </w:rPr>
        <w:t>elkich dodatkowych informacjach dotyczących niezgodności danych wyrobów, którymi dysponują,</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prz</w:t>
      </w:r>
      <w:r w:rsidR="00704389" w:rsidRPr="00DD1DFA">
        <w:rPr>
          <w:noProof/>
        </w:rPr>
        <w:t>ypadku gdy nie zgadzają się</w:t>
      </w:r>
      <w:r w:rsidR="00DD1DFA" w:rsidRPr="00DD1DFA">
        <w:rPr>
          <w:noProof/>
        </w:rPr>
        <w:t xml:space="preserve"> z</w:t>
      </w:r>
      <w:r w:rsidR="00DD1DFA">
        <w:rPr>
          <w:noProof/>
        </w:rPr>
        <w:t> </w:t>
      </w:r>
      <w:r w:rsidR="00DD1DFA" w:rsidRPr="00DD1DFA">
        <w:rPr>
          <w:noProof/>
        </w:rPr>
        <w:t>not</w:t>
      </w:r>
      <w:r w:rsidR="00704389" w:rsidRPr="00DD1DFA">
        <w:rPr>
          <w:noProof/>
        </w:rPr>
        <w:t>yfikowanym środkiem krajowym,</w:t>
      </w:r>
      <w:r w:rsidR="00DD1DFA" w:rsidRPr="00DD1DFA">
        <w:rPr>
          <w:noProof/>
        </w:rPr>
        <w:t xml:space="preserve"> o</w:t>
      </w:r>
      <w:r w:rsidR="00DD1DFA">
        <w:rPr>
          <w:noProof/>
        </w:rPr>
        <w:t> </w:t>
      </w:r>
      <w:r w:rsidR="00DD1DFA" w:rsidRPr="00DD1DFA">
        <w:rPr>
          <w:noProof/>
        </w:rPr>
        <w:t>swo</w:t>
      </w:r>
      <w:r w:rsidR="00704389" w:rsidRPr="00DD1DFA">
        <w:rPr>
          <w:noProof/>
        </w:rPr>
        <w:t>ich zastrzeżeniach.</w:t>
      </w:r>
    </w:p>
    <w:p w14:paraId="592C8A1B" w14:textId="3F0A5F91" w:rsidR="00704389" w:rsidRPr="00DD1DFA" w:rsidRDefault="005F7EFA" w:rsidP="005F7EFA">
      <w:pPr>
        <w:pStyle w:val="ManualNumPar1"/>
        <w:rPr>
          <w:noProof/>
        </w:rPr>
      </w:pPr>
      <w:r w:rsidRPr="005F7EFA">
        <w:t>7.</w:t>
      </w:r>
      <w:r w:rsidRPr="005F7EFA">
        <w:tab/>
      </w:r>
      <w:r w:rsidR="00704389" w:rsidRPr="00DD1DFA">
        <w:rPr>
          <w:noProof/>
        </w:rPr>
        <w:t>W przypadku gdy</w:t>
      </w:r>
      <w:r w:rsidR="00DD1DFA" w:rsidRPr="00DD1DFA">
        <w:rPr>
          <w:noProof/>
        </w:rPr>
        <w:t xml:space="preserve"> w</w:t>
      </w:r>
      <w:r w:rsidR="00DD1DFA">
        <w:rPr>
          <w:noProof/>
        </w:rPr>
        <w:t> </w:t>
      </w:r>
      <w:r w:rsidR="00DD1DFA" w:rsidRPr="00DD1DFA">
        <w:rPr>
          <w:noProof/>
        </w:rPr>
        <w:t>ter</w:t>
      </w:r>
      <w:r w:rsidR="00704389" w:rsidRPr="00DD1DFA">
        <w:rPr>
          <w:noProof/>
        </w:rPr>
        <w:t>minie dwóch miesięcy od otrzymania informacji,</w:t>
      </w:r>
      <w:r w:rsidR="00DD1DFA" w:rsidRPr="00DD1DFA">
        <w:rPr>
          <w:noProof/>
        </w:rPr>
        <w:t xml:space="preserve"> o</w:t>
      </w:r>
      <w:r w:rsidR="00DD1DFA">
        <w:rPr>
          <w:noProof/>
        </w:rPr>
        <w:t> </w:t>
      </w:r>
      <w:r w:rsidR="00DD1DFA" w:rsidRPr="00DD1DFA">
        <w:rPr>
          <w:noProof/>
        </w:rPr>
        <w:t>któ</w:t>
      </w:r>
      <w:r w:rsidR="00704389" w:rsidRPr="00DD1DFA">
        <w:rPr>
          <w:noProof/>
        </w:rPr>
        <w:t>rych mowa</w:t>
      </w:r>
      <w:r w:rsidR="00DD1DFA" w:rsidRPr="00DD1DFA">
        <w:rPr>
          <w:noProof/>
        </w:rPr>
        <w:t xml:space="preserve"> w</w:t>
      </w:r>
      <w:r w:rsidR="00DD1DFA">
        <w:rPr>
          <w:noProof/>
        </w:rPr>
        <w:t> </w:t>
      </w:r>
      <w:r w:rsidR="00DD1DFA" w:rsidRPr="00DD1DFA">
        <w:rPr>
          <w:noProof/>
        </w:rPr>
        <w:t>ust</w:t>
      </w:r>
      <w:r w:rsidR="00704389" w:rsidRPr="00DD1DFA">
        <w:rPr>
          <w:noProof/>
        </w:rPr>
        <w:t>.</w:t>
      </w:r>
      <w:r w:rsidR="00DD1DFA" w:rsidRPr="00DD1DFA">
        <w:rPr>
          <w:noProof/>
        </w:rPr>
        <w:t> </w:t>
      </w:r>
      <w:r w:rsidR="00704389" w:rsidRPr="00DD1DFA">
        <w:rPr>
          <w:noProof/>
        </w:rPr>
        <w:t>4, ani żadne państwo członkowskie, ani Komisja nie zgłaszają zastrzeżeń wobec środka tymczasowego przyjętego przez dane państwo członkowskie</w:t>
      </w:r>
      <w:r w:rsidR="00DD1DFA" w:rsidRPr="00DD1DFA">
        <w:rPr>
          <w:noProof/>
        </w:rPr>
        <w:t xml:space="preserve"> w</w:t>
      </w:r>
      <w:r w:rsidR="00DD1DFA">
        <w:rPr>
          <w:noProof/>
        </w:rPr>
        <w:t> </w:t>
      </w:r>
      <w:r w:rsidR="00DD1DFA" w:rsidRPr="00DD1DFA">
        <w:rPr>
          <w:noProof/>
        </w:rPr>
        <w:t>odn</w:t>
      </w:r>
      <w:r w:rsidR="00704389" w:rsidRPr="00DD1DFA">
        <w:rPr>
          <w:noProof/>
        </w:rPr>
        <w:t>iesieniu do danego wyrobu, środek ten uznaje się za uzasadniony.</w:t>
      </w:r>
    </w:p>
    <w:p w14:paraId="1CBB1968" w14:textId="5B9A06F9" w:rsidR="00704389" w:rsidRPr="00DD1DFA" w:rsidRDefault="005F7EFA" w:rsidP="005F7EFA">
      <w:pPr>
        <w:pStyle w:val="ManualNumPar1"/>
        <w:rPr>
          <w:noProof/>
        </w:rPr>
      </w:pPr>
      <w:r w:rsidRPr="005F7EFA">
        <w:t>8.</w:t>
      </w:r>
      <w:r w:rsidRPr="005F7EFA">
        <w:tab/>
      </w:r>
      <w:r w:rsidR="00704389" w:rsidRPr="00DD1DFA">
        <w:rPr>
          <w:noProof/>
        </w:rPr>
        <w:t>Pozostałe państwa członkowskie zapewniają niezwłoczne wprowadzenie właściwych środków ograniczających</w:t>
      </w:r>
      <w:r w:rsidR="00DD1DFA" w:rsidRPr="00DD1DFA">
        <w:rPr>
          <w:noProof/>
        </w:rPr>
        <w:t xml:space="preserve"> w</w:t>
      </w:r>
      <w:r w:rsidR="00DD1DFA">
        <w:rPr>
          <w:noProof/>
        </w:rPr>
        <w:t> </w:t>
      </w:r>
      <w:r w:rsidR="00DD1DFA" w:rsidRPr="00DD1DFA">
        <w:rPr>
          <w:noProof/>
        </w:rPr>
        <w:t>odn</w:t>
      </w:r>
      <w:r w:rsidR="00704389" w:rsidRPr="00DD1DFA">
        <w:rPr>
          <w:noProof/>
        </w:rPr>
        <w:t>iesieniu do danego wyrobu lub producenta, takich jak wycofanie wyrobów</w:t>
      </w:r>
      <w:r w:rsidR="00DD1DFA" w:rsidRPr="00DD1DFA">
        <w:rPr>
          <w:noProof/>
        </w:rPr>
        <w:t xml:space="preserve"> z</w:t>
      </w:r>
      <w:r w:rsidR="00DD1DFA">
        <w:rPr>
          <w:noProof/>
        </w:rPr>
        <w:t> </w:t>
      </w:r>
      <w:r w:rsidR="00DD1DFA" w:rsidRPr="00DD1DFA">
        <w:rPr>
          <w:noProof/>
        </w:rPr>
        <w:t>obr</w:t>
      </w:r>
      <w:r w:rsidR="00704389" w:rsidRPr="00DD1DFA">
        <w:rPr>
          <w:noProof/>
        </w:rPr>
        <w:t>otu.</w:t>
      </w:r>
    </w:p>
    <w:p w14:paraId="50CA7E53" w14:textId="77777777" w:rsidR="00215DD2" w:rsidRPr="00DD1DFA" w:rsidRDefault="00215DD2" w:rsidP="00215DD2">
      <w:pPr>
        <w:pStyle w:val="Titrearticle"/>
        <w:rPr>
          <w:noProof/>
        </w:rPr>
      </w:pPr>
      <w:r w:rsidRPr="00DD1DFA">
        <w:rPr>
          <w:noProof/>
        </w:rPr>
        <w:t>Artykuł 71</w:t>
      </w:r>
    </w:p>
    <w:p w14:paraId="035D244D" w14:textId="77777777" w:rsidR="00215DD2" w:rsidRPr="00DD1DFA" w:rsidRDefault="00215DD2" w:rsidP="00215DD2">
      <w:pPr>
        <w:pStyle w:val="Titrearticle"/>
        <w:rPr>
          <w:b/>
          <w:noProof/>
        </w:rPr>
      </w:pPr>
      <w:r w:rsidRPr="00DD1DFA">
        <w:rPr>
          <w:b/>
          <w:noProof/>
        </w:rPr>
        <w:t>Unijna procedura ochronna</w:t>
      </w:r>
    </w:p>
    <w:p w14:paraId="274651E6" w14:textId="23B46BD8" w:rsidR="00215DD2" w:rsidRPr="00DD1DFA" w:rsidRDefault="005F7EFA" w:rsidP="005F7EFA">
      <w:pPr>
        <w:pStyle w:val="ManualNumPar1"/>
        <w:rPr>
          <w:noProof/>
        </w:rPr>
      </w:pPr>
      <w:r w:rsidRPr="005F7EFA">
        <w:t>1.</w:t>
      </w:r>
      <w:r w:rsidRPr="005F7EFA">
        <w:tab/>
      </w:r>
      <w:r w:rsidR="00215DD2" w:rsidRPr="00DD1DFA">
        <w:rPr>
          <w:noProof/>
        </w:rPr>
        <w:t>Jeżeli po zakończeniu procedury określonej</w:t>
      </w:r>
      <w:r w:rsidR="00DD1DFA" w:rsidRPr="00DD1DFA">
        <w:rPr>
          <w:noProof/>
        </w:rPr>
        <w:t xml:space="preserve"> w</w:t>
      </w:r>
      <w:r w:rsidR="00DD1DFA">
        <w:rPr>
          <w:noProof/>
        </w:rPr>
        <w:t> </w:t>
      </w:r>
      <w:r w:rsidR="00DD1DFA" w:rsidRPr="00DD1DFA">
        <w:rPr>
          <w:noProof/>
        </w:rPr>
        <w:t>art</w:t>
      </w:r>
      <w:r w:rsidR="00215DD2" w:rsidRPr="00DD1DFA">
        <w:rPr>
          <w:noProof/>
        </w:rPr>
        <w:t>.</w:t>
      </w:r>
      <w:r w:rsidR="00DD1DFA" w:rsidRPr="00DD1DFA">
        <w:rPr>
          <w:noProof/>
        </w:rPr>
        <w:t> </w:t>
      </w:r>
      <w:r w:rsidR="00215DD2" w:rsidRPr="00DD1DFA">
        <w:rPr>
          <w:noProof/>
        </w:rPr>
        <w:t>70 ust.</w:t>
      </w:r>
      <w:r w:rsidR="00DD1DFA" w:rsidRPr="00DD1DFA">
        <w:rPr>
          <w:noProof/>
        </w:rPr>
        <w:t> </w:t>
      </w:r>
      <w:r w:rsidR="00215DD2" w:rsidRPr="00DD1DFA">
        <w:rPr>
          <w:noProof/>
        </w:rPr>
        <w:t>4 zgłaszane są zastrzeżenia wobec środka podjętego przez państwo członkowskie lub jeżeli Komisja uznaje krajowy środek za sprzeczny</w:t>
      </w:r>
      <w:r w:rsidR="00DD1DFA" w:rsidRPr="00DD1DFA">
        <w:rPr>
          <w:noProof/>
        </w:rPr>
        <w:t xml:space="preserve"> z</w:t>
      </w:r>
      <w:r w:rsidR="00DD1DFA">
        <w:rPr>
          <w:noProof/>
        </w:rPr>
        <w:t> </w:t>
      </w:r>
      <w:r w:rsidR="00DD1DFA" w:rsidRPr="00DD1DFA">
        <w:rPr>
          <w:noProof/>
        </w:rPr>
        <w:t>pra</w:t>
      </w:r>
      <w:r w:rsidR="00215DD2" w:rsidRPr="00DD1DFA">
        <w:rPr>
          <w:noProof/>
        </w:rPr>
        <w:t>wodawstwem unijnym, Komisja niezwłocznie rozpoczyna konsultacje</w:t>
      </w:r>
      <w:r w:rsidR="00DD1DFA" w:rsidRPr="00DD1DFA">
        <w:rPr>
          <w:noProof/>
        </w:rPr>
        <w:t xml:space="preserve"> z</w:t>
      </w:r>
      <w:r w:rsidR="00DD1DFA">
        <w:rPr>
          <w:noProof/>
        </w:rPr>
        <w:t> </w:t>
      </w:r>
      <w:r w:rsidR="00DD1DFA" w:rsidRPr="00DD1DFA">
        <w:rPr>
          <w:noProof/>
        </w:rPr>
        <w:t>pań</w:t>
      </w:r>
      <w:r w:rsidR="00215DD2" w:rsidRPr="00DD1DFA">
        <w:rPr>
          <w:noProof/>
        </w:rPr>
        <w:t>stwami członkowskimi</w:t>
      </w:r>
      <w:r w:rsidR="00DD1DFA" w:rsidRPr="00DD1DFA">
        <w:rPr>
          <w:noProof/>
        </w:rPr>
        <w:t xml:space="preserve"> i</w:t>
      </w:r>
      <w:r w:rsidR="00DD1DFA">
        <w:rPr>
          <w:noProof/>
        </w:rPr>
        <w:t> </w:t>
      </w:r>
      <w:r w:rsidR="00DD1DFA" w:rsidRPr="00DD1DFA">
        <w:rPr>
          <w:noProof/>
        </w:rPr>
        <w:t>wła</w:t>
      </w:r>
      <w:r w:rsidR="00215DD2" w:rsidRPr="00DD1DFA">
        <w:rPr>
          <w:noProof/>
        </w:rPr>
        <w:t>ściwymi podmiotami gospodarczymi oraz poddaje środek krajowy ocenie. Na podstawie wyników tej oceny Komisja postanawia</w:t>
      </w:r>
      <w:r w:rsidR="00DD1DFA" w:rsidRPr="00DD1DFA">
        <w:rPr>
          <w:noProof/>
        </w:rPr>
        <w:t xml:space="preserve"> w</w:t>
      </w:r>
      <w:r w:rsidR="00DD1DFA">
        <w:rPr>
          <w:noProof/>
        </w:rPr>
        <w:t> </w:t>
      </w:r>
      <w:r w:rsidR="00DD1DFA" w:rsidRPr="00DD1DFA">
        <w:rPr>
          <w:noProof/>
        </w:rPr>
        <w:t>dro</w:t>
      </w:r>
      <w:r w:rsidR="00215DD2" w:rsidRPr="00DD1DFA">
        <w:rPr>
          <w:noProof/>
        </w:rPr>
        <w:t>dze przyjętego aktu wykonawczego, czy środek krajowy jest uzasadniony.</w:t>
      </w:r>
    </w:p>
    <w:p w14:paraId="4FC0B9AC" w14:textId="51A34E79" w:rsidR="00215DD2" w:rsidRPr="00DD1DFA" w:rsidRDefault="00215DD2" w:rsidP="00215DD2">
      <w:pPr>
        <w:pStyle w:val="Text1"/>
        <w:rPr>
          <w:noProof/>
        </w:rPr>
      </w:pPr>
      <w:r w:rsidRPr="00DD1DFA">
        <w:rPr>
          <w:noProof/>
        </w:rPr>
        <w:t>Te akty wykonawcze przyjmuje się zgodnie</w:t>
      </w:r>
      <w:r w:rsidR="00DD1DFA" w:rsidRPr="00DD1DFA">
        <w:rPr>
          <w:noProof/>
        </w:rPr>
        <w:t xml:space="preserve"> z</w:t>
      </w:r>
      <w:r w:rsidR="00DD1DFA">
        <w:rPr>
          <w:noProof/>
        </w:rPr>
        <w:t> </w:t>
      </w:r>
      <w:r w:rsidR="00DD1DFA" w:rsidRPr="00DD1DFA">
        <w:rPr>
          <w:noProof/>
        </w:rPr>
        <w:t>pro</w:t>
      </w:r>
      <w:r w:rsidRPr="00DD1DFA">
        <w:rPr>
          <w:noProof/>
        </w:rPr>
        <w:t>cedurą doradczą,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1.</w:t>
      </w:r>
    </w:p>
    <w:p w14:paraId="2F9FE283" w14:textId="102923A3" w:rsidR="00215DD2" w:rsidRPr="00DD1DFA" w:rsidRDefault="00215DD2" w:rsidP="00215DD2">
      <w:pPr>
        <w:pStyle w:val="Text1"/>
        <w:rPr>
          <w:noProof/>
        </w:rPr>
      </w:pPr>
      <w:r w:rsidRPr="00DD1DFA">
        <w:rPr>
          <w:noProof/>
        </w:rPr>
        <w:t>Decyzja Komisji skierowana jest do wszystkich państw członkowskich; Komisja niezwłocznie informuje</w:t>
      </w:r>
      <w:r w:rsidR="00DD1DFA" w:rsidRPr="00DD1DFA">
        <w:rPr>
          <w:noProof/>
        </w:rPr>
        <w:t xml:space="preserve"> o</w:t>
      </w:r>
      <w:r w:rsidR="00DD1DFA">
        <w:rPr>
          <w:noProof/>
        </w:rPr>
        <w:t> </w:t>
      </w:r>
      <w:r w:rsidR="00DD1DFA" w:rsidRPr="00DD1DFA">
        <w:rPr>
          <w:noProof/>
        </w:rPr>
        <w:t>nie</w:t>
      </w:r>
      <w:r w:rsidRPr="00DD1DFA">
        <w:rPr>
          <w:noProof/>
        </w:rPr>
        <w:t>j państwa członkowskie</w:t>
      </w:r>
      <w:r w:rsidR="00DD1DFA" w:rsidRPr="00DD1DFA">
        <w:rPr>
          <w:noProof/>
        </w:rPr>
        <w:t xml:space="preserve"> i</w:t>
      </w:r>
      <w:r w:rsidR="00DD1DFA">
        <w:rPr>
          <w:noProof/>
        </w:rPr>
        <w:t> </w:t>
      </w:r>
      <w:r w:rsidR="00DD1DFA" w:rsidRPr="00DD1DFA">
        <w:rPr>
          <w:noProof/>
        </w:rPr>
        <w:t>odp</w:t>
      </w:r>
      <w:r w:rsidRPr="00DD1DFA">
        <w:rPr>
          <w:noProof/>
        </w:rPr>
        <w:t>owiednie podmioty gospodarcze.</w:t>
      </w:r>
    </w:p>
    <w:p w14:paraId="23C18C11" w14:textId="7B451145" w:rsidR="00215DD2" w:rsidRPr="00DD1DFA" w:rsidRDefault="005F7EFA" w:rsidP="005F7EFA">
      <w:pPr>
        <w:pStyle w:val="ManualNumPar1"/>
        <w:rPr>
          <w:noProof/>
        </w:rPr>
      </w:pPr>
      <w:r w:rsidRPr="005F7EFA">
        <w:t>2.</w:t>
      </w:r>
      <w:r w:rsidRPr="005F7EFA">
        <w:tab/>
      </w:r>
      <w:r w:rsidR="00215DD2" w:rsidRPr="00DD1DFA">
        <w:rPr>
          <w:noProof/>
        </w:rPr>
        <w:t>W przypadku uznania krajowego środka za uzasadniony wszystkie państwa członkowskie podejmują środki konieczne do zapewnienia wycofania</w:t>
      </w:r>
      <w:r w:rsidR="00DD1DFA" w:rsidRPr="00DD1DFA">
        <w:rPr>
          <w:noProof/>
        </w:rPr>
        <w:t xml:space="preserve"> z</w:t>
      </w:r>
      <w:r w:rsidR="00DD1DFA">
        <w:rPr>
          <w:noProof/>
        </w:rPr>
        <w:t> </w:t>
      </w:r>
      <w:r w:rsidR="00DD1DFA" w:rsidRPr="00DD1DFA">
        <w:rPr>
          <w:noProof/>
        </w:rPr>
        <w:t>ich</w:t>
      </w:r>
      <w:r w:rsidR="00215DD2" w:rsidRPr="00DD1DFA">
        <w:rPr>
          <w:noProof/>
        </w:rPr>
        <w:t xml:space="preserve"> rynków produktu niezgodnego</w:t>
      </w:r>
      <w:r w:rsidR="00DD1DFA" w:rsidRPr="00DD1DFA">
        <w:rPr>
          <w:noProof/>
        </w:rPr>
        <w:t xml:space="preserve"> z</w:t>
      </w:r>
      <w:r w:rsidR="00DD1DFA">
        <w:rPr>
          <w:noProof/>
        </w:rPr>
        <w:t> </w:t>
      </w:r>
      <w:r w:rsidR="00DD1DFA" w:rsidRPr="00DD1DFA">
        <w:rPr>
          <w:noProof/>
        </w:rPr>
        <w:t>wym</w:t>
      </w:r>
      <w:r w:rsidR="00215DD2" w:rsidRPr="00DD1DFA">
        <w:rPr>
          <w:noProof/>
        </w:rPr>
        <w:t>aganiami oraz informują</w:t>
      </w:r>
      <w:r w:rsidR="00DD1DFA" w:rsidRPr="00DD1DFA">
        <w:rPr>
          <w:noProof/>
        </w:rPr>
        <w:t xml:space="preserve"> o</w:t>
      </w:r>
      <w:r w:rsidR="00DD1DFA">
        <w:rPr>
          <w:noProof/>
        </w:rPr>
        <w:t> </w:t>
      </w:r>
      <w:r w:rsidR="00DD1DFA" w:rsidRPr="00DD1DFA">
        <w:rPr>
          <w:noProof/>
        </w:rPr>
        <w:t>tyc</w:t>
      </w:r>
      <w:r w:rsidR="00215DD2" w:rsidRPr="00DD1DFA">
        <w:rPr>
          <w:noProof/>
        </w:rPr>
        <w:t>h środkach Komisję</w:t>
      </w:r>
      <w:r w:rsidR="00DD1DFA" w:rsidRPr="00DD1DFA">
        <w:rPr>
          <w:noProof/>
        </w:rPr>
        <w:t>. W</w:t>
      </w:r>
      <w:r w:rsidR="00DD1DFA">
        <w:rPr>
          <w:noProof/>
        </w:rPr>
        <w:t> </w:t>
      </w:r>
      <w:r w:rsidR="00DD1DFA" w:rsidRPr="00DD1DFA">
        <w:rPr>
          <w:noProof/>
        </w:rPr>
        <w:t>prz</w:t>
      </w:r>
      <w:r w:rsidR="00215DD2" w:rsidRPr="00DD1DFA">
        <w:rPr>
          <w:noProof/>
        </w:rPr>
        <w:t>ypadku uznania krajowego środka za nieuzasadniony dane państwo członkowskie zobowiązane jest uchylić ten środek.</w:t>
      </w:r>
    </w:p>
    <w:p w14:paraId="53271ECC" w14:textId="04A9A5AA" w:rsidR="00215DD2" w:rsidRPr="00DD1DFA" w:rsidRDefault="005F7EFA" w:rsidP="005F7EFA">
      <w:pPr>
        <w:pStyle w:val="ManualNumPar1"/>
        <w:rPr>
          <w:noProof/>
        </w:rPr>
      </w:pPr>
      <w:r w:rsidRPr="005F7EFA">
        <w:t>3.</w:t>
      </w:r>
      <w:r w:rsidRPr="005F7EFA">
        <w:tab/>
      </w:r>
      <w:r w:rsidR="00215DD2" w:rsidRPr="00DD1DFA">
        <w:rPr>
          <w:noProof/>
        </w:rPr>
        <w:t>W przypadku uznania krajowego środka za uzasadniony</w:t>
      </w:r>
      <w:r w:rsidR="00DD1DFA" w:rsidRPr="00DD1DFA">
        <w:rPr>
          <w:noProof/>
        </w:rPr>
        <w:t xml:space="preserve"> i</w:t>
      </w:r>
      <w:r w:rsidR="00DD1DFA">
        <w:rPr>
          <w:noProof/>
        </w:rPr>
        <w:t> </w:t>
      </w:r>
      <w:r w:rsidR="00DD1DFA" w:rsidRPr="00DD1DFA">
        <w:rPr>
          <w:noProof/>
        </w:rPr>
        <w:t>stw</w:t>
      </w:r>
      <w:r w:rsidR="00215DD2" w:rsidRPr="00DD1DFA">
        <w:rPr>
          <w:noProof/>
        </w:rPr>
        <w:t>ierdzenia, że niezgodność danego wyrobu lub jego producenta wynika</w:t>
      </w:r>
      <w:r w:rsidR="00DD1DFA" w:rsidRPr="00DD1DFA">
        <w:rPr>
          <w:noProof/>
        </w:rPr>
        <w:t xml:space="preserve"> z</w:t>
      </w:r>
      <w:r w:rsidR="00DD1DFA">
        <w:rPr>
          <w:noProof/>
        </w:rPr>
        <w:t> </w:t>
      </w:r>
      <w:r w:rsidR="00DD1DFA" w:rsidRPr="00DD1DFA">
        <w:rPr>
          <w:noProof/>
        </w:rPr>
        <w:t>uch</w:t>
      </w:r>
      <w:r w:rsidR="00215DD2" w:rsidRPr="00DD1DFA">
        <w:rPr>
          <w:noProof/>
        </w:rPr>
        <w:t>ybień</w:t>
      </w:r>
      <w:r w:rsidR="00DD1DFA" w:rsidRPr="00DD1DFA">
        <w:rPr>
          <w:noProof/>
        </w:rPr>
        <w:t xml:space="preserve"> w</w:t>
      </w:r>
      <w:r w:rsidR="00DD1DFA">
        <w:rPr>
          <w:noProof/>
        </w:rPr>
        <w:t> </w:t>
      </w:r>
      <w:r w:rsidR="00DD1DFA" w:rsidRPr="00DD1DFA">
        <w:rPr>
          <w:noProof/>
        </w:rPr>
        <w:t>nor</w:t>
      </w:r>
      <w:r w:rsidR="00215DD2" w:rsidRPr="00DD1DFA">
        <w:rPr>
          <w:noProof/>
        </w:rPr>
        <w:t>mach dotyczących wyrobów budowlanych,</w:t>
      </w:r>
      <w:r w:rsidR="00DD1DFA" w:rsidRPr="00DD1DFA">
        <w:rPr>
          <w:noProof/>
        </w:rPr>
        <w:t xml:space="preserve"> o</w:t>
      </w:r>
      <w:r w:rsidR="00DD1DFA">
        <w:rPr>
          <w:noProof/>
        </w:rPr>
        <w:t> </w:t>
      </w:r>
      <w:r w:rsidR="00DD1DFA" w:rsidRPr="00DD1DFA">
        <w:rPr>
          <w:noProof/>
        </w:rPr>
        <w:t>któ</w:t>
      </w:r>
      <w:r w:rsidR="00215DD2" w:rsidRPr="00DD1DFA">
        <w:rPr>
          <w:noProof/>
        </w:rPr>
        <w:t>rych mowa</w:t>
      </w:r>
      <w:r w:rsidR="00DD1DFA" w:rsidRPr="00DD1DFA">
        <w:rPr>
          <w:noProof/>
        </w:rPr>
        <w:t xml:space="preserve"> w</w:t>
      </w:r>
      <w:r w:rsidR="00DD1DFA">
        <w:rPr>
          <w:noProof/>
        </w:rPr>
        <w:t> </w:t>
      </w:r>
      <w:r w:rsidR="00DD1DFA" w:rsidRPr="00DD1DFA">
        <w:rPr>
          <w:noProof/>
        </w:rPr>
        <w:t>art</w:t>
      </w:r>
      <w:r w:rsidR="00215DD2" w:rsidRPr="00DD1DFA">
        <w:rPr>
          <w:noProof/>
        </w:rPr>
        <w:t>.</w:t>
      </w:r>
      <w:r w:rsidR="00DD1DFA" w:rsidRPr="00DD1DFA">
        <w:rPr>
          <w:noProof/>
        </w:rPr>
        <w:t> </w:t>
      </w:r>
      <w:r w:rsidR="00215DD2" w:rsidRPr="00DD1DFA">
        <w:rPr>
          <w:noProof/>
        </w:rPr>
        <w:t>70 ust.</w:t>
      </w:r>
      <w:r w:rsidR="00DD1DFA" w:rsidRPr="00DD1DFA">
        <w:rPr>
          <w:noProof/>
        </w:rPr>
        <w:t> </w:t>
      </w:r>
      <w:r w:rsidR="00215DD2" w:rsidRPr="00DD1DFA">
        <w:rPr>
          <w:noProof/>
        </w:rPr>
        <w:t>5 lit.</w:t>
      </w:r>
      <w:r w:rsidR="00DD1DFA" w:rsidRPr="00DD1DFA">
        <w:rPr>
          <w:noProof/>
        </w:rPr>
        <w:t> </w:t>
      </w:r>
      <w:r w:rsidR="00215DD2" w:rsidRPr="00DD1DFA">
        <w:rPr>
          <w:noProof/>
        </w:rPr>
        <w:t>c), Komisja stosuje procedurę przewidzianą</w:t>
      </w:r>
      <w:r w:rsidR="00DD1DFA" w:rsidRPr="00DD1DFA">
        <w:rPr>
          <w:noProof/>
        </w:rPr>
        <w:t xml:space="preserve"> w</w:t>
      </w:r>
      <w:r w:rsidR="00DD1DFA">
        <w:rPr>
          <w:noProof/>
        </w:rPr>
        <w:t> </w:t>
      </w:r>
      <w:r w:rsidR="00DD1DFA" w:rsidRPr="00DD1DFA">
        <w:rPr>
          <w:noProof/>
        </w:rPr>
        <w:t>art</w:t>
      </w:r>
      <w:r w:rsidR="00215DD2" w:rsidRPr="00DD1DFA">
        <w:rPr>
          <w:noProof/>
        </w:rPr>
        <w:t>.</w:t>
      </w:r>
      <w:r w:rsidR="00DD1DFA" w:rsidRPr="00DD1DFA">
        <w:rPr>
          <w:noProof/>
        </w:rPr>
        <w:t> </w:t>
      </w:r>
      <w:r w:rsidR="00215DD2" w:rsidRPr="00DD1DFA">
        <w:rPr>
          <w:noProof/>
        </w:rPr>
        <w:t>11 rozporządzenia (UE) nr</w:t>
      </w:r>
      <w:r w:rsidR="00DD1DFA" w:rsidRPr="00DD1DFA">
        <w:rPr>
          <w:noProof/>
        </w:rPr>
        <w:t> </w:t>
      </w:r>
      <w:r w:rsidR="00215DD2" w:rsidRPr="00DD1DFA">
        <w:rPr>
          <w:noProof/>
        </w:rPr>
        <w:t>1025/2012.</w:t>
      </w:r>
    </w:p>
    <w:p w14:paraId="1ED561E9" w14:textId="77777777" w:rsidR="00000833" w:rsidRPr="00DD1DFA" w:rsidRDefault="00000833" w:rsidP="00000833">
      <w:pPr>
        <w:pStyle w:val="Titrearticle"/>
        <w:rPr>
          <w:noProof/>
        </w:rPr>
      </w:pPr>
      <w:r w:rsidRPr="00DD1DFA">
        <w:rPr>
          <w:noProof/>
        </w:rPr>
        <w:t>Artykuł 72</w:t>
      </w:r>
    </w:p>
    <w:p w14:paraId="7B19ED66" w14:textId="77777777" w:rsidR="00000833" w:rsidRPr="00DD1DFA" w:rsidRDefault="00000833" w:rsidP="00000833">
      <w:pPr>
        <w:pStyle w:val="Titrearticle"/>
        <w:rPr>
          <w:b/>
          <w:noProof/>
        </w:rPr>
      </w:pPr>
      <w:r w:rsidRPr="00DD1DFA">
        <w:rPr>
          <w:b/>
          <w:noProof/>
        </w:rPr>
        <w:t>Wyroby spełniające wymogi, które mimo to stwarzają ryzyko</w:t>
      </w:r>
    </w:p>
    <w:p w14:paraId="2CB56661" w14:textId="5E191E3B" w:rsidR="00000833" w:rsidRPr="00DD1DFA" w:rsidRDefault="005F7EFA" w:rsidP="005F7EFA">
      <w:pPr>
        <w:pStyle w:val="ManualNumPar1"/>
        <w:rPr>
          <w:noProof/>
        </w:rPr>
      </w:pPr>
      <w:r w:rsidRPr="005F7EFA">
        <w:t>1.</w:t>
      </w:r>
      <w:r w:rsidRPr="005F7EFA">
        <w:tab/>
      </w:r>
      <w:r w:rsidR="00000833" w:rsidRPr="00DD1DFA">
        <w:rPr>
          <w:noProof/>
        </w:rPr>
        <w:t>W przypadku gdy po przeprowadzeniu oceny na mocy art.</w:t>
      </w:r>
      <w:r w:rsidR="00DD1DFA" w:rsidRPr="00DD1DFA">
        <w:rPr>
          <w:noProof/>
        </w:rPr>
        <w:t> </w:t>
      </w:r>
      <w:r w:rsidR="00000833" w:rsidRPr="00DD1DFA">
        <w:rPr>
          <w:noProof/>
        </w:rPr>
        <w:t>70 ust.</w:t>
      </w:r>
      <w:r w:rsidR="00DD1DFA" w:rsidRPr="00DD1DFA">
        <w:rPr>
          <w:noProof/>
        </w:rPr>
        <w:t> </w:t>
      </w:r>
      <w:r w:rsidR="00000833" w:rsidRPr="00DD1DFA">
        <w:rPr>
          <w:noProof/>
        </w:rPr>
        <w:t>1 państwo członkowskie organu nadzoru rynku stwierdza, że niektóre wyroby są zgodne</w:t>
      </w:r>
      <w:r w:rsidR="00DD1DFA" w:rsidRPr="00DD1DFA">
        <w:rPr>
          <w:noProof/>
        </w:rPr>
        <w:t xml:space="preserve"> z</w:t>
      </w:r>
      <w:r w:rsidR="00DD1DFA">
        <w:rPr>
          <w:noProof/>
        </w:rPr>
        <w:t> </w:t>
      </w:r>
      <w:r w:rsidR="00DD1DFA" w:rsidRPr="00DD1DFA">
        <w:rPr>
          <w:noProof/>
        </w:rPr>
        <w:t>nin</w:t>
      </w:r>
      <w:r w:rsidR="00000833" w:rsidRPr="00DD1DFA">
        <w:rPr>
          <w:noProof/>
        </w:rPr>
        <w:t>iejszym rozporządzeniem, ale mimo to stwarzają ryzyko dla spełnienia podstawowych wymagań dotyczących obiektów budowlanych, dla zdrowia lub bezpieczeństwa osób, środowiska lub dla innych kwestii ważnych</w:t>
      </w:r>
      <w:r w:rsidR="00DD1DFA" w:rsidRPr="00DD1DFA">
        <w:rPr>
          <w:noProof/>
        </w:rPr>
        <w:t xml:space="preserve"> z</w:t>
      </w:r>
      <w:r w:rsidR="00DD1DFA">
        <w:rPr>
          <w:noProof/>
        </w:rPr>
        <w:t> </w:t>
      </w:r>
      <w:r w:rsidR="00DD1DFA" w:rsidRPr="00DD1DFA">
        <w:rPr>
          <w:noProof/>
        </w:rPr>
        <w:t>pun</w:t>
      </w:r>
      <w:r w:rsidR="00000833" w:rsidRPr="00DD1DFA">
        <w:rPr>
          <w:noProof/>
        </w:rPr>
        <w:t>ktu widzenia ochrony interesu publicznego, zobowiązuje ono właściwe podmioty gospodarcze do wprowadzenia wszelkich odpowiednich środków gwarantujących, że dane wyroby nie stwarzają już ryzyka przy ich wprowadzaniu do obrotu, służących wycofaniu wyrobów</w:t>
      </w:r>
      <w:r w:rsidR="00DD1DFA" w:rsidRPr="00DD1DFA">
        <w:rPr>
          <w:noProof/>
        </w:rPr>
        <w:t xml:space="preserve"> z</w:t>
      </w:r>
      <w:r w:rsidR="00DD1DFA">
        <w:rPr>
          <w:noProof/>
        </w:rPr>
        <w:t> </w:t>
      </w:r>
      <w:r w:rsidR="00DD1DFA" w:rsidRPr="00DD1DFA">
        <w:rPr>
          <w:noProof/>
        </w:rPr>
        <w:t>obr</w:t>
      </w:r>
      <w:r w:rsidR="00000833" w:rsidRPr="00DD1DFA">
        <w:rPr>
          <w:noProof/>
        </w:rPr>
        <w:t>otu lub odzyskaniu ich</w:t>
      </w:r>
      <w:r w:rsidR="00DD1DFA" w:rsidRPr="00DD1DFA">
        <w:rPr>
          <w:noProof/>
        </w:rPr>
        <w:t xml:space="preserve"> w</w:t>
      </w:r>
      <w:r w:rsidR="00DD1DFA">
        <w:rPr>
          <w:noProof/>
        </w:rPr>
        <w:t> </w:t>
      </w:r>
      <w:r w:rsidR="00DD1DFA" w:rsidRPr="00DD1DFA">
        <w:rPr>
          <w:noProof/>
        </w:rPr>
        <w:t>roz</w:t>
      </w:r>
      <w:r w:rsidR="00000833" w:rsidRPr="00DD1DFA">
        <w:rPr>
          <w:noProof/>
        </w:rPr>
        <w:t>sądnym terminie, odpowiednim do charakteru ryzyka, który dane państwo członkowskie może wyznaczyć.</w:t>
      </w:r>
    </w:p>
    <w:p w14:paraId="462568AF" w14:textId="7ED21FC1" w:rsidR="00000833" w:rsidRPr="00DD1DFA" w:rsidRDefault="005F7EFA" w:rsidP="005F7EFA">
      <w:pPr>
        <w:pStyle w:val="ManualNumPar1"/>
        <w:rPr>
          <w:noProof/>
        </w:rPr>
      </w:pPr>
      <w:r w:rsidRPr="005F7EFA">
        <w:t>2.</w:t>
      </w:r>
      <w:r w:rsidRPr="005F7EFA">
        <w:tab/>
      </w:r>
      <w:r w:rsidR="00000833" w:rsidRPr="00DD1DFA">
        <w:rPr>
          <w:noProof/>
        </w:rPr>
        <w:t>Podmiot gospodarczy zapewnia wprowadzenie środków naprawczych</w:t>
      </w:r>
      <w:r w:rsidR="00DD1DFA" w:rsidRPr="00DD1DFA">
        <w:rPr>
          <w:noProof/>
        </w:rPr>
        <w:t xml:space="preserve"> w</w:t>
      </w:r>
      <w:r w:rsidR="00DD1DFA">
        <w:rPr>
          <w:noProof/>
        </w:rPr>
        <w:t> </w:t>
      </w:r>
      <w:r w:rsidR="00DD1DFA" w:rsidRPr="00DD1DFA">
        <w:rPr>
          <w:noProof/>
        </w:rPr>
        <w:t>odn</w:t>
      </w:r>
      <w:r w:rsidR="00000833" w:rsidRPr="00DD1DFA">
        <w:rPr>
          <w:noProof/>
        </w:rPr>
        <w:t>iesieniu do wszystkich wyrobów stanowiących zagrożenie, które podmiot ten udostępnił na rynku</w:t>
      </w:r>
      <w:r w:rsidR="00DD1DFA" w:rsidRPr="00DD1DFA">
        <w:rPr>
          <w:noProof/>
        </w:rPr>
        <w:t xml:space="preserve"> w</w:t>
      </w:r>
      <w:r w:rsidR="00DD1DFA">
        <w:rPr>
          <w:noProof/>
        </w:rPr>
        <w:t> </w:t>
      </w:r>
      <w:r w:rsidR="00DD1DFA" w:rsidRPr="00DD1DFA">
        <w:rPr>
          <w:noProof/>
        </w:rPr>
        <w:t>cał</w:t>
      </w:r>
      <w:r w:rsidR="00000833" w:rsidRPr="00DD1DFA">
        <w:rPr>
          <w:noProof/>
        </w:rPr>
        <w:t>ej Unii.</w:t>
      </w:r>
    </w:p>
    <w:p w14:paraId="242DEC6D" w14:textId="1533C9D1" w:rsidR="00000833" w:rsidRPr="00DD1DFA" w:rsidRDefault="005F7EFA" w:rsidP="005F7EFA">
      <w:pPr>
        <w:pStyle w:val="ManualNumPar1"/>
        <w:rPr>
          <w:noProof/>
        </w:rPr>
      </w:pPr>
      <w:r w:rsidRPr="005F7EFA">
        <w:t>3.</w:t>
      </w:r>
      <w:r w:rsidRPr="005F7EFA">
        <w:tab/>
      </w:r>
      <w:r w:rsidR="00000833" w:rsidRPr="00DD1DFA">
        <w:rPr>
          <w:noProof/>
        </w:rPr>
        <w:t>Organ nadzoru rynku, za pośrednictwem właściwego organu krajowego, niezwłocznie informuje Komisję</w:t>
      </w:r>
      <w:r w:rsidR="00DD1DFA" w:rsidRPr="00DD1DFA">
        <w:rPr>
          <w:noProof/>
        </w:rPr>
        <w:t xml:space="preserve"> i</w:t>
      </w:r>
      <w:r w:rsidR="00DD1DFA">
        <w:rPr>
          <w:noProof/>
        </w:rPr>
        <w:t> </w:t>
      </w:r>
      <w:r w:rsidR="00DD1DFA" w:rsidRPr="00DD1DFA">
        <w:rPr>
          <w:noProof/>
        </w:rPr>
        <w:t>poz</w:t>
      </w:r>
      <w:r w:rsidR="00000833" w:rsidRPr="00DD1DFA">
        <w:rPr>
          <w:noProof/>
        </w:rPr>
        <w:t>ostałe państwa członkowskie. Informacje te obejmują wszelkie dostępne szczegóły, przede wszystkim dane niezbędne do identyfikacji danego wyrobu, pochodzenie</w:t>
      </w:r>
      <w:r w:rsidR="00DD1DFA" w:rsidRPr="00DD1DFA">
        <w:rPr>
          <w:noProof/>
        </w:rPr>
        <w:t xml:space="preserve"> i</w:t>
      </w:r>
      <w:r w:rsidR="00DD1DFA">
        <w:rPr>
          <w:noProof/>
        </w:rPr>
        <w:t> </w:t>
      </w:r>
      <w:r w:rsidR="00DD1DFA" w:rsidRPr="00DD1DFA">
        <w:rPr>
          <w:noProof/>
        </w:rPr>
        <w:t>łań</w:t>
      </w:r>
      <w:r w:rsidR="00000833" w:rsidRPr="00DD1DFA">
        <w:rPr>
          <w:noProof/>
        </w:rPr>
        <w:t>cuch dostaw wyrobu, charakter występującego ryzyka oraz charakter</w:t>
      </w:r>
      <w:r w:rsidR="00DD1DFA" w:rsidRPr="00DD1DFA">
        <w:rPr>
          <w:noProof/>
        </w:rPr>
        <w:t xml:space="preserve"> i</w:t>
      </w:r>
      <w:r w:rsidR="00DD1DFA">
        <w:rPr>
          <w:noProof/>
        </w:rPr>
        <w:t> </w:t>
      </w:r>
      <w:r w:rsidR="00DD1DFA" w:rsidRPr="00DD1DFA">
        <w:rPr>
          <w:noProof/>
        </w:rPr>
        <w:t>okr</w:t>
      </w:r>
      <w:r w:rsidR="00000833" w:rsidRPr="00DD1DFA">
        <w:rPr>
          <w:noProof/>
        </w:rPr>
        <w:t>es obowiązywania wprowadzonych środków krajowych.</w:t>
      </w:r>
    </w:p>
    <w:p w14:paraId="10D3C5D3" w14:textId="363E75A3" w:rsidR="00000833" w:rsidRPr="00DD1DFA" w:rsidRDefault="005F7EFA" w:rsidP="005F7EFA">
      <w:pPr>
        <w:pStyle w:val="ManualNumPar1"/>
        <w:rPr>
          <w:noProof/>
        </w:rPr>
      </w:pPr>
      <w:r w:rsidRPr="005F7EFA">
        <w:t>4.</w:t>
      </w:r>
      <w:r w:rsidRPr="005F7EFA">
        <w:tab/>
      </w:r>
      <w:r w:rsidR="00000833" w:rsidRPr="00DD1DFA">
        <w:rPr>
          <w:noProof/>
        </w:rPr>
        <w:t>Komisja niezwłocznie rozpoczyna konsultacje</w:t>
      </w:r>
      <w:r w:rsidR="00DD1DFA" w:rsidRPr="00DD1DFA">
        <w:rPr>
          <w:noProof/>
        </w:rPr>
        <w:t xml:space="preserve"> z</w:t>
      </w:r>
      <w:r w:rsidR="00DD1DFA">
        <w:rPr>
          <w:noProof/>
        </w:rPr>
        <w:t> </w:t>
      </w:r>
      <w:r w:rsidR="00DD1DFA" w:rsidRPr="00DD1DFA">
        <w:rPr>
          <w:noProof/>
        </w:rPr>
        <w:t>pań</w:t>
      </w:r>
      <w:r w:rsidR="00000833" w:rsidRPr="00DD1DFA">
        <w:rPr>
          <w:noProof/>
        </w:rPr>
        <w:t>stwami członkowskimi</w:t>
      </w:r>
      <w:r w:rsidR="00DD1DFA" w:rsidRPr="00DD1DFA">
        <w:rPr>
          <w:noProof/>
        </w:rPr>
        <w:t xml:space="preserve"> i</w:t>
      </w:r>
      <w:r w:rsidR="00DD1DFA">
        <w:rPr>
          <w:noProof/>
        </w:rPr>
        <w:t> </w:t>
      </w:r>
      <w:r w:rsidR="00DD1DFA" w:rsidRPr="00DD1DFA">
        <w:rPr>
          <w:noProof/>
        </w:rPr>
        <w:t>odp</w:t>
      </w:r>
      <w:r w:rsidR="00000833" w:rsidRPr="00DD1DFA">
        <w:rPr>
          <w:noProof/>
        </w:rPr>
        <w:t>owiednimi podmiotami gospodarczymi oraz ocenia wprowadzone środki krajowe. Na podstawie wyników tej oceny Komisja decyduje</w:t>
      </w:r>
      <w:r w:rsidR="00DD1DFA" w:rsidRPr="00DD1DFA">
        <w:rPr>
          <w:noProof/>
        </w:rPr>
        <w:t xml:space="preserve"> w</w:t>
      </w:r>
      <w:r w:rsidR="00DD1DFA">
        <w:rPr>
          <w:noProof/>
        </w:rPr>
        <w:t> </w:t>
      </w:r>
      <w:r w:rsidR="00DD1DFA" w:rsidRPr="00DD1DFA">
        <w:rPr>
          <w:noProof/>
        </w:rPr>
        <w:t>dro</w:t>
      </w:r>
      <w:r w:rsidR="00000833" w:rsidRPr="00DD1DFA">
        <w:rPr>
          <w:noProof/>
        </w:rPr>
        <w:t>dze aktu wykonawczego, czy dany środek jest uzasadniony, oraz proponuje odpowiednie środki,</w:t>
      </w:r>
      <w:r w:rsidR="00DD1DFA" w:rsidRPr="00DD1DFA">
        <w:rPr>
          <w:noProof/>
        </w:rPr>
        <w:t xml:space="preserve"> o</w:t>
      </w:r>
      <w:r w:rsidR="00DD1DFA">
        <w:rPr>
          <w:noProof/>
        </w:rPr>
        <w:t> </w:t>
      </w:r>
      <w:r w:rsidR="00DD1DFA" w:rsidRPr="00DD1DFA">
        <w:rPr>
          <w:noProof/>
        </w:rPr>
        <w:t>ile</w:t>
      </w:r>
      <w:r w:rsidR="00000833" w:rsidRPr="00DD1DFA">
        <w:rPr>
          <w:noProof/>
        </w:rPr>
        <w:t xml:space="preserve"> są konieczne. </w:t>
      </w:r>
    </w:p>
    <w:p w14:paraId="2758FA48" w14:textId="1F7A69ED" w:rsidR="00000833" w:rsidRPr="00DD1DFA" w:rsidRDefault="005F7EFA" w:rsidP="005F7EFA">
      <w:pPr>
        <w:pStyle w:val="ManualNumPar1"/>
        <w:rPr>
          <w:noProof/>
        </w:rPr>
      </w:pPr>
      <w:r w:rsidRPr="005F7EFA">
        <w:t>5.</w:t>
      </w:r>
      <w:r w:rsidRPr="005F7EFA">
        <w:tab/>
      </w:r>
      <w:r w:rsidR="00000833" w:rsidRPr="00DD1DFA">
        <w:rPr>
          <w:noProof/>
        </w:rPr>
        <w:t>Te akty wykonawcze przyjmuje się zgodnie</w:t>
      </w:r>
      <w:r w:rsidR="00DD1DFA" w:rsidRPr="00DD1DFA">
        <w:rPr>
          <w:noProof/>
        </w:rPr>
        <w:t xml:space="preserve"> z</w:t>
      </w:r>
      <w:r w:rsidR="00DD1DFA">
        <w:rPr>
          <w:noProof/>
        </w:rPr>
        <w:t> </w:t>
      </w:r>
      <w:r w:rsidR="00DD1DFA" w:rsidRPr="00DD1DFA">
        <w:rPr>
          <w:noProof/>
        </w:rPr>
        <w:t>pro</w:t>
      </w:r>
      <w:r w:rsidR="00000833" w:rsidRPr="00DD1DFA">
        <w:rPr>
          <w:noProof/>
        </w:rPr>
        <w:t>cedurą doradczą,</w:t>
      </w:r>
      <w:r w:rsidR="00DD1DFA" w:rsidRPr="00DD1DFA">
        <w:rPr>
          <w:noProof/>
        </w:rPr>
        <w:t xml:space="preserve"> o</w:t>
      </w:r>
      <w:r w:rsidR="00DD1DFA">
        <w:rPr>
          <w:noProof/>
        </w:rPr>
        <w:t> </w:t>
      </w:r>
      <w:r w:rsidR="00DD1DFA" w:rsidRPr="00DD1DFA">
        <w:rPr>
          <w:noProof/>
        </w:rPr>
        <w:t>któ</w:t>
      </w:r>
      <w:r w:rsidR="00000833" w:rsidRPr="00DD1DFA">
        <w:rPr>
          <w:noProof/>
        </w:rPr>
        <w:t>rej mowa</w:t>
      </w:r>
      <w:r w:rsidR="00DD1DFA" w:rsidRPr="00DD1DFA">
        <w:rPr>
          <w:noProof/>
        </w:rPr>
        <w:t xml:space="preserve"> w</w:t>
      </w:r>
      <w:r w:rsidR="00DD1DFA">
        <w:rPr>
          <w:noProof/>
        </w:rPr>
        <w:t> </w:t>
      </w:r>
      <w:r w:rsidR="00DD1DFA" w:rsidRPr="00DD1DFA">
        <w:rPr>
          <w:noProof/>
        </w:rPr>
        <w:t>art</w:t>
      </w:r>
      <w:r w:rsidR="00000833" w:rsidRPr="00DD1DFA">
        <w:rPr>
          <w:noProof/>
        </w:rPr>
        <w:t>.</w:t>
      </w:r>
      <w:r w:rsidR="00DD1DFA" w:rsidRPr="00DD1DFA">
        <w:rPr>
          <w:noProof/>
        </w:rPr>
        <w:t> </w:t>
      </w:r>
      <w:r w:rsidR="00000833" w:rsidRPr="00DD1DFA">
        <w:rPr>
          <w:noProof/>
        </w:rPr>
        <w:t>88 ust.</w:t>
      </w:r>
      <w:r w:rsidR="00DD1DFA" w:rsidRPr="00DD1DFA">
        <w:rPr>
          <w:noProof/>
        </w:rPr>
        <w:t> </w:t>
      </w:r>
      <w:r w:rsidR="00000833" w:rsidRPr="00DD1DFA">
        <w:rPr>
          <w:noProof/>
        </w:rPr>
        <w:t>1.</w:t>
      </w:r>
    </w:p>
    <w:p w14:paraId="1B8672B3" w14:textId="1934F3D1" w:rsidR="00000833" w:rsidRPr="00DD1DFA" w:rsidRDefault="005F7EFA" w:rsidP="005F7EFA">
      <w:pPr>
        <w:pStyle w:val="ManualNumPar1"/>
        <w:rPr>
          <w:noProof/>
        </w:rPr>
      </w:pPr>
      <w:r w:rsidRPr="005F7EFA">
        <w:t>6.</w:t>
      </w:r>
      <w:r w:rsidRPr="005F7EFA">
        <w:tab/>
      </w:r>
      <w:r w:rsidR="00000833" w:rsidRPr="00DD1DFA">
        <w:rPr>
          <w:noProof/>
        </w:rPr>
        <w:t>Decyzja Komisji skierowana jest do wszystkich państw członkowskich; Komisja niezwłocznie informuje</w:t>
      </w:r>
      <w:r w:rsidR="00DD1DFA" w:rsidRPr="00DD1DFA">
        <w:rPr>
          <w:noProof/>
        </w:rPr>
        <w:t xml:space="preserve"> o</w:t>
      </w:r>
      <w:r w:rsidR="00DD1DFA">
        <w:rPr>
          <w:noProof/>
        </w:rPr>
        <w:t> </w:t>
      </w:r>
      <w:r w:rsidR="00DD1DFA" w:rsidRPr="00DD1DFA">
        <w:rPr>
          <w:noProof/>
        </w:rPr>
        <w:t>nie</w:t>
      </w:r>
      <w:r w:rsidR="00000833" w:rsidRPr="00DD1DFA">
        <w:rPr>
          <w:noProof/>
        </w:rPr>
        <w:t>j państwa członkowskie</w:t>
      </w:r>
      <w:r w:rsidR="00DD1DFA" w:rsidRPr="00DD1DFA">
        <w:rPr>
          <w:noProof/>
        </w:rPr>
        <w:t xml:space="preserve"> i</w:t>
      </w:r>
      <w:r w:rsidR="00DD1DFA">
        <w:rPr>
          <w:noProof/>
        </w:rPr>
        <w:t> </w:t>
      </w:r>
      <w:r w:rsidR="00DD1DFA" w:rsidRPr="00DD1DFA">
        <w:rPr>
          <w:noProof/>
        </w:rPr>
        <w:t>odp</w:t>
      </w:r>
      <w:r w:rsidR="00000833" w:rsidRPr="00DD1DFA">
        <w:rPr>
          <w:noProof/>
        </w:rPr>
        <w:t>owiednie podmioty gospodarcze.</w:t>
      </w:r>
    </w:p>
    <w:p w14:paraId="0FEB0F01" w14:textId="77777777" w:rsidR="00316092" w:rsidRPr="00DD1DFA" w:rsidRDefault="00316092" w:rsidP="00316092">
      <w:pPr>
        <w:pStyle w:val="Titrearticle"/>
        <w:rPr>
          <w:noProof/>
        </w:rPr>
      </w:pPr>
      <w:r w:rsidRPr="00DD1DFA">
        <w:rPr>
          <w:noProof/>
        </w:rPr>
        <w:t>Artykuł 73</w:t>
      </w:r>
    </w:p>
    <w:p w14:paraId="47AB41E6" w14:textId="19D290DC" w:rsidR="00316092" w:rsidRPr="00DD1DFA" w:rsidRDefault="00316092" w:rsidP="00316092">
      <w:pPr>
        <w:pStyle w:val="Titrearticle"/>
        <w:rPr>
          <w:b/>
          <w:noProof/>
        </w:rPr>
      </w:pPr>
      <w:r w:rsidRPr="00DD1DFA">
        <w:rPr>
          <w:b/>
          <w:noProof/>
        </w:rPr>
        <w:t>Minimalna liczba kontroli</w:t>
      </w:r>
      <w:r w:rsidR="00DD1DFA" w:rsidRPr="00DD1DFA">
        <w:rPr>
          <w:b/>
          <w:noProof/>
        </w:rPr>
        <w:t xml:space="preserve"> i</w:t>
      </w:r>
      <w:r w:rsidR="00DD1DFA">
        <w:rPr>
          <w:b/>
          <w:noProof/>
        </w:rPr>
        <w:t> </w:t>
      </w:r>
      <w:r w:rsidR="00DD1DFA" w:rsidRPr="00DD1DFA">
        <w:rPr>
          <w:b/>
          <w:noProof/>
        </w:rPr>
        <w:t>min</w:t>
      </w:r>
      <w:r w:rsidRPr="00DD1DFA">
        <w:rPr>
          <w:b/>
          <w:noProof/>
        </w:rPr>
        <w:t>imalne zasoby ludzkie</w:t>
      </w:r>
    </w:p>
    <w:p w14:paraId="100BF8AA" w14:textId="010E35DC" w:rsidR="00316092" w:rsidRPr="00DD1DFA" w:rsidRDefault="005F7EFA" w:rsidP="005F7EFA">
      <w:pPr>
        <w:pStyle w:val="ManualNumPar1"/>
        <w:rPr>
          <w:noProof/>
        </w:rPr>
      </w:pPr>
      <w:r w:rsidRPr="005F7EFA">
        <w:t>1.</w:t>
      </w:r>
      <w:r w:rsidRPr="005F7EFA">
        <w:tab/>
      </w:r>
      <w:r w:rsidR="00316092" w:rsidRPr="00DD1DFA">
        <w:rPr>
          <w:noProof/>
        </w:rPr>
        <w:t>Komisja jest uprawniona do przyjęcia aktów delegowanych zgodnie</w:t>
      </w:r>
      <w:r w:rsidR="00DD1DFA" w:rsidRPr="00DD1DFA">
        <w:rPr>
          <w:noProof/>
        </w:rPr>
        <w:t xml:space="preserve"> z</w:t>
      </w:r>
      <w:r w:rsidR="00DD1DFA">
        <w:rPr>
          <w:noProof/>
        </w:rPr>
        <w:t> </w:t>
      </w:r>
      <w:r w:rsidR="00DD1DFA" w:rsidRPr="00DD1DFA">
        <w:rPr>
          <w:noProof/>
        </w:rPr>
        <w:t>art</w:t>
      </w:r>
      <w:r w:rsidR="00316092" w:rsidRPr="00DD1DFA">
        <w:rPr>
          <w:noProof/>
        </w:rPr>
        <w:t>.</w:t>
      </w:r>
      <w:r w:rsidR="00DD1DFA" w:rsidRPr="00DD1DFA">
        <w:rPr>
          <w:noProof/>
        </w:rPr>
        <w:t> </w:t>
      </w:r>
      <w:r w:rsidR="00316092" w:rsidRPr="00DD1DFA">
        <w:rPr>
          <w:noProof/>
        </w:rPr>
        <w:t>87 uzupełniających niniejsze rozporządzenie poprzez ustanowienie minimalnej liczby kontroli, które mają być przeprowadzane przez organy nadzoru rynku</w:t>
      </w:r>
      <w:r w:rsidR="00DD1DFA" w:rsidRPr="00DD1DFA">
        <w:rPr>
          <w:noProof/>
        </w:rPr>
        <w:t xml:space="preserve"> z</w:t>
      </w:r>
      <w:r w:rsidR="00DD1DFA">
        <w:rPr>
          <w:noProof/>
        </w:rPr>
        <w:t> </w:t>
      </w:r>
      <w:r w:rsidR="00DD1DFA" w:rsidRPr="00DD1DFA">
        <w:rPr>
          <w:noProof/>
        </w:rPr>
        <w:t>każ</w:t>
      </w:r>
      <w:r w:rsidR="00316092" w:rsidRPr="00DD1DFA">
        <w:rPr>
          <w:noProof/>
        </w:rPr>
        <w:t>dego państwa członkowskiego</w:t>
      </w:r>
      <w:r w:rsidR="00DD1DFA" w:rsidRPr="00DD1DFA">
        <w:rPr>
          <w:noProof/>
        </w:rPr>
        <w:t xml:space="preserve"> w</w:t>
      </w:r>
      <w:r w:rsidR="00DD1DFA">
        <w:rPr>
          <w:noProof/>
        </w:rPr>
        <w:t> </w:t>
      </w:r>
      <w:r w:rsidR="00DD1DFA" w:rsidRPr="00DD1DFA">
        <w:rPr>
          <w:noProof/>
        </w:rPr>
        <w:t>odn</w:t>
      </w:r>
      <w:r w:rsidR="00316092" w:rsidRPr="00DD1DFA">
        <w:rPr>
          <w:noProof/>
        </w:rPr>
        <w:t>iesieniu do poszczególnych wyrobów objętych zharmonizowanymi specyfikacjami technicznymi lub</w:t>
      </w:r>
      <w:r w:rsidR="00DD1DFA" w:rsidRPr="00DD1DFA">
        <w:rPr>
          <w:noProof/>
        </w:rPr>
        <w:t xml:space="preserve"> w</w:t>
      </w:r>
      <w:r w:rsidR="00DD1DFA">
        <w:rPr>
          <w:noProof/>
        </w:rPr>
        <w:t> </w:t>
      </w:r>
      <w:r w:rsidR="00DD1DFA" w:rsidRPr="00DD1DFA">
        <w:rPr>
          <w:noProof/>
        </w:rPr>
        <w:t>zwi</w:t>
      </w:r>
      <w:r w:rsidR="00316092" w:rsidRPr="00DD1DFA">
        <w:rPr>
          <w:noProof/>
        </w:rPr>
        <w:t>ązku</w:t>
      </w:r>
      <w:r w:rsidR="00DD1DFA" w:rsidRPr="00DD1DFA">
        <w:rPr>
          <w:noProof/>
        </w:rPr>
        <w:t xml:space="preserve"> z</w:t>
      </w:r>
      <w:r w:rsidR="00DD1DFA">
        <w:rPr>
          <w:noProof/>
        </w:rPr>
        <w:t> </w:t>
      </w:r>
      <w:r w:rsidR="00DD1DFA" w:rsidRPr="00DD1DFA">
        <w:rPr>
          <w:noProof/>
        </w:rPr>
        <w:t>okr</w:t>
      </w:r>
      <w:r w:rsidR="00316092" w:rsidRPr="00DD1DFA">
        <w:rPr>
          <w:noProof/>
        </w:rPr>
        <w:t>eślonymi</w:t>
      </w:r>
      <w:r w:rsidR="00DD1DFA" w:rsidRPr="00DD1DFA">
        <w:rPr>
          <w:noProof/>
        </w:rPr>
        <w:t xml:space="preserve"> w</w:t>
      </w:r>
      <w:r w:rsidR="00DD1DFA">
        <w:rPr>
          <w:noProof/>
        </w:rPr>
        <w:t> </w:t>
      </w:r>
      <w:r w:rsidR="00DD1DFA" w:rsidRPr="00DD1DFA">
        <w:rPr>
          <w:noProof/>
        </w:rPr>
        <w:t>nic</w:t>
      </w:r>
      <w:r w:rsidR="00316092" w:rsidRPr="00DD1DFA">
        <w:rPr>
          <w:noProof/>
        </w:rPr>
        <w:t>h szczegółowymi wymogami</w:t>
      </w:r>
      <w:r w:rsidR="00DD1DFA" w:rsidRPr="00DD1DFA">
        <w:rPr>
          <w:noProof/>
        </w:rPr>
        <w:t xml:space="preserve">, </w:t>
      </w:r>
      <w:r w:rsidR="00316092" w:rsidRPr="00DD1DFA">
        <w:rPr>
          <w:noProof/>
        </w:rPr>
        <w:t>aby zapewnić przeprowadzanie kontroli na skalę odpowiednią do zagwarantowania skutecznego egzekwowania przepisów niniejszego rozporządzenia</w:t>
      </w:r>
      <w:r w:rsidR="00DD1DFA" w:rsidRPr="00DD1DFA">
        <w:rPr>
          <w:noProof/>
        </w:rPr>
        <w:t>. W</w:t>
      </w:r>
      <w:r w:rsidR="00DD1DFA">
        <w:rPr>
          <w:noProof/>
        </w:rPr>
        <w:t> </w:t>
      </w:r>
      <w:r w:rsidR="00DD1DFA" w:rsidRPr="00DD1DFA">
        <w:rPr>
          <w:noProof/>
        </w:rPr>
        <w:t>sto</w:t>
      </w:r>
      <w:r w:rsidR="00316092" w:rsidRPr="00DD1DFA">
        <w:rPr>
          <w:noProof/>
        </w:rPr>
        <w:t>sownych przypadkach</w:t>
      </w:r>
      <w:r w:rsidR="00DD1DFA" w:rsidRPr="00DD1DFA">
        <w:rPr>
          <w:noProof/>
        </w:rPr>
        <w:t xml:space="preserve"> w</w:t>
      </w:r>
      <w:r w:rsidR="00DD1DFA">
        <w:rPr>
          <w:noProof/>
        </w:rPr>
        <w:t> </w:t>
      </w:r>
      <w:r w:rsidR="00DD1DFA" w:rsidRPr="00DD1DFA">
        <w:rPr>
          <w:noProof/>
        </w:rPr>
        <w:t>akt</w:t>
      </w:r>
      <w:r w:rsidR="00316092" w:rsidRPr="00DD1DFA">
        <w:rPr>
          <w:noProof/>
        </w:rPr>
        <w:t>ach delegowanych można określić charakter wymaganych kontroli oraz metod, które należy stosować.</w:t>
      </w:r>
    </w:p>
    <w:p w14:paraId="364F38A6" w14:textId="09544600" w:rsidR="00316092" w:rsidRPr="00DD1DFA" w:rsidRDefault="005F7EFA" w:rsidP="005F7EFA">
      <w:pPr>
        <w:pStyle w:val="ManualNumPar1"/>
        <w:rPr>
          <w:noProof/>
        </w:rPr>
      </w:pPr>
      <w:r w:rsidRPr="005F7EFA">
        <w:t>2.</w:t>
      </w:r>
      <w:r w:rsidRPr="005F7EFA">
        <w:tab/>
      </w:r>
      <w:r w:rsidR="00316092" w:rsidRPr="00DD1DFA">
        <w:rPr>
          <w:noProof/>
        </w:rPr>
        <w:t>Komisja jest również uprawniona do przyjęcia aktów delegowanych zgodnie</w:t>
      </w:r>
      <w:r w:rsidR="00DD1DFA" w:rsidRPr="00DD1DFA">
        <w:rPr>
          <w:noProof/>
        </w:rPr>
        <w:t xml:space="preserve"> z</w:t>
      </w:r>
      <w:r w:rsidR="00DD1DFA">
        <w:rPr>
          <w:noProof/>
        </w:rPr>
        <w:t> </w:t>
      </w:r>
      <w:r w:rsidR="00DD1DFA" w:rsidRPr="00DD1DFA">
        <w:rPr>
          <w:noProof/>
        </w:rPr>
        <w:t>art</w:t>
      </w:r>
      <w:r w:rsidR="00316092" w:rsidRPr="00DD1DFA">
        <w:rPr>
          <w:noProof/>
        </w:rPr>
        <w:t>.</w:t>
      </w:r>
      <w:r w:rsidR="00DD1DFA" w:rsidRPr="00DD1DFA">
        <w:rPr>
          <w:noProof/>
        </w:rPr>
        <w:t> </w:t>
      </w:r>
      <w:r w:rsidR="00316092" w:rsidRPr="00DD1DFA">
        <w:rPr>
          <w:noProof/>
        </w:rPr>
        <w:t>87 uzupełniających niniejsze rozporządzenie poprzez ustanowienie minimalnych zasobów ludzkich, które państwa członkowskie mają przydzielić do celów nadzoru rynku</w:t>
      </w:r>
      <w:r w:rsidR="00DD1DFA" w:rsidRPr="00DD1DFA">
        <w:rPr>
          <w:noProof/>
        </w:rPr>
        <w:t xml:space="preserve"> w</w:t>
      </w:r>
      <w:r w:rsidR="00DD1DFA">
        <w:rPr>
          <w:noProof/>
        </w:rPr>
        <w:t> </w:t>
      </w:r>
      <w:r w:rsidR="00DD1DFA" w:rsidRPr="00DD1DFA">
        <w:rPr>
          <w:noProof/>
        </w:rPr>
        <w:t>odn</w:t>
      </w:r>
      <w:r w:rsidR="00316092" w:rsidRPr="00DD1DFA">
        <w:rPr>
          <w:noProof/>
        </w:rPr>
        <w:t>iesieniu do wyrobów objętych niniejszym rozporządzeniem.</w:t>
      </w:r>
    </w:p>
    <w:p w14:paraId="183CF633" w14:textId="77777777" w:rsidR="00031CE5" w:rsidRPr="00DD1DFA" w:rsidRDefault="00031CE5" w:rsidP="00031CE5">
      <w:pPr>
        <w:pStyle w:val="Titrearticle"/>
        <w:rPr>
          <w:noProof/>
        </w:rPr>
      </w:pPr>
      <w:r w:rsidRPr="00DD1DFA">
        <w:rPr>
          <w:noProof/>
        </w:rPr>
        <w:t>Artykuł 74</w:t>
      </w:r>
    </w:p>
    <w:p w14:paraId="75BDB759" w14:textId="7CA4E3CD" w:rsidR="00316092" w:rsidRPr="00DD1DFA" w:rsidRDefault="00031CE5" w:rsidP="00031CE5">
      <w:pPr>
        <w:pStyle w:val="Titrearticle"/>
        <w:rPr>
          <w:b/>
          <w:noProof/>
        </w:rPr>
      </w:pPr>
      <w:r w:rsidRPr="00DD1DFA">
        <w:rPr>
          <w:b/>
          <w:noProof/>
        </w:rPr>
        <w:t>Koordynacja</w:t>
      </w:r>
      <w:r w:rsidR="00DD1DFA" w:rsidRPr="00DD1DFA">
        <w:rPr>
          <w:b/>
          <w:noProof/>
        </w:rPr>
        <w:t xml:space="preserve"> i</w:t>
      </w:r>
      <w:r w:rsidR="00DD1DFA">
        <w:rPr>
          <w:b/>
          <w:noProof/>
        </w:rPr>
        <w:t> </w:t>
      </w:r>
      <w:r w:rsidR="00DD1DFA" w:rsidRPr="00DD1DFA">
        <w:rPr>
          <w:b/>
          <w:noProof/>
        </w:rPr>
        <w:t>wsp</w:t>
      </w:r>
      <w:r w:rsidRPr="00DD1DFA">
        <w:rPr>
          <w:b/>
          <w:noProof/>
        </w:rPr>
        <w:t>arcie nadzoru rynku</w:t>
      </w:r>
    </w:p>
    <w:p w14:paraId="0A2FD3B6" w14:textId="6C22AD03" w:rsidR="00031CE5" w:rsidRPr="00DD1DFA" w:rsidRDefault="005F7EFA" w:rsidP="005F7EFA">
      <w:pPr>
        <w:pStyle w:val="ManualNumPar1"/>
        <w:rPr>
          <w:noProof/>
        </w:rPr>
      </w:pPr>
      <w:r w:rsidRPr="005F7EFA">
        <w:t>1.</w:t>
      </w:r>
      <w:r w:rsidRPr="005F7EFA">
        <w:tab/>
      </w:r>
      <w:r w:rsidR="00031CE5" w:rsidRPr="00DD1DFA">
        <w:rPr>
          <w:noProof/>
        </w:rPr>
        <w:t>Do celów niniejszego rozporządzenia posiedzenia grupy ds. współpracy administracyjnej („ADCO”) ustanowionej na podstawie art.</w:t>
      </w:r>
      <w:r w:rsidR="00DD1DFA" w:rsidRPr="00DD1DFA">
        <w:rPr>
          <w:noProof/>
        </w:rPr>
        <w:t> </w:t>
      </w:r>
      <w:r w:rsidR="00031CE5" w:rsidRPr="00DD1DFA">
        <w:rPr>
          <w:noProof/>
        </w:rPr>
        <w:t>30 ust.</w:t>
      </w:r>
      <w:r w:rsidR="00DD1DFA" w:rsidRPr="00DD1DFA">
        <w:rPr>
          <w:noProof/>
        </w:rPr>
        <w:t> </w:t>
      </w:r>
      <w:r w:rsidR="00031CE5" w:rsidRPr="00DD1DFA">
        <w:rPr>
          <w:noProof/>
        </w:rPr>
        <w:t>2 rozporządzenia (UE) 2019/1020 odbywają się</w:t>
      </w:r>
      <w:r w:rsidR="00DD1DFA" w:rsidRPr="00DD1DFA">
        <w:rPr>
          <w:noProof/>
        </w:rPr>
        <w:t xml:space="preserve"> w</w:t>
      </w:r>
      <w:r w:rsidR="00DD1DFA">
        <w:rPr>
          <w:noProof/>
        </w:rPr>
        <w:t> </w:t>
      </w:r>
      <w:r w:rsidR="00DD1DFA" w:rsidRPr="00DD1DFA">
        <w:rPr>
          <w:noProof/>
        </w:rPr>
        <w:t>reg</w:t>
      </w:r>
      <w:r w:rsidR="00031CE5" w:rsidRPr="00DD1DFA">
        <w:rPr>
          <w:noProof/>
        </w:rPr>
        <w:t>ularnych odstępach czasu oraz,</w:t>
      </w:r>
      <w:r w:rsidR="00DD1DFA" w:rsidRPr="00DD1DFA">
        <w:rPr>
          <w:noProof/>
        </w:rPr>
        <w:t xml:space="preserve"> w</w:t>
      </w:r>
      <w:r w:rsidR="00DD1DFA">
        <w:rPr>
          <w:noProof/>
        </w:rPr>
        <w:t> </w:t>
      </w:r>
      <w:r w:rsidR="00DD1DFA" w:rsidRPr="00DD1DFA">
        <w:rPr>
          <w:noProof/>
        </w:rPr>
        <w:t>raz</w:t>
      </w:r>
      <w:r w:rsidR="00031CE5" w:rsidRPr="00DD1DFA">
        <w:rPr>
          <w:noProof/>
        </w:rPr>
        <w:t xml:space="preserve">ie potrzeby, na uzasadniony wniosek Komisji lub co najmniej dwóch uczestniczących organów nadzoru rynku. </w:t>
      </w:r>
    </w:p>
    <w:p w14:paraId="67D9A2B0" w14:textId="1C84D6CD" w:rsidR="00031CE5" w:rsidRPr="00DD1DFA" w:rsidRDefault="00031CE5" w:rsidP="00031CE5">
      <w:pPr>
        <w:pStyle w:val="Text1"/>
        <w:rPr>
          <w:noProof/>
        </w:rPr>
      </w:pPr>
      <w:r w:rsidRPr="00DD1DFA">
        <w:rPr>
          <w:noProof/>
        </w:rPr>
        <w:t>W kontekście wykonywania swoich zadań określonych</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32 rozporządzenia (UE) 2019/1020 ADCO wspiera wykonanie niniejszego rozporządzenia, mianowicie poprzez określenie wspólnych priorytetów</w:t>
      </w:r>
      <w:r w:rsidR="00DD1DFA" w:rsidRPr="00DD1DFA">
        <w:rPr>
          <w:noProof/>
        </w:rPr>
        <w:t xml:space="preserve"> w</w:t>
      </w:r>
      <w:r w:rsidR="00DD1DFA">
        <w:rPr>
          <w:noProof/>
        </w:rPr>
        <w:t> </w:t>
      </w:r>
      <w:r w:rsidR="00DD1DFA" w:rsidRPr="00DD1DFA">
        <w:rPr>
          <w:noProof/>
        </w:rPr>
        <w:t>zak</w:t>
      </w:r>
      <w:r w:rsidRPr="00DD1DFA">
        <w:rPr>
          <w:noProof/>
        </w:rPr>
        <w:t>resie nadzoru rynku.</w:t>
      </w:r>
    </w:p>
    <w:p w14:paraId="23433546" w14:textId="6EAC8978" w:rsidR="00031CE5" w:rsidRPr="00DD1DFA" w:rsidRDefault="005F7EFA" w:rsidP="005F7EFA">
      <w:pPr>
        <w:pStyle w:val="ManualNumPar1"/>
        <w:rPr>
          <w:noProof/>
        </w:rPr>
      </w:pPr>
      <w:r w:rsidRPr="005F7EFA">
        <w:t>2.</w:t>
      </w:r>
      <w:r w:rsidRPr="005F7EFA">
        <w:tab/>
      </w:r>
      <w:r w:rsidR="00031CE5" w:rsidRPr="00DD1DFA">
        <w:rPr>
          <w:noProof/>
        </w:rPr>
        <w:t>W oparciu</w:t>
      </w:r>
      <w:r w:rsidR="00DD1DFA" w:rsidRPr="00DD1DFA">
        <w:rPr>
          <w:noProof/>
        </w:rPr>
        <w:t xml:space="preserve"> o</w:t>
      </w:r>
      <w:r w:rsidR="00DD1DFA">
        <w:rPr>
          <w:noProof/>
        </w:rPr>
        <w:t> </w:t>
      </w:r>
      <w:r w:rsidR="00DD1DFA" w:rsidRPr="00DD1DFA">
        <w:rPr>
          <w:noProof/>
        </w:rPr>
        <w:t>pri</w:t>
      </w:r>
      <w:r w:rsidR="00031CE5" w:rsidRPr="00DD1DFA">
        <w:rPr>
          <w:noProof/>
        </w:rPr>
        <w:t>orytety określone</w:t>
      </w:r>
      <w:r w:rsidR="00DD1DFA" w:rsidRPr="00DD1DFA">
        <w:rPr>
          <w:noProof/>
        </w:rPr>
        <w:t xml:space="preserve"> w</w:t>
      </w:r>
      <w:r w:rsidR="00DD1DFA">
        <w:rPr>
          <w:noProof/>
        </w:rPr>
        <w:t> </w:t>
      </w:r>
      <w:r w:rsidR="00DD1DFA" w:rsidRPr="00DD1DFA">
        <w:rPr>
          <w:noProof/>
        </w:rPr>
        <w:t>por</w:t>
      </w:r>
      <w:r w:rsidR="00031CE5" w:rsidRPr="00DD1DFA">
        <w:rPr>
          <w:noProof/>
        </w:rPr>
        <w:t>ozumieniu z ADCO Komisja:</w:t>
      </w:r>
    </w:p>
    <w:p w14:paraId="645F7127" w14:textId="560B04B0" w:rsidR="00031CE5" w:rsidRPr="00DD1DFA" w:rsidRDefault="003C1401" w:rsidP="003C1401">
      <w:pPr>
        <w:pStyle w:val="Point1"/>
        <w:rPr>
          <w:noProof/>
        </w:rPr>
      </w:pPr>
      <w:r w:rsidRPr="003C1401">
        <w:rPr>
          <w:noProof/>
        </w:rPr>
        <w:t>a)</w:t>
      </w:r>
      <w:r w:rsidRPr="003C1401">
        <w:rPr>
          <w:noProof/>
        </w:rPr>
        <w:tab/>
      </w:r>
      <w:r w:rsidR="00031CE5" w:rsidRPr="00DD1DFA">
        <w:rPr>
          <w:noProof/>
        </w:rPr>
        <w:t>organizuje wspólne projekty</w:t>
      </w:r>
      <w:r w:rsidR="00DD1DFA" w:rsidRPr="00DD1DFA">
        <w:rPr>
          <w:noProof/>
        </w:rPr>
        <w:t xml:space="preserve"> z</w:t>
      </w:r>
      <w:r w:rsidR="00DD1DFA">
        <w:rPr>
          <w:noProof/>
        </w:rPr>
        <w:t> </w:t>
      </w:r>
      <w:r w:rsidR="00DD1DFA" w:rsidRPr="00DD1DFA">
        <w:rPr>
          <w:noProof/>
        </w:rPr>
        <w:t>zak</w:t>
      </w:r>
      <w:r w:rsidR="00031CE5" w:rsidRPr="00DD1DFA">
        <w:rPr>
          <w:noProof/>
        </w:rPr>
        <w:t>resu nadzoru rynku</w:t>
      </w:r>
      <w:r w:rsidR="00DD1DFA" w:rsidRPr="00DD1DFA">
        <w:rPr>
          <w:noProof/>
        </w:rPr>
        <w:t xml:space="preserve"> i</w:t>
      </w:r>
      <w:r w:rsidR="00DD1DFA">
        <w:rPr>
          <w:noProof/>
        </w:rPr>
        <w:t> </w:t>
      </w:r>
      <w:r w:rsidR="00DD1DFA" w:rsidRPr="00DD1DFA">
        <w:rPr>
          <w:noProof/>
        </w:rPr>
        <w:t>pro</w:t>
      </w:r>
      <w:r w:rsidR="00031CE5" w:rsidRPr="00DD1DFA">
        <w:rPr>
          <w:noProof/>
        </w:rPr>
        <w:t>jekty badawcze</w:t>
      </w:r>
      <w:r w:rsidR="00DD1DFA" w:rsidRPr="00DD1DFA">
        <w:rPr>
          <w:noProof/>
        </w:rPr>
        <w:t xml:space="preserve"> w</w:t>
      </w:r>
      <w:r w:rsidR="00DD1DFA">
        <w:rPr>
          <w:noProof/>
        </w:rPr>
        <w:t> </w:t>
      </w:r>
      <w:r w:rsidR="00DD1DFA" w:rsidRPr="00DD1DFA">
        <w:rPr>
          <w:noProof/>
        </w:rPr>
        <w:t>obs</w:t>
      </w:r>
      <w:r w:rsidR="00031CE5" w:rsidRPr="00DD1DFA">
        <w:rPr>
          <w:noProof/>
        </w:rPr>
        <w:t>zarach będących przedmiotem wspólnego zainteresowania;</w:t>
      </w:r>
    </w:p>
    <w:p w14:paraId="3C84E43F" w14:textId="5D9E14B7" w:rsidR="00031CE5" w:rsidRPr="00DD1DFA" w:rsidRDefault="003C1401" w:rsidP="003C1401">
      <w:pPr>
        <w:pStyle w:val="Point1"/>
        <w:rPr>
          <w:noProof/>
        </w:rPr>
      </w:pPr>
      <w:r w:rsidRPr="003C1401">
        <w:rPr>
          <w:noProof/>
        </w:rPr>
        <w:t>b)</w:t>
      </w:r>
      <w:r w:rsidRPr="003C1401">
        <w:rPr>
          <w:noProof/>
        </w:rPr>
        <w:tab/>
      </w:r>
      <w:r w:rsidR="00031CE5" w:rsidRPr="00DD1DFA">
        <w:rPr>
          <w:noProof/>
        </w:rPr>
        <w:t>organizuje wspólne inwestycje</w:t>
      </w:r>
      <w:r w:rsidR="00DD1DFA" w:rsidRPr="00DD1DFA">
        <w:rPr>
          <w:noProof/>
        </w:rPr>
        <w:t xml:space="preserve"> w</w:t>
      </w:r>
      <w:r w:rsidR="00DD1DFA">
        <w:rPr>
          <w:noProof/>
        </w:rPr>
        <w:t> </w:t>
      </w:r>
      <w:r w:rsidR="00DD1DFA" w:rsidRPr="00DD1DFA">
        <w:rPr>
          <w:noProof/>
        </w:rPr>
        <w:t>zdo</w:t>
      </w:r>
      <w:r w:rsidR="00031CE5" w:rsidRPr="00DD1DFA">
        <w:rPr>
          <w:noProof/>
        </w:rPr>
        <w:t>lności</w:t>
      </w:r>
      <w:r w:rsidR="00DD1DFA" w:rsidRPr="00DD1DFA">
        <w:rPr>
          <w:noProof/>
        </w:rPr>
        <w:t xml:space="preserve"> w</w:t>
      </w:r>
      <w:r w:rsidR="00DD1DFA">
        <w:rPr>
          <w:noProof/>
        </w:rPr>
        <w:t> </w:t>
      </w:r>
      <w:r w:rsidR="00DD1DFA" w:rsidRPr="00DD1DFA">
        <w:rPr>
          <w:noProof/>
        </w:rPr>
        <w:t>zak</w:t>
      </w:r>
      <w:r w:rsidR="00031CE5" w:rsidRPr="00DD1DFA">
        <w:rPr>
          <w:noProof/>
        </w:rPr>
        <w:t>resie nadzoru rynku,</w:t>
      </w:r>
      <w:r w:rsidR="00DD1DFA" w:rsidRPr="00DD1DFA">
        <w:rPr>
          <w:noProof/>
        </w:rPr>
        <w:t xml:space="preserve"> w</w:t>
      </w:r>
      <w:r w:rsidR="00DD1DFA">
        <w:rPr>
          <w:noProof/>
        </w:rPr>
        <w:t> </w:t>
      </w:r>
      <w:r w:rsidR="00DD1DFA" w:rsidRPr="00DD1DFA">
        <w:rPr>
          <w:noProof/>
        </w:rPr>
        <w:t>tym w</w:t>
      </w:r>
      <w:r w:rsidR="00DD1DFA">
        <w:rPr>
          <w:noProof/>
        </w:rPr>
        <w:t> </w:t>
      </w:r>
      <w:r w:rsidR="00DD1DFA" w:rsidRPr="00DD1DFA">
        <w:rPr>
          <w:noProof/>
        </w:rPr>
        <w:t>spr</w:t>
      </w:r>
      <w:r w:rsidR="00031CE5" w:rsidRPr="00DD1DFA">
        <w:rPr>
          <w:noProof/>
        </w:rPr>
        <w:t>zęt</w:t>
      </w:r>
      <w:r w:rsidR="00DD1DFA" w:rsidRPr="00DD1DFA">
        <w:rPr>
          <w:noProof/>
        </w:rPr>
        <w:t xml:space="preserve"> i</w:t>
      </w:r>
      <w:r w:rsidR="00DD1DFA">
        <w:rPr>
          <w:noProof/>
        </w:rPr>
        <w:t> </w:t>
      </w:r>
      <w:r w:rsidR="00DD1DFA" w:rsidRPr="00DD1DFA">
        <w:rPr>
          <w:noProof/>
        </w:rPr>
        <w:t>nar</w:t>
      </w:r>
      <w:r w:rsidR="00031CE5" w:rsidRPr="00DD1DFA">
        <w:rPr>
          <w:noProof/>
        </w:rPr>
        <w:t>zędzia informatyczne;</w:t>
      </w:r>
    </w:p>
    <w:p w14:paraId="5135211F" w14:textId="45434768" w:rsidR="00031CE5" w:rsidRPr="00DD1DFA" w:rsidRDefault="003C1401" w:rsidP="003C1401">
      <w:pPr>
        <w:pStyle w:val="Point1"/>
        <w:rPr>
          <w:noProof/>
        </w:rPr>
      </w:pPr>
      <w:r w:rsidRPr="003C1401">
        <w:rPr>
          <w:noProof/>
        </w:rPr>
        <w:t>c)</w:t>
      </w:r>
      <w:r w:rsidRPr="003C1401">
        <w:rPr>
          <w:noProof/>
        </w:rPr>
        <w:tab/>
      </w:r>
      <w:r w:rsidR="00031CE5" w:rsidRPr="00DD1DFA">
        <w:rPr>
          <w:noProof/>
        </w:rPr>
        <w:t>organizuje wspólne szkolenia dla pracowników organów nadzoru rynku, organów notyfikujących</w:t>
      </w:r>
      <w:r w:rsidR="00DD1DFA" w:rsidRPr="00DD1DFA">
        <w:rPr>
          <w:noProof/>
        </w:rPr>
        <w:t xml:space="preserve"> i</w:t>
      </w:r>
      <w:r w:rsidR="00DD1DFA">
        <w:rPr>
          <w:noProof/>
        </w:rPr>
        <w:t> </w:t>
      </w:r>
      <w:r w:rsidR="00DD1DFA" w:rsidRPr="00DD1DFA">
        <w:rPr>
          <w:noProof/>
        </w:rPr>
        <w:t>jed</w:t>
      </w:r>
      <w:r w:rsidR="00031CE5" w:rsidRPr="00DD1DFA">
        <w:rPr>
          <w:noProof/>
        </w:rPr>
        <w:t>nostek notyfikowanych,</w:t>
      </w:r>
      <w:r w:rsidR="00DD1DFA" w:rsidRPr="00DD1DFA">
        <w:rPr>
          <w:noProof/>
        </w:rPr>
        <w:t xml:space="preserve"> w</w:t>
      </w:r>
      <w:r w:rsidR="00DD1DFA">
        <w:rPr>
          <w:noProof/>
        </w:rPr>
        <w:t> </w:t>
      </w:r>
      <w:r w:rsidR="00DD1DFA" w:rsidRPr="00DD1DFA">
        <w:rPr>
          <w:noProof/>
        </w:rPr>
        <w:t>tym w</w:t>
      </w:r>
      <w:r w:rsidR="00DD1DFA">
        <w:rPr>
          <w:noProof/>
        </w:rPr>
        <w:t> </w:t>
      </w:r>
      <w:r w:rsidR="00DD1DFA" w:rsidRPr="00DD1DFA">
        <w:rPr>
          <w:noProof/>
        </w:rPr>
        <w:t>zak</w:t>
      </w:r>
      <w:r w:rsidR="00031CE5" w:rsidRPr="00DD1DFA">
        <w:rPr>
          <w:noProof/>
        </w:rPr>
        <w:t>resie prawidłowej interpretacji</w:t>
      </w:r>
      <w:r w:rsidR="00DD1DFA" w:rsidRPr="00DD1DFA">
        <w:rPr>
          <w:noProof/>
        </w:rPr>
        <w:t xml:space="preserve"> i</w:t>
      </w:r>
      <w:r w:rsidR="00DD1DFA">
        <w:rPr>
          <w:noProof/>
        </w:rPr>
        <w:t> </w:t>
      </w:r>
      <w:r w:rsidR="00DD1DFA" w:rsidRPr="00DD1DFA">
        <w:rPr>
          <w:noProof/>
        </w:rPr>
        <w:t>pra</w:t>
      </w:r>
      <w:r w:rsidR="00031CE5" w:rsidRPr="00DD1DFA">
        <w:rPr>
          <w:noProof/>
        </w:rPr>
        <w:t>widłowego stosowania niniejszego rozporządzenia oraz metod</w:t>
      </w:r>
      <w:r w:rsidR="00DD1DFA" w:rsidRPr="00DD1DFA">
        <w:rPr>
          <w:noProof/>
        </w:rPr>
        <w:t xml:space="preserve"> i</w:t>
      </w:r>
      <w:r w:rsidR="00DD1DFA">
        <w:rPr>
          <w:noProof/>
        </w:rPr>
        <w:t> </w:t>
      </w:r>
      <w:r w:rsidR="00DD1DFA" w:rsidRPr="00DD1DFA">
        <w:rPr>
          <w:noProof/>
        </w:rPr>
        <w:t>tec</w:t>
      </w:r>
      <w:r w:rsidR="00031CE5" w:rsidRPr="00DD1DFA">
        <w:rPr>
          <w:noProof/>
        </w:rPr>
        <w:t>hnik mających znaczenie dla stosowania lub sprawdzania zgodności</w:t>
      </w:r>
      <w:r w:rsidR="00DD1DFA" w:rsidRPr="00DD1DFA">
        <w:rPr>
          <w:noProof/>
        </w:rPr>
        <w:t xml:space="preserve"> z</w:t>
      </w:r>
      <w:r w:rsidR="00DD1DFA">
        <w:rPr>
          <w:noProof/>
        </w:rPr>
        <w:t> </w:t>
      </w:r>
      <w:r w:rsidR="00DD1DFA" w:rsidRPr="00DD1DFA">
        <w:rPr>
          <w:noProof/>
        </w:rPr>
        <w:t>nin</w:t>
      </w:r>
      <w:r w:rsidR="00031CE5" w:rsidRPr="00DD1DFA">
        <w:rPr>
          <w:noProof/>
        </w:rPr>
        <w:t xml:space="preserve">iejszym rozporządzeniem; </w:t>
      </w:r>
    </w:p>
    <w:p w14:paraId="7E44931A" w14:textId="0DDEA9B0" w:rsidR="00031CE5" w:rsidRPr="00DD1DFA" w:rsidRDefault="003C1401" w:rsidP="003C1401">
      <w:pPr>
        <w:pStyle w:val="Point1"/>
        <w:rPr>
          <w:noProof/>
        </w:rPr>
      </w:pPr>
      <w:r w:rsidRPr="003C1401">
        <w:rPr>
          <w:noProof/>
        </w:rPr>
        <w:t>d)</w:t>
      </w:r>
      <w:r w:rsidRPr="003C1401">
        <w:rPr>
          <w:noProof/>
        </w:rPr>
        <w:tab/>
      </w:r>
      <w:r w:rsidR="00031CE5" w:rsidRPr="00DD1DFA">
        <w:rPr>
          <w:noProof/>
        </w:rPr>
        <w:t>opracowuje wytyczne dotyczące stosowania</w:t>
      </w:r>
      <w:r w:rsidR="00DD1DFA" w:rsidRPr="00DD1DFA">
        <w:rPr>
          <w:noProof/>
        </w:rPr>
        <w:t xml:space="preserve"> i</w:t>
      </w:r>
      <w:r w:rsidR="00DD1DFA">
        <w:rPr>
          <w:noProof/>
        </w:rPr>
        <w:t> </w:t>
      </w:r>
      <w:r w:rsidR="00DD1DFA" w:rsidRPr="00DD1DFA">
        <w:rPr>
          <w:noProof/>
        </w:rPr>
        <w:t>egz</w:t>
      </w:r>
      <w:r w:rsidR="00031CE5" w:rsidRPr="00DD1DFA">
        <w:rPr>
          <w:noProof/>
        </w:rPr>
        <w:t>ekwowania wymogów</w:t>
      </w:r>
      <w:r w:rsidR="00DD1DFA" w:rsidRPr="00DD1DFA">
        <w:rPr>
          <w:noProof/>
        </w:rPr>
        <w:t xml:space="preserve"> i</w:t>
      </w:r>
      <w:r w:rsidR="00DD1DFA">
        <w:rPr>
          <w:noProof/>
        </w:rPr>
        <w:t> </w:t>
      </w:r>
      <w:r w:rsidR="00DD1DFA" w:rsidRPr="00DD1DFA">
        <w:rPr>
          <w:noProof/>
        </w:rPr>
        <w:t>obo</w:t>
      </w:r>
      <w:r w:rsidR="00031CE5" w:rsidRPr="00DD1DFA">
        <w:rPr>
          <w:noProof/>
        </w:rPr>
        <w:t>wiązków określonych</w:t>
      </w:r>
      <w:r w:rsidR="00DD1DFA" w:rsidRPr="00DD1DFA">
        <w:rPr>
          <w:noProof/>
        </w:rPr>
        <w:t xml:space="preserve"> w</w:t>
      </w:r>
      <w:r w:rsidR="00DD1DFA">
        <w:rPr>
          <w:noProof/>
        </w:rPr>
        <w:t> </w:t>
      </w:r>
      <w:r w:rsidR="00DD1DFA" w:rsidRPr="00DD1DFA">
        <w:rPr>
          <w:noProof/>
        </w:rPr>
        <w:t>akt</w:t>
      </w:r>
      <w:r w:rsidR="00031CE5" w:rsidRPr="00DD1DFA">
        <w:rPr>
          <w:noProof/>
        </w:rPr>
        <w:t>ach delegowanych,</w:t>
      </w:r>
      <w:r w:rsidR="00DD1DFA" w:rsidRPr="00DD1DFA">
        <w:rPr>
          <w:noProof/>
        </w:rPr>
        <w:t xml:space="preserve"> o</w:t>
      </w:r>
      <w:r w:rsidR="00DD1DFA">
        <w:rPr>
          <w:noProof/>
        </w:rPr>
        <w:t> </w:t>
      </w:r>
      <w:r w:rsidR="00DD1DFA" w:rsidRPr="00DD1DFA">
        <w:rPr>
          <w:noProof/>
        </w:rPr>
        <w:t>któ</w:t>
      </w:r>
      <w:r w:rsidR="00031CE5" w:rsidRPr="00DD1DFA">
        <w:rPr>
          <w:noProof/>
        </w:rPr>
        <w:t>rych mowa</w:t>
      </w:r>
      <w:r w:rsidR="00DD1DFA" w:rsidRPr="00DD1DFA">
        <w:rPr>
          <w:noProof/>
        </w:rPr>
        <w:t xml:space="preserve"> w</w:t>
      </w:r>
      <w:r w:rsidR="00DD1DFA">
        <w:rPr>
          <w:noProof/>
        </w:rPr>
        <w:t> </w:t>
      </w:r>
      <w:r w:rsidR="00DD1DFA" w:rsidRPr="00DD1DFA">
        <w:rPr>
          <w:noProof/>
        </w:rPr>
        <w:t>art</w:t>
      </w:r>
      <w:r w:rsidR="00031CE5" w:rsidRPr="00DD1DFA">
        <w:rPr>
          <w:noProof/>
        </w:rPr>
        <w:t>.</w:t>
      </w:r>
      <w:r w:rsidR="00DD1DFA" w:rsidRPr="00DD1DFA">
        <w:rPr>
          <w:noProof/>
        </w:rPr>
        <w:t> </w:t>
      </w:r>
      <w:r w:rsidR="00031CE5" w:rsidRPr="00DD1DFA">
        <w:rPr>
          <w:noProof/>
        </w:rPr>
        <w:t>4 ust.</w:t>
      </w:r>
      <w:r w:rsidR="00DD1DFA" w:rsidRPr="00DD1DFA">
        <w:rPr>
          <w:noProof/>
        </w:rPr>
        <w:t> </w:t>
      </w:r>
      <w:r w:rsidR="00031CE5" w:rsidRPr="00DD1DFA">
        <w:rPr>
          <w:noProof/>
        </w:rPr>
        <w:t>3</w:t>
      </w:r>
      <w:r w:rsidR="00DD1DFA" w:rsidRPr="00DD1DFA">
        <w:rPr>
          <w:noProof/>
        </w:rPr>
        <w:t xml:space="preserve"> i</w:t>
      </w:r>
      <w:r w:rsidR="00DD1DFA">
        <w:rPr>
          <w:noProof/>
        </w:rPr>
        <w:t> </w:t>
      </w:r>
      <w:r w:rsidR="00DD1DFA" w:rsidRPr="00DD1DFA">
        <w:rPr>
          <w:noProof/>
        </w:rPr>
        <w:t>4</w:t>
      </w:r>
      <w:r w:rsidR="00031CE5" w:rsidRPr="00DD1DFA">
        <w:rPr>
          <w:noProof/>
        </w:rPr>
        <w:t xml:space="preserve"> oraz</w:t>
      </w:r>
      <w:r w:rsidR="00DD1DFA" w:rsidRPr="00DD1DFA">
        <w:rPr>
          <w:noProof/>
        </w:rPr>
        <w:t xml:space="preserve"> w</w:t>
      </w:r>
      <w:r w:rsidR="00DD1DFA">
        <w:rPr>
          <w:noProof/>
        </w:rPr>
        <w:t> </w:t>
      </w:r>
      <w:r w:rsidR="00DD1DFA" w:rsidRPr="00DD1DFA">
        <w:rPr>
          <w:noProof/>
        </w:rPr>
        <w:t>art</w:t>
      </w:r>
      <w:r w:rsidR="00031CE5" w:rsidRPr="00DD1DFA">
        <w:rPr>
          <w:noProof/>
        </w:rPr>
        <w:t>.</w:t>
      </w:r>
      <w:r w:rsidR="00DD1DFA" w:rsidRPr="00DD1DFA">
        <w:rPr>
          <w:noProof/>
        </w:rPr>
        <w:t> </w:t>
      </w:r>
      <w:r w:rsidR="00031CE5" w:rsidRPr="00DD1DFA">
        <w:rPr>
          <w:noProof/>
        </w:rPr>
        <w:t>5 ust.</w:t>
      </w:r>
      <w:r w:rsidR="00DD1DFA" w:rsidRPr="00DD1DFA">
        <w:rPr>
          <w:noProof/>
        </w:rPr>
        <w:t> </w:t>
      </w:r>
      <w:r w:rsidR="00031CE5" w:rsidRPr="00DD1DFA">
        <w:rPr>
          <w:noProof/>
        </w:rPr>
        <w:t>2</w:t>
      </w:r>
      <w:r w:rsidR="00DD1DFA" w:rsidRPr="00DD1DFA">
        <w:rPr>
          <w:noProof/>
        </w:rPr>
        <w:t xml:space="preserve"> i</w:t>
      </w:r>
      <w:r w:rsidR="00DD1DFA">
        <w:rPr>
          <w:noProof/>
        </w:rPr>
        <w:t> </w:t>
      </w:r>
      <w:r w:rsidR="00DD1DFA" w:rsidRPr="00DD1DFA">
        <w:rPr>
          <w:noProof/>
        </w:rPr>
        <w:t>3</w:t>
      </w:r>
      <w:r w:rsidR="00031CE5" w:rsidRPr="00DD1DFA">
        <w:rPr>
          <w:noProof/>
        </w:rPr>
        <w:t>,</w:t>
      </w:r>
      <w:r w:rsidR="00DD1DFA" w:rsidRPr="00DD1DFA">
        <w:rPr>
          <w:noProof/>
        </w:rPr>
        <w:t xml:space="preserve"> a</w:t>
      </w:r>
      <w:r w:rsidR="00DD1DFA">
        <w:rPr>
          <w:noProof/>
        </w:rPr>
        <w:t> </w:t>
      </w:r>
      <w:r w:rsidR="00DD1DFA" w:rsidRPr="00DD1DFA">
        <w:rPr>
          <w:noProof/>
        </w:rPr>
        <w:t>tak</w:t>
      </w:r>
      <w:r w:rsidR="00031CE5" w:rsidRPr="00DD1DFA">
        <w:rPr>
          <w:noProof/>
        </w:rPr>
        <w:t>że</w:t>
      </w:r>
      <w:r w:rsidR="00DD1DFA" w:rsidRPr="00DD1DFA">
        <w:rPr>
          <w:noProof/>
        </w:rPr>
        <w:t xml:space="preserve"> w</w:t>
      </w:r>
      <w:r w:rsidR="00DD1DFA">
        <w:rPr>
          <w:noProof/>
        </w:rPr>
        <w:t> </w:t>
      </w:r>
      <w:r w:rsidR="00DD1DFA" w:rsidRPr="00DD1DFA">
        <w:rPr>
          <w:noProof/>
        </w:rPr>
        <w:t>akt</w:t>
      </w:r>
      <w:r w:rsidR="00031CE5" w:rsidRPr="00DD1DFA">
        <w:rPr>
          <w:noProof/>
        </w:rPr>
        <w:t>ach delegowanych,</w:t>
      </w:r>
      <w:r w:rsidR="00DD1DFA" w:rsidRPr="00DD1DFA">
        <w:rPr>
          <w:noProof/>
        </w:rPr>
        <w:t xml:space="preserve"> o</w:t>
      </w:r>
      <w:r w:rsidR="00DD1DFA">
        <w:rPr>
          <w:noProof/>
        </w:rPr>
        <w:t> </w:t>
      </w:r>
      <w:r w:rsidR="00DD1DFA" w:rsidRPr="00DD1DFA">
        <w:rPr>
          <w:noProof/>
        </w:rPr>
        <w:t>któ</w:t>
      </w:r>
      <w:r w:rsidR="00031CE5" w:rsidRPr="00DD1DFA">
        <w:rPr>
          <w:noProof/>
        </w:rPr>
        <w:t>rych mowa</w:t>
      </w:r>
      <w:r w:rsidR="00DD1DFA" w:rsidRPr="00DD1DFA">
        <w:rPr>
          <w:noProof/>
        </w:rPr>
        <w:t xml:space="preserve"> w</w:t>
      </w:r>
      <w:r w:rsidR="00DD1DFA">
        <w:rPr>
          <w:noProof/>
        </w:rPr>
        <w:t> </w:t>
      </w:r>
      <w:r w:rsidR="00DD1DFA" w:rsidRPr="00DD1DFA">
        <w:rPr>
          <w:noProof/>
        </w:rPr>
        <w:t>art</w:t>
      </w:r>
      <w:r w:rsidR="00031CE5" w:rsidRPr="00DD1DFA">
        <w:rPr>
          <w:noProof/>
        </w:rPr>
        <w:t>.</w:t>
      </w:r>
      <w:r w:rsidR="00DD1DFA" w:rsidRPr="00DD1DFA">
        <w:rPr>
          <w:noProof/>
        </w:rPr>
        <w:t> </w:t>
      </w:r>
      <w:r w:rsidR="00031CE5" w:rsidRPr="00DD1DFA">
        <w:rPr>
          <w:noProof/>
        </w:rPr>
        <w:t>22 ust.</w:t>
      </w:r>
      <w:r w:rsidR="00DD1DFA" w:rsidRPr="00DD1DFA">
        <w:rPr>
          <w:noProof/>
        </w:rPr>
        <w:t> </w:t>
      </w:r>
      <w:r w:rsidR="00031CE5" w:rsidRPr="00DD1DFA">
        <w:rPr>
          <w:noProof/>
        </w:rPr>
        <w:t>4,</w:t>
      </w:r>
      <w:r w:rsidR="00DD1DFA" w:rsidRPr="00DD1DFA">
        <w:rPr>
          <w:noProof/>
        </w:rPr>
        <w:t xml:space="preserve"> w</w:t>
      </w:r>
      <w:r w:rsidR="00DD1DFA">
        <w:rPr>
          <w:noProof/>
        </w:rPr>
        <w:t> </w:t>
      </w:r>
      <w:r w:rsidR="00DD1DFA" w:rsidRPr="00DD1DFA">
        <w:rPr>
          <w:noProof/>
        </w:rPr>
        <w:t>tym</w:t>
      </w:r>
      <w:r w:rsidR="00031CE5" w:rsidRPr="00DD1DFA">
        <w:rPr>
          <w:noProof/>
        </w:rPr>
        <w:t xml:space="preserve"> wspólne praktyki</w:t>
      </w:r>
      <w:r w:rsidR="00DD1DFA" w:rsidRPr="00DD1DFA">
        <w:rPr>
          <w:noProof/>
        </w:rPr>
        <w:t xml:space="preserve"> i</w:t>
      </w:r>
      <w:r w:rsidR="00DD1DFA">
        <w:rPr>
          <w:noProof/>
        </w:rPr>
        <w:t> </w:t>
      </w:r>
      <w:r w:rsidR="00DD1DFA" w:rsidRPr="00DD1DFA">
        <w:rPr>
          <w:noProof/>
        </w:rPr>
        <w:t>met</w:t>
      </w:r>
      <w:r w:rsidR="00031CE5" w:rsidRPr="00DD1DFA">
        <w:rPr>
          <w:noProof/>
        </w:rPr>
        <w:t>odyki dotyczące skutecznego nadzoru rynku.</w:t>
      </w:r>
    </w:p>
    <w:p w14:paraId="27CC3B6A" w14:textId="74D595BF" w:rsidR="00031CE5" w:rsidRPr="00DD1DFA" w:rsidRDefault="00031CE5" w:rsidP="00031CE5">
      <w:pPr>
        <w:pStyle w:val="Text1"/>
        <w:rPr>
          <w:noProof/>
        </w:rPr>
      </w:pPr>
      <w:r w:rsidRPr="00DD1DFA">
        <w:rPr>
          <w:noProof/>
        </w:rPr>
        <w:t>W stosownych przypadkach Unia finansuje działania,</w:t>
      </w:r>
      <w:r w:rsidR="00DD1DFA" w:rsidRPr="00DD1DFA">
        <w:rPr>
          <w:noProof/>
        </w:rPr>
        <w:t xml:space="preserve"> o</w:t>
      </w:r>
      <w:r w:rsidR="00DD1DFA">
        <w:rPr>
          <w:noProof/>
        </w:rPr>
        <w:t> </w:t>
      </w:r>
      <w:r w:rsidR="00DD1DFA" w:rsidRPr="00DD1DFA">
        <w:rPr>
          <w:noProof/>
        </w:rPr>
        <w:t>któ</w:t>
      </w:r>
      <w:r w:rsidRPr="00DD1DFA">
        <w:rPr>
          <w:noProof/>
        </w:rPr>
        <w:t>rych mowa</w:t>
      </w:r>
      <w:r w:rsidR="00DD1DFA" w:rsidRPr="00DD1DFA">
        <w:rPr>
          <w:noProof/>
        </w:rPr>
        <w:t xml:space="preserve"> w</w:t>
      </w:r>
      <w:r w:rsidR="00DD1DFA">
        <w:rPr>
          <w:noProof/>
        </w:rPr>
        <w:t> </w:t>
      </w:r>
      <w:r w:rsidR="00DD1DFA" w:rsidRPr="00DD1DFA">
        <w:rPr>
          <w:noProof/>
        </w:rPr>
        <w:t>lit</w:t>
      </w:r>
      <w:r w:rsidRPr="00DD1DFA">
        <w:rPr>
          <w:noProof/>
        </w:rPr>
        <w:t>.</w:t>
      </w:r>
      <w:r w:rsidR="00DD1DFA" w:rsidRPr="00DD1DFA">
        <w:rPr>
          <w:noProof/>
        </w:rPr>
        <w:t> </w:t>
      </w:r>
      <w:r w:rsidRPr="00DD1DFA">
        <w:rPr>
          <w:noProof/>
        </w:rPr>
        <w:t xml:space="preserve">a), b) i c). </w:t>
      </w:r>
    </w:p>
    <w:p w14:paraId="61102BCB" w14:textId="7B6F0F57" w:rsidR="00031CE5" w:rsidRPr="00DD1DFA" w:rsidRDefault="005F7EFA" w:rsidP="005F7EFA">
      <w:pPr>
        <w:pStyle w:val="ManualNumPar1"/>
        <w:rPr>
          <w:noProof/>
        </w:rPr>
      </w:pPr>
      <w:r w:rsidRPr="005F7EFA">
        <w:t>3.</w:t>
      </w:r>
      <w:r w:rsidRPr="005F7EFA">
        <w:tab/>
      </w:r>
      <w:r w:rsidR="00031CE5" w:rsidRPr="00DD1DFA">
        <w:rPr>
          <w:noProof/>
        </w:rPr>
        <w:t>Komisja zapewnia wsparcie techniczne</w:t>
      </w:r>
      <w:r w:rsidR="00DD1DFA" w:rsidRPr="00DD1DFA">
        <w:rPr>
          <w:noProof/>
        </w:rPr>
        <w:t xml:space="preserve"> i</w:t>
      </w:r>
      <w:r w:rsidR="00DD1DFA">
        <w:rPr>
          <w:noProof/>
        </w:rPr>
        <w:t> </w:t>
      </w:r>
      <w:r w:rsidR="00DD1DFA" w:rsidRPr="00DD1DFA">
        <w:rPr>
          <w:noProof/>
        </w:rPr>
        <w:t>log</w:t>
      </w:r>
      <w:r w:rsidR="00031CE5" w:rsidRPr="00DD1DFA">
        <w:rPr>
          <w:noProof/>
        </w:rPr>
        <w:t>istyczne, aby ADCO mogła wypełniać swoje zadania określone</w:t>
      </w:r>
      <w:r w:rsidR="00DD1DFA" w:rsidRPr="00DD1DFA">
        <w:rPr>
          <w:noProof/>
        </w:rPr>
        <w:t xml:space="preserve"> w</w:t>
      </w:r>
      <w:r w:rsidR="00DD1DFA">
        <w:rPr>
          <w:noProof/>
        </w:rPr>
        <w:t> </w:t>
      </w:r>
      <w:r w:rsidR="00DD1DFA" w:rsidRPr="00DD1DFA">
        <w:rPr>
          <w:noProof/>
        </w:rPr>
        <w:t>art</w:t>
      </w:r>
      <w:r w:rsidR="00031CE5" w:rsidRPr="00DD1DFA">
        <w:rPr>
          <w:noProof/>
        </w:rPr>
        <w:t>.</w:t>
      </w:r>
      <w:r w:rsidR="00DD1DFA" w:rsidRPr="00DD1DFA">
        <w:rPr>
          <w:noProof/>
        </w:rPr>
        <w:t> </w:t>
      </w:r>
      <w:r w:rsidR="00031CE5" w:rsidRPr="00DD1DFA">
        <w:rPr>
          <w:noProof/>
        </w:rPr>
        <w:t>32 rozporządzenia (UE) 2019/1020</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nin</w:t>
      </w:r>
      <w:r w:rsidR="00031CE5" w:rsidRPr="00DD1DFA">
        <w:rPr>
          <w:noProof/>
        </w:rPr>
        <w:t>iejszym artykule.</w:t>
      </w:r>
    </w:p>
    <w:p w14:paraId="446D063A" w14:textId="77777777" w:rsidR="00031CE5" w:rsidRPr="00DD1DFA" w:rsidRDefault="00031CE5" w:rsidP="00031CE5">
      <w:pPr>
        <w:pStyle w:val="Titrearticle"/>
        <w:rPr>
          <w:noProof/>
        </w:rPr>
      </w:pPr>
      <w:r w:rsidRPr="00DD1DFA">
        <w:rPr>
          <w:noProof/>
        </w:rPr>
        <w:t>Artykuł 75</w:t>
      </w:r>
    </w:p>
    <w:p w14:paraId="2594C619" w14:textId="77777777" w:rsidR="00031CE5" w:rsidRPr="00DD1DFA" w:rsidRDefault="00031CE5" w:rsidP="00031CE5">
      <w:pPr>
        <w:pStyle w:val="Titrearticle"/>
        <w:rPr>
          <w:b/>
          <w:noProof/>
        </w:rPr>
      </w:pPr>
      <w:r w:rsidRPr="00DD1DFA">
        <w:rPr>
          <w:b/>
          <w:noProof/>
        </w:rPr>
        <w:t>Zwrot kosztów</w:t>
      </w:r>
    </w:p>
    <w:p w14:paraId="57807D8E" w14:textId="667FDDB9" w:rsidR="00031CE5" w:rsidRPr="00DD1DFA" w:rsidRDefault="00031CE5" w:rsidP="00031CE5">
      <w:pPr>
        <w:rPr>
          <w:noProof/>
        </w:rPr>
      </w:pPr>
      <w:r w:rsidRPr="00DD1DFA">
        <w:rPr>
          <w:noProof/>
        </w:rPr>
        <w:t>Organy nadzoru rynku mają prawo do odzyskania od podmiotów gospodarczych będących</w:t>
      </w:r>
      <w:r w:rsidR="00DD1DFA" w:rsidRPr="00DD1DFA">
        <w:rPr>
          <w:noProof/>
        </w:rPr>
        <w:t xml:space="preserve"> w</w:t>
      </w:r>
      <w:r w:rsidR="00DD1DFA">
        <w:rPr>
          <w:noProof/>
        </w:rPr>
        <w:t> </w:t>
      </w:r>
      <w:r w:rsidR="00DD1DFA" w:rsidRPr="00DD1DFA">
        <w:rPr>
          <w:noProof/>
        </w:rPr>
        <w:t>pos</w:t>
      </w:r>
      <w:r w:rsidRPr="00DD1DFA">
        <w:rPr>
          <w:noProof/>
        </w:rPr>
        <w:t>iadaniu wyrobu niezgodnego</w:t>
      </w:r>
      <w:r w:rsidR="00DD1DFA" w:rsidRPr="00DD1DFA">
        <w:rPr>
          <w:noProof/>
        </w:rPr>
        <w:t xml:space="preserve"> z</w:t>
      </w:r>
      <w:r w:rsidR="00DD1DFA">
        <w:rPr>
          <w:noProof/>
        </w:rPr>
        <w:t> </w:t>
      </w:r>
      <w:r w:rsidR="00DD1DFA" w:rsidRPr="00DD1DFA">
        <w:rPr>
          <w:noProof/>
        </w:rPr>
        <w:t>wym</w:t>
      </w:r>
      <w:r w:rsidRPr="00DD1DFA">
        <w:rPr>
          <w:noProof/>
        </w:rPr>
        <w:t>ogami lub od producenta kosztów kontroli dokumentów</w:t>
      </w:r>
      <w:r w:rsidR="00DD1DFA" w:rsidRPr="00DD1DFA">
        <w:rPr>
          <w:noProof/>
        </w:rPr>
        <w:t xml:space="preserve"> i</w:t>
      </w:r>
      <w:r w:rsidR="00DD1DFA">
        <w:rPr>
          <w:noProof/>
        </w:rPr>
        <w:t> </w:t>
      </w:r>
      <w:r w:rsidR="00DD1DFA" w:rsidRPr="00DD1DFA">
        <w:rPr>
          <w:noProof/>
        </w:rPr>
        <w:t>fiz</w:t>
      </w:r>
      <w:r w:rsidRPr="00DD1DFA">
        <w:rPr>
          <w:noProof/>
        </w:rPr>
        <w:t>ycznego badania wyrobu.</w:t>
      </w:r>
    </w:p>
    <w:p w14:paraId="775D8D92" w14:textId="77777777" w:rsidR="00031CE5" w:rsidRPr="00DD1DFA" w:rsidRDefault="00031CE5" w:rsidP="00031CE5">
      <w:pPr>
        <w:pStyle w:val="Titrearticle"/>
        <w:rPr>
          <w:noProof/>
        </w:rPr>
      </w:pPr>
      <w:r w:rsidRPr="00DD1DFA">
        <w:rPr>
          <w:noProof/>
        </w:rPr>
        <w:t>Artykuł 76</w:t>
      </w:r>
    </w:p>
    <w:p w14:paraId="5B0D03D6" w14:textId="68A48193" w:rsidR="00031CE5" w:rsidRPr="00DD1DFA" w:rsidRDefault="00031CE5" w:rsidP="00031CE5">
      <w:pPr>
        <w:pStyle w:val="Titrearticle"/>
        <w:rPr>
          <w:b/>
          <w:noProof/>
        </w:rPr>
      </w:pPr>
      <w:r w:rsidRPr="00DD1DFA">
        <w:rPr>
          <w:b/>
          <w:noProof/>
        </w:rPr>
        <w:t>Sprawozdawczość</w:t>
      </w:r>
      <w:r w:rsidR="00DD1DFA" w:rsidRPr="00DD1DFA">
        <w:rPr>
          <w:b/>
          <w:noProof/>
        </w:rPr>
        <w:t xml:space="preserve"> i</w:t>
      </w:r>
      <w:r w:rsidR="00DD1DFA">
        <w:rPr>
          <w:b/>
          <w:noProof/>
        </w:rPr>
        <w:t> </w:t>
      </w:r>
      <w:r w:rsidR="00DD1DFA" w:rsidRPr="00DD1DFA">
        <w:rPr>
          <w:b/>
          <w:noProof/>
        </w:rPr>
        <w:t>ana</w:t>
      </w:r>
      <w:r w:rsidRPr="00DD1DFA">
        <w:rPr>
          <w:b/>
          <w:noProof/>
        </w:rPr>
        <w:t>liza porównawcza</w:t>
      </w:r>
    </w:p>
    <w:p w14:paraId="1D5914DE" w14:textId="0F1A34FA" w:rsidR="00031CE5" w:rsidRPr="00DD1DFA" w:rsidRDefault="005F7EFA" w:rsidP="005F7EFA">
      <w:pPr>
        <w:pStyle w:val="ManualNumPar1"/>
        <w:rPr>
          <w:noProof/>
        </w:rPr>
      </w:pPr>
      <w:r w:rsidRPr="005F7EFA">
        <w:t>1.</w:t>
      </w:r>
      <w:r w:rsidRPr="005F7EFA">
        <w:tab/>
      </w:r>
      <w:r w:rsidR="00031CE5" w:rsidRPr="00DD1DFA">
        <w:rPr>
          <w:noProof/>
        </w:rPr>
        <w:t>Organy nadzoru rynku wprowadzają do systemu informacyjnego</w:t>
      </w:r>
      <w:r w:rsidR="00DD1DFA" w:rsidRPr="00DD1DFA">
        <w:rPr>
          <w:noProof/>
        </w:rPr>
        <w:t xml:space="preserve"> i</w:t>
      </w:r>
      <w:r w:rsidR="00DD1DFA">
        <w:rPr>
          <w:noProof/>
        </w:rPr>
        <w:t> </w:t>
      </w:r>
      <w:r w:rsidR="00DD1DFA" w:rsidRPr="00DD1DFA">
        <w:rPr>
          <w:noProof/>
        </w:rPr>
        <w:t>kom</w:t>
      </w:r>
      <w:r w:rsidR="00031CE5" w:rsidRPr="00DD1DFA">
        <w:rPr>
          <w:noProof/>
        </w:rPr>
        <w:t>unikacyjnego,</w:t>
      </w:r>
      <w:r w:rsidR="00DD1DFA" w:rsidRPr="00DD1DFA">
        <w:rPr>
          <w:noProof/>
        </w:rPr>
        <w:t xml:space="preserve"> o</w:t>
      </w:r>
      <w:r w:rsidR="00DD1DFA">
        <w:rPr>
          <w:noProof/>
        </w:rPr>
        <w:t> </w:t>
      </w:r>
      <w:r w:rsidR="00DD1DFA" w:rsidRPr="00DD1DFA">
        <w:rPr>
          <w:noProof/>
        </w:rPr>
        <w:t>któ</w:t>
      </w:r>
      <w:r w:rsidR="00031CE5" w:rsidRPr="00DD1DFA">
        <w:rPr>
          <w:noProof/>
        </w:rPr>
        <w:t>rym mowa</w:t>
      </w:r>
      <w:r w:rsidR="00DD1DFA" w:rsidRPr="00DD1DFA">
        <w:rPr>
          <w:noProof/>
        </w:rPr>
        <w:t xml:space="preserve"> w</w:t>
      </w:r>
      <w:r w:rsidR="00DD1DFA">
        <w:rPr>
          <w:noProof/>
        </w:rPr>
        <w:t> </w:t>
      </w:r>
      <w:r w:rsidR="00DD1DFA" w:rsidRPr="00DD1DFA">
        <w:rPr>
          <w:noProof/>
        </w:rPr>
        <w:t>art</w:t>
      </w:r>
      <w:r w:rsidR="00031CE5" w:rsidRPr="00DD1DFA">
        <w:rPr>
          <w:noProof/>
        </w:rPr>
        <w:t>.</w:t>
      </w:r>
      <w:r w:rsidR="00DD1DFA" w:rsidRPr="00DD1DFA">
        <w:rPr>
          <w:noProof/>
        </w:rPr>
        <w:t> </w:t>
      </w:r>
      <w:r w:rsidR="00031CE5" w:rsidRPr="00DD1DFA">
        <w:rPr>
          <w:noProof/>
        </w:rPr>
        <w:t>34 rozporządzenia (UE) 2019/1020</w:t>
      </w:r>
      <w:r w:rsidR="00DD1DFA" w:rsidRPr="00DD1DFA">
        <w:rPr>
          <w:noProof/>
        </w:rPr>
        <w:t xml:space="preserve">, </w:t>
      </w:r>
      <w:r w:rsidR="00031CE5" w:rsidRPr="00DD1DFA">
        <w:rPr>
          <w:noProof/>
        </w:rPr>
        <w:t>informacje na temat charakteru</w:t>
      </w:r>
      <w:r w:rsidR="00DD1DFA" w:rsidRPr="00DD1DFA">
        <w:rPr>
          <w:noProof/>
        </w:rPr>
        <w:t xml:space="preserve"> i</w:t>
      </w:r>
      <w:r w:rsidR="00DD1DFA">
        <w:rPr>
          <w:noProof/>
        </w:rPr>
        <w:t> </w:t>
      </w:r>
      <w:r w:rsidR="00DD1DFA" w:rsidRPr="00DD1DFA">
        <w:rPr>
          <w:noProof/>
        </w:rPr>
        <w:t>sur</w:t>
      </w:r>
      <w:r w:rsidR="00031CE5" w:rsidRPr="00DD1DFA">
        <w:rPr>
          <w:noProof/>
        </w:rPr>
        <w:t>owości wszelkich sankcji nałożonych</w:t>
      </w:r>
      <w:r w:rsidR="00DD1DFA" w:rsidRPr="00DD1DFA">
        <w:rPr>
          <w:noProof/>
        </w:rPr>
        <w:t xml:space="preserve"> w</w:t>
      </w:r>
      <w:r w:rsidR="00DD1DFA">
        <w:rPr>
          <w:noProof/>
        </w:rPr>
        <w:t> </w:t>
      </w:r>
      <w:r w:rsidR="00DD1DFA" w:rsidRPr="00DD1DFA">
        <w:rPr>
          <w:noProof/>
        </w:rPr>
        <w:t>zwi</w:t>
      </w:r>
      <w:r w:rsidR="00031CE5" w:rsidRPr="00DD1DFA">
        <w:rPr>
          <w:noProof/>
        </w:rPr>
        <w:t>ązku</w:t>
      </w:r>
      <w:r w:rsidR="00DD1DFA" w:rsidRPr="00DD1DFA">
        <w:rPr>
          <w:noProof/>
        </w:rPr>
        <w:t xml:space="preserve"> z</w:t>
      </w:r>
      <w:r w:rsidR="00DD1DFA">
        <w:rPr>
          <w:noProof/>
        </w:rPr>
        <w:t> </w:t>
      </w:r>
      <w:r w:rsidR="00DD1DFA" w:rsidRPr="00DD1DFA">
        <w:rPr>
          <w:noProof/>
        </w:rPr>
        <w:t>nie</w:t>
      </w:r>
      <w:r w:rsidR="00031CE5" w:rsidRPr="00DD1DFA">
        <w:rPr>
          <w:noProof/>
        </w:rPr>
        <w:t>przestrzeganiem przepisów niniejszego rozporządzenia.</w:t>
      </w:r>
    </w:p>
    <w:p w14:paraId="7D82403E" w14:textId="7953636D" w:rsidR="00031CE5" w:rsidRPr="00DD1DFA" w:rsidRDefault="005F7EFA" w:rsidP="005F7EFA">
      <w:pPr>
        <w:pStyle w:val="ManualNumPar1"/>
        <w:rPr>
          <w:noProof/>
        </w:rPr>
      </w:pPr>
      <w:r w:rsidRPr="005F7EFA">
        <w:t>2.</w:t>
      </w:r>
      <w:r w:rsidRPr="005F7EFA">
        <w:tab/>
      </w:r>
      <w:r w:rsidR="00031CE5" w:rsidRPr="00DD1DFA">
        <w:rPr>
          <w:noProof/>
        </w:rPr>
        <w:t>Co dwa lata, do</w:t>
      </w:r>
      <w:r w:rsidR="00DD1DFA" w:rsidRPr="00DD1DFA">
        <w:rPr>
          <w:noProof/>
        </w:rPr>
        <w:t> </w:t>
      </w:r>
      <w:r w:rsidR="00031CE5" w:rsidRPr="00DD1DFA">
        <w:rPr>
          <w:noProof/>
        </w:rPr>
        <w:t>30 czerwca, Komisja sporządza sprawozdanie na podstawie informacji wprowadzonych przez organy nadzoru rynku do systemu informacyjnego</w:t>
      </w:r>
      <w:r w:rsidR="00DD1DFA" w:rsidRPr="00DD1DFA">
        <w:rPr>
          <w:noProof/>
        </w:rPr>
        <w:t xml:space="preserve"> i</w:t>
      </w:r>
      <w:r w:rsidR="00DD1DFA">
        <w:rPr>
          <w:noProof/>
        </w:rPr>
        <w:t> </w:t>
      </w:r>
      <w:r w:rsidR="00DD1DFA" w:rsidRPr="00DD1DFA">
        <w:rPr>
          <w:noProof/>
        </w:rPr>
        <w:t>kom</w:t>
      </w:r>
      <w:r w:rsidR="00031CE5" w:rsidRPr="00DD1DFA">
        <w:rPr>
          <w:noProof/>
        </w:rPr>
        <w:t>unikacyjnego,</w:t>
      </w:r>
      <w:r w:rsidR="00DD1DFA" w:rsidRPr="00DD1DFA">
        <w:rPr>
          <w:noProof/>
        </w:rPr>
        <w:t xml:space="preserve"> o</w:t>
      </w:r>
      <w:r w:rsidR="00DD1DFA">
        <w:rPr>
          <w:noProof/>
        </w:rPr>
        <w:t> </w:t>
      </w:r>
      <w:r w:rsidR="00DD1DFA" w:rsidRPr="00DD1DFA">
        <w:rPr>
          <w:noProof/>
        </w:rPr>
        <w:t>któ</w:t>
      </w:r>
      <w:r w:rsidR="00031CE5" w:rsidRPr="00DD1DFA">
        <w:rPr>
          <w:noProof/>
        </w:rPr>
        <w:t>rym mowa</w:t>
      </w:r>
      <w:r w:rsidR="00DD1DFA" w:rsidRPr="00DD1DFA">
        <w:rPr>
          <w:noProof/>
        </w:rPr>
        <w:t xml:space="preserve"> w</w:t>
      </w:r>
      <w:r w:rsidR="00DD1DFA">
        <w:rPr>
          <w:noProof/>
        </w:rPr>
        <w:t> </w:t>
      </w:r>
      <w:r w:rsidR="00DD1DFA" w:rsidRPr="00DD1DFA">
        <w:rPr>
          <w:noProof/>
        </w:rPr>
        <w:t>art</w:t>
      </w:r>
      <w:r w:rsidR="00031CE5" w:rsidRPr="00DD1DFA">
        <w:rPr>
          <w:noProof/>
        </w:rPr>
        <w:t>.</w:t>
      </w:r>
      <w:r w:rsidR="00DD1DFA" w:rsidRPr="00DD1DFA">
        <w:rPr>
          <w:noProof/>
        </w:rPr>
        <w:t> </w:t>
      </w:r>
      <w:r w:rsidR="00031CE5" w:rsidRPr="00DD1DFA">
        <w:rPr>
          <w:noProof/>
        </w:rPr>
        <w:t>34 rozporządzenia (UE) 2019/1020. Pierwsze</w:t>
      </w:r>
      <w:r w:rsidR="00DD1DFA" w:rsidRPr="00DD1DFA">
        <w:rPr>
          <w:noProof/>
        </w:rPr>
        <w:t xml:space="preserve"> z</w:t>
      </w:r>
      <w:r w:rsidR="00DD1DFA">
        <w:rPr>
          <w:noProof/>
        </w:rPr>
        <w:t> </w:t>
      </w:r>
      <w:r w:rsidR="00DD1DFA" w:rsidRPr="00DD1DFA">
        <w:rPr>
          <w:noProof/>
        </w:rPr>
        <w:t>tyc</w:t>
      </w:r>
      <w:r w:rsidR="00031CE5" w:rsidRPr="00DD1DFA">
        <w:rPr>
          <w:noProof/>
        </w:rPr>
        <w:t>h sprawozdań zostanie opublikowane do [</w:t>
      </w:r>
      <w:r w:rsidR="00031CE5" w:rsidRPr="00DD1DFA">
        <w:rPr>
          <w:i/>
          <w:noProof/>
        </w:rPr>
        <w:t>Urząd Publikacji Unii Europejskiej: należy wstawić datę: dwa lata od daty rozpoczęcia stosowania niniejszego rozporządzenia</w:t>
      </w:r>
      <w:r w:rsidR="00031CE5" w:rsidRPr="00DD1DFA">
        <w:rPr>
          <w:noProof/>
        </w:rPr>
        <w:t>].</w:t>
      </w:r>
    </w:p>
    <w:p w14:paraId="08E78230" w14:textId="77777777" w:rsidR="00031CE5" w:rsidRPr="00DD1DFA" w:rsidRDefault="00031CE5" w:rsidP="00031CE5">
      <w:pPr>
        <w:pStyle w:val="Text1"/>
        <w:rPr>
          <w:noProof/>
        </w:rPr>
      </w:pPr>
      <w:r w:rsidRPr="00DD1DFA">
        <w:rPr>
          <w:noProof/>
        </w:rPr>
        <w:t xml:space="preserve">Sprawozdanie to obejmuje: </w:t>
      </w:r>
    </w:p>
    <w:p w14:paraId="347A2210" w14:textId="4F8F0E4D" w:rsidR="00031CE5" w:rsidRPr="00DD1DFA" w:rsidRDefault="003C1401" w:rsidP="003C1401">
      <w:pPr>
        <w:pStyle w:val="Point1"/>
        <w:rPr>
          <w:noProof/>
        </w:rPr>
      </w:pPr>
      <w:r w:rsidRPr="003C1401">
        <w:rPr>
          <w:noProof/>
        </w:rPr>
        <w:t>a)</w:t>
      </w:r>
      <w:r w:rsidRPr="003C1401">
        <w:rPr>
          <w:noProof/>
        </w:rPr>
        <w:tab/>
      </w:r>
      <w:r w:rsidR="00031CE5" w:rsidRPr="00DD1DFA">
        <w:rPr>
          <w:noProof/>
        </w:rPr>
        <w:t>informacje na temat charakteru</w:t>
      </w:r>
      <w:r w:rsidR="00DD1DFA" w:rsidRPr="00DD1DFA">
        <w:rPr>
          <w:noProof/>
        </w:rPr>
        <w:t xml:space="preserve"> i</w:t>
      </w:r>
      <w:r w:rsidR="00DD1DFA">
        <w:rPr>
          <w:noProof/>
        </w:rPr>
        <w:t> </w:t>
      </w:r>
      <w:r w:rsidR="00DD1DFA" w:rsidRPr="00DD1DFA">
        <w:rPr>
          <w:noProof/>
        </w:rPr>
        <w:t>lic</w:t>
      </w:r>
      <w:r w:rsidR="00031CE5" w:rsidRPr="00DD1DFA">
        <w:rPr>
          <w:noProof/>
        </w:rPr>
        <w:t>zby kontroli przeprowadzonych przez organy nadzoru rynku</w:t>
      </w:r>
      <w:r w:rsidR="00DD1DFA" w:rsidRPr="00DD1DFA">
        <w:rPr>
          <w:noProof/>
        </w:rPr>
        <w:t xml:space="preserve"> w</w:t>
      </w:r>
      <w:r w:rsidR="00DD1DFA">
        <w:rPr>
          <w:noProof/>
        </w:rPr>
        <w:t> </w:t>
      </w:r>
      <w:r w:rsidR="00DD1DFA" w:rsidRPr="00DD1DFA">
        <w:rPr>
          <w:noProof/>
        </w:rPr>
        <w:t>cią</w:t>
      </w:r>
      <w:r w:rsidR="00031CE5" w:rsidRPr="00DD1DFA">
        <w:rPr>
          <w:noProof/>
        </w:rPr>
        <w:t>gu dwóch poprzednich lat kalendarzowych na podstawie art.</w:t>
      </w:r>
      <w:r w:rsidR="00DD1DFA" w:rsidRPr="00DD1DFA">
        <w:rPr>
          <w:noProof/>
        </w:rPr>
        <w:t> </w:t>
      </w:r>
      <w:r w:rsidR="00031CE5" w:rsidRPr="00DD1DFA">
        <w:rPr>
          <w:noProof/>
        </w:rPr>
        <w:t>34 ust.</w:t>
      </w:r>
      <w:r w:rsidR="00DD1DFA" w:rsidRPr="00DD1DFA">
        <w:rPr>
          <w:noProof/>
        </w:rPr>
        <w:t> </w:t>
      </w:r>
      <w:r w:rsidR="00031CE5" w:rsidRPr="00DD1DFA">
        <w:rPr>
          <w:noProof/>
        </w:rPr>
        <w:t>4</w:t>
      </w:r>
      <w:r w:rsidR="00DD1DFA" w:rsidRPr="00DD1DFA">
        <w:rPr>
          <w:noProof/>
        </w:rPr>
        <w:t xml:space="preserve"> i</w:t>
      </w:r>
      <w:r w:rsidR="00DD1DFA">
        <w:rPr>
          <w:noProof/>
        </w:rPr>
        <w:t> </w:t>
      </w:r>
      <w:r w:rsidR="00DD1DFA" w:rsidRPr="00DD1DFA">
        <w:rPr>
          <w:noProof/>
        </w:rPr>
        <w:t>5</w:t>
      </w:r>
      <w:r w:rsidR="00031CE5" w:rsidRPr="00DD1DFA">
        <w:rPr>
          <w:noProof/>
        </w:rPr>
        <w:t xml:space="preserve"> rozporządzenia (UE) 2019/1020; </w:t>
      </w:r>
    </w:p>
    <w:p w14:paraId="4C79833F" w14:textId="0BFF9163" w:rsidR="00031CE5" w:rsidRPr="00DD1DFA" w:rsidRDefault="003C1401" w:rsidP="003C1401">
      <w:pPr>
        <w:pStyle w:val="Point1"/>
        <w:rPr>
          <w:noProof/>
        </w:rPr>
      </w:pPr>
      <w:r w:rsidRPr="003C1401">
        <w:rPr>
          <w:noProof/>
        </w:rPr>
        <w:t>b)</w:t>
      </w:r>
      <w:r w:rsidRPr="003C1401">
        <w:rPr>
          <w:noProof/>
        </w:rPr>
        <w:tab/>
      </w:r>
      <w:r w:rsidR="00031CE5" w:rsidRPr="00DD1DFA">
        <w:rPr>
          <w:noProof/>
        </w:rPr>
        <w:t>informacje na temat stwierdzonych poziomów niezgodności oraz charakteru</w:t>
      </w:r>
      <w:r w:rsidR="00DD1DFA" w:rsidRPr="00DD1DFA">
        <w:rPr>
          <w:noProof/>
        </w:rPr>
        <w:t xml:space="preserve"> i</w:t>
      </w:r>
      <w:r w:rsidR="00DD1DFA">
        <w:rPr>
          <w:noProof/>
        </w:rPr>
        <w:t> </w:t>
      </w:r>
      <w:r w:rsidR="00DD1DFA" w:rsidRPr="00DD1DFA">
        <w:rPr>
          <w:noProof/>
        </w:rPr>
        <w:t>sur</w:t>
      </w:r>
      <w:r w:rsidR="00031CE5" w:rsidRPr="00DD1DFA">
        <w:rPr>
          <w:noProof/>
        </w:rPr>
        <w:t>owości sankcji nałożonych za dwa poprzednie lata kalendarzowe</w:t>
      </w:r>
      <w:r w:rsidR="00DD1DFA" w:rsidRPr="00DD1DFA">
        <w:rPr>
          <w:noProof/>
        </w:rPr>
        <w:t xml:space="preserve"> w</w:t>
      </w:r>
      <w:r w:rsidR="00DD1DFA">
        <w:rPr>
          <w:noProof/>
        </w:rPr>
        <w:t> </w:t>
      </w:r>
      <w:r w:rsidR="00DD1DFA" w:rsidRPr="00DD1DFA">
        <w:rPr>
          <w:noProof/>
        </w:rPr>
        <w:t>odn</w:t>
      </w:r>
      <w:r w:rsidR="00031CE5" w:rsidRPr="00DD1DFA">
        <w:rPr>
          <w:noProof/>
        </w:rPr>
        <w:t>iesieniu do wyrobów objętych aktami delegowanymi przyjętymi na podstawie art.</w:t>
      </w:r>
      <w:r w:rsidR="00DD1DFA" w:rsidRPr="00DD1DFA">
        <w:rPr>
          <w:noProof/>
        </w:rPr>
        <w:t> </w:t>
      </w:r>
      <w:r w:rsidR="00031CE5" w:rsidRPr="00DD1DFA">
        <w:rPr>
          <w:noProof/>
        </w:rPr>
        <w:t>4, 5, 6</w:t>
      </w:r>
      <w:r w:rsidR="00DD1DFA" w:rsidRPr="00DD1DFA">
        <w:rPr>
          <w:noProof/>
        </w:rPr>
        <w:t xml:space="preserve"> i</w:t>
      </w:r>
      <w:r w:rsidR="00DD1DFA">
        <w:rPr>
          <w:noProof/>
        </w:rPr>
        <w:t> </w:t>
      </w:r>
      <w:r w:rsidR="00DD1DFA" w:rsidRPr="00DD1DFA">
        <w:rPr>
          <w:noProof/>
        </w:rPr>
        <w:t>2</w:t>
      </w:r>
      <w:r w:rsidR="00031CE5" w:rsidRPr="00DD1DFA">
        <w:rPr>
          <w:noProof/>
        </w:rPr>
        <w:t>2 niniejszego rozporządzenia;</w:t>
      </w:r>
    </w:p>
    <w:p w14:paraId="6CACF401" w14:textId="4F76854B" w:rsidR="00031CE5" w:rsidRPr="00DD1DFA" w:rsidRDefault="003C1401" w:rsidP="003C1401">
      <w:pPr>
        <w:pStyle w:val="Point1"/>
        <w:rPr>
          <w:noProof/>
        </w:rPr>
      </w:pPr>
      <w:r w:rsidRPr="003C1401">
        <w:rPr>
          <w:noProof/>
        </w:rPr>
        <w:t>c)</w:t>
      </w:r>
      <w:r w:rsidRPr="003C1401">
        <w:rPr>
          <w:noProof/>
        </w:rPr>
        <w:tab/>
      </w:r>
      <w:r w:rsidR="00031CE5" w:rsidRPr="00DD1DFA">
        <w:rPr>
          <w:noProof/>
        </w:rPr>
        <w:t>orientacyjne poziomy referencyjne dla organów nadzoru rynku dotyczące częstotliwości kontroli oraz charakteru</w:t>
      </w:r>
      <w:r w:rsidR="00DD1DFA" w:rsidRPr="00DD1DFA">
        <w:rPr>
          <w:noProof/>
        </w:rPr>
        <w:t xml:space="preserve"> i</w:t>
      </w:r>
      <w:r w:rsidR="00DD1DFA">
        <w:rPr>
          <w:noProof/>
        </w:rPr>
        <w:t> </w:t>
      </w:r>
      <w:r w:rsidR="00DD1DFA" w:rsidRPr="00DD1DFA">
        <w:rPr>
          <w:noProof/>
        </w:rPr>
        <w:t>sur</w:t>
      </w:r>
      <w:r w:rsidR="00031CE5" w:rsidRPr="00DD1DFA">
        <w:rPr>
          <w:noProof/>
        </w:rPr>
        <w:t xml:space="preserve">owości nakładanych sankcji. </w:t>
      </w:r>
    </w:p>
    <w:p w14:paraId="4219CEB0" w14:textId="7D4C75E2" w:rsidR="00031CE5" w:rsidRPr="00DD1DFA" w:rsidRDefault="005F7EFA" w:rsidP="005F7EFA">
      <w:pPr>
        <w:pStyle w:val="ManualNumPar1"/>
        <w:rPr>
          <w:noProof/>
        </w:rPr>
      </w:pPr>
      <w:r w:rsidRPr="005F7EFA">
        <w:t>3.</w:t>
      </w:r>
      <w:r w:rsidRPr="005F7EFA">
        <w:tab/>
      </w:r>
      <w:r w:rsidR="00031CE5" w:rsidRPr="00DD1DFA">
        <w:rPr>
          <w:noProof/>
        </w:rPr>
        <w:t>Komisja publikuje sprawozdanie,</w:t>
      </w:r>
      <w:r w:rsidR="00DD1DFA" w:rsidRPr="00DD1DFA">
        <w:rPr>
          <w:noProof/>
        </w:rPr>
        <w:t xml:space="preserve"> o</w:t>
      </w:r>
      <w:r w:rsidR="00DD1DFA">
        <w:rPr>
          <w:noProof/>
        </w:rPr>
        <w:t> </w:t>
      </w:r>
      <w:r w:rsidR="00DD1DFA" w:rsidRPr="00DD1DFA">
        <w:rPr>
          <w:noProof/>
        </w:rPr>
        <w:t>któ</w:t>
      </w:r>
      <w:r w:rsidR="00031CE5" w:rsidRPr="00DD1DFA">
        <w:rPr>
          <w:noProof/>
        </w:rPr>
        <w:t>rym mowa</w:t>
      </w:r>
      <w:r w:rsidR="00DD1DFA" w:rsidRPr="00DD1DFA">
        <w:rPr>
          <w:noProof/>
        </w:rPr>
        <w:t xml:space="preserve"> w</w:t>
      </w:r>
      <w:r w:rsidR="00DD1DFA">
        <w:rPr>
          <w:noProof/>
        </w:rPr>
        <w:t> </w:t>
      </w:r>
      <w:r w:rsidR="00DD1DFA" w:rsidRPr="00DD1DFA">
        <w:rPr>
          <w:noProof/>
        </w:rPr>
        <w:t>ust</w:t>
      </w:r>
      <w:r w:rsidR="00031CE5" w:rsidRPr="00DD1DFA">
        <w:rPr>
          <w:noProof/>
        </w:rPr>
        <w:t>.</w:t>
      </w:r>
      <w:r w:rsidR="00DD1DFA" w:rsidRPr="00DD1DFA">
        <w:rPr>
          <w:noProof/>
        </w:rPr>
        <w:t> </w:t>
      </w:r>
      <w:r w:rsidR="00031CE5" w:rsidRPr="00DD1DFA">
        <w:rPr>
          <w:noProof/>
        </w:rPr>
        <w:t>2 niniejszego artykułu,</w:t>
      </w:r>
      <w:r w:rsidR="00DD1DFA" w:rsidRPr="00DD1DFA">
        <w:rPr>
          <w:noProof/>
        </w:rPr>
        <w:t xml:space="preserve"> w</w:t>
      </w:r>
      <w:r w:rsidR="00DD1DFA">
        <w:rPr>
          <w:noProof/>
        </w:rPr>
        <w:t> </w:t>
      </w:r>
      <w:r w:rsidR="00DD1DFA" w:rsidRPr="00DD1DFA">
        <w:rPr>
          <w:noProof/>
        </w:rPr>
        <w:t>sys</w:t>
      </w:r>
      <w:r w:rsidR="00031CE5" w:rsidRPr="00DD1DFA">
        <w:rPr>
          <w:noProof/>
        </w:rPr>
        <w:t>temie informacyjnym</w:t>
      </w:r>
      <w:r w:rsidR="00DD1DFA" w:rsidRPr="00DD1DFA">
        <w:rPr>
          <w:noProof/>
        </w:rPr>
        <w:t xml:space="preserve"> i</w:t>
      </w:r>
      <w:r w:rsidR="00DD1DFA">
        <w:rPr>
          <w:noProof/>
        </w:rPr>
        <w:t> </w:t>
      </w:r>
      <w:r w:rsidR="00DD1DFA" w:rsidRPr="00DD1DFA">
        <w:rPr>
          <w:noProof/>
        </w:rPr>
        <w:t>kom</w:t>
      </w:r>
      <w:r w:rsidR="00031CE5" w:rsidRPr="00DD1DFA">
        <w:rPr>
          <w:noProof/>
        </w:rPr>
        <w:t>unikacyjnym,</w:t>
      </w:r>
      <w:r w:rsidR="00DD1DFA" w:rsidRPr="00DD1DFA">
        <w:rPr>
          <w:noProof/>
        </w:rPr>
        <w:t xml:space="preserve"> o</w:t>
      </w:r>
      <w:r w:rsidR="00DD1DFA">
        <w:rPr>
          <w:noProof/>
        </w:rPr>
        <w:t> </w:t>
      </w:r>
      <w:r w:rsidR="00DD1DFA" w:rsidRPr="00DD1DFA">
        <w:rPr>
          <w:noProof/>
        </w:rPr>
        <w:t>któ</w:t>
      </w:r>
      <w:r w:rsidR="00031CE5" w:rsidRPr="00DD1DFA">
        <w:rPr>
          <w:noProof/>
        </w:rPr>
        <w:t>rym mowa</w:t>
      </w:r>
      <w:r w:rsidR="00DD1DFA" w:rsidRPr="00DD1DFA">
        <w:rPr>
          <w:noProof/>
        </w:rPr>
        <w:t xml:space="preserve"> w</w:t>
      </w:r>
      <w:r w:rsidR="00DD1DFA">
        <w:rPr>
          <w:noProof/>
        </w:rPr>
        <w:t> </w:t>
      </w:r>
      <w:r w:rsidR="00DD1DFA" w:rsidRPr="00DD1DFA">
        <w:rPr>
          <w:noProof/>
        </w:rPr>
        <w:t>art</w:t>
      </w:r>
      <w:r w:rsidR="00031CE5" w:rsidRPr="00DD1DFA">
        <w:rPr>
          <w:noProof/>
        </w:rPr>
        <w:t>.</w:t>
      </w:r>
      <w:r w:rsidR="00DD1DFA" w:rsidRPr="00DD1DFA">
        <w:rPr>
          <w:noProof/>
        </w:rPr>
        <w:t> </w:t>
      </w:r>
      <w:r w:rsidR="00031CE5" w:rsidRPr="00DD1DFA">
        <w:rPr>
          <w:noProof/>
        </w:rPr>
        <w:t>34 rozporządzenia (UE) 2019/1020, oraz podaje do wiadomości publicznej jego streszczenie.</w:t>
      </w:r>
    </w:p>
    <w:p w14:paraId="731B0762" w14:textId="77777777" w:rsidR="00031CE5" w:rsidRPr="00DD1DFA" w:rsidRDefault="00031CE5" w:rsidP="00031CE5">
      <w:pPr>
        <w:rPr>
          <w:noProof/>
          <w:lang w:eastAsia="en-GB"/>
        </w:rPr>
      </w:pPr>
    </w:p>
    <w:p w14:paraId="6EF72572" w14:textId="77777777" w:rsidR="009B78B2" w:rsidRPr="00DD1DFA" w:rsidRDefault="009B78B2" w:rsidP="009B78B2">
      <w:pPr>
        <w:pStyle w:val="ChapterTitle"/>
        <w:rPr>
          <w:rFonts w:ascii="Calibri" w:eastAsia="Calibri" w:hAnsi="Calibri" w:cs="DejaVu Sans"/>
          <w:noProof/>
          <w:color w:val="00000A"/>
          <w:sz w:val="24"/>
          <w:szCs w:val="24"/>
        </w:rPr>
      </w:pPr>
      <w:r w:rsidRPr="00DD1DFA">
        <w:rPr>
          <w:noProof/>
          <w:sz w:val="24"/>
          <w:szCs w:val="24"/>
        </w:rPr>
        <w:t>ROZDZIAŁ IX</w:t>
      </w:r>
    </w:p>
    <w:p w14:paraId="1A648785" w14:textId="77777777" w:rsidR="009B78B2" w:rsidRPr="00DD1DFA" w:rsidRDefault="00B93BDA" w:rsidP="009B78B2">
      <w:pPr>
        <w:pStyle w:val="ChapterTitle"/>
        <w:rPr>
          <w:rFonts w:ascii="Calibri" w:eastAsia="Calibri" w:hAnsi="Calibri" w:cs="DejaVu Sans"/>
          <w:noProof/>
          <w:color w:val="00000A"/>
          <w:sz w:val="24"/>
          <w:szCs w:val="24"/>
        </w:rPr>
      </w:pPr>
      <w:r w:rsidRPr="00DD1DFA">
        <w:rPr>
          <w:noProof/>
          <w:sz w:val="24"/>
          <w:szCs w:val="24"/>
        </w:rPr>
        <w:t>INFORMACJE I WSPÓŁPRACA ADMINISTRACYJNA</w:t>
      </w:r>
    </w:p>
    <w:p w14:paraId="1DAFAB99" w14:textId="77777777" w:rsidR="00BC1E12" w:rsidRPr="00DD1DFA" w:rsidRDefault="00B93BDA" w:rsidP="005B2085">
      <w:pPr>
        <w:pStyle w:val="Titrearticle"/>
        <w:rPr>
          <w:noProof/>
        </w:rPr>
      </w:pPr>
      <w:r w:rsidRPr="00DD1DFA">
        <w:rPr>
          <w:noProof/>
        </w:rPr>
        <w:t>Artykuł 77</w:t>
      </w:r>
    </w:p>
    <w:p w14:paraId="7756BB7C" w14:textId="77777777" w:rsidR="00BC1E12" w:rsidRPr="00DD1DFA" w:rsidRDefault="00B93BDA" w:rsidP="005B2085">
      <w:pPr>
        <w:pStyle w:val="Titrearticle"/>
        <w:rPr>
          <w:b/>
          <w:noProof/>
        </w:rPr>
      </w:pPr>
      <w:r w:rsidRPr="00DD1DFA">
        <w:rPr>
          <w:b/>
          <w:noProof/>
        </w:rPr>
        <w:t>Systemy informacyjne na potrzeby zharmonizowanego podejmowania decyzji</w:t>
      </w:r>
    </w:p>
    <w:p w14:paraId="55637902" w14:textId="02010C96" w:rsidR="00B93BDA" w:rsidRPr="00DD1DFA" w:rsidRDefault="005F7EFA" w:rsidP="005F7EFA">
      <w:pPr>
        <w:pStyle w:val="ManualNumPar1"/>
        <w:rPr>
          <w:noProof/>
        </w:rPr>
      </w:pPr>
      <w:r w:rsidRPr="005F7EFA">
        <w:t>1.</w:t>
      </w:r>
      <w:r w:rsidRPr="005F7EFA">
        <w:tab/>
      </w:r>
      <w:r w:rsidR="00B93BDA" w:rsidRPr="00DD1DFA">
        <w:rPr>
          <w:noProof/>
        </w:rPr>
        <w:t>Komisja ustanawia</w:t>
      </w:r>
      <w:r w:rsidR="00DD1DFA" w:rsidRPr="00DD1DFA">
        <w:rPr>
          <w:noProof/>
        </w:rPr>
        <w:t xml:space="preserve"> i</w:t>
      </w:r>
      <w:r w:rsidR="00DD1DFA">
        <w:rPr>
          <w:noProof/>
        </w:rPr>
        <w:t> </w:t>
      </w:r>
      <w:r w:rsidR="00DD1DFA" w:rsidRPr="00DD1DFA">
        <w:rPr>
          <w:noProof/>
        </w:rPr>
        <w:t>utr</w:t>
      </w:r>
      <w:r w:rsidR="00B93BDA" w:rsidRPr="00DD1DFA">
        <w:rPr>
          <w:noProof/>
        </w:rPr>
        <w:t>zymuje system informacyjny</w:t>
      </w:r>
      <w:r w:rsidR="00DD1DFA" w:rsidRPr="00DD1DFA">
        <w:rPr>
          <w:noProof/>
        </w:rPr>
        <w:t xml:space="preserve"> i</w:t>
      </w:r>
      <w:r w:rsidR="00DD1DFA">
        <w:rPr>
          <w:noProof/>
        </w:rPr>
        <w:t> </w:t>
      </w:r>
      <w:r w:rsidR="00DD1DFA" w:rsidRPr="00DD1DFA">
        <w:rPr>
          <w:noProof/>
        </w:rPr>
        <w:t>kom</w:t>
      </w:r>
      <w:r w:rsidR="00B93BDA" w:rsidRPr="00DD1DFA">
        <w:rPr>
          <w:noProof/>
        </w:rPr>
        <w:t>unikacyjny służący do gromadzenia, przetwarzania</w:t>
      </w:r>
      <w:r w:rsidR="00DD1DFA" w:rsidRPr="00DD1DFA">
        <w:rPr>
          <w:noProof/>
        </w:rPr>
        <w:t xml:space="preserve"> i</w:t>
      </w:r>
      <w:r w:rsidR="00DD1DFA">
        <w:rPr>
          <w:noProof/>
        </w:rPr>
        <w:t> </w:t>
      </w:r>
      <w:r w:rsidR="00DD1DFA" w:rsidRPr="00DD1DFA">
        <w:rPr>
          <w:noProof/>
        </w:rPr>
        <w:t>prz</w:t>
      </w:r>
      <w:r w:rsidR="00B93BDA" w:rsidRPr="00DD1DFA">
        <w:rPr>
          <w:noProof/>
        </w:rPr>
        <w:t>echowywania</w:t>
      </w:r>
      <w:r w:rsidR="00DD1DFA" w:rsidRPr="00DD1DFA">
        <w:rPr>
          <w:noProof/>
        </w:rPr>
        <w:t xml:space="preserve"> w</w:t>
      </w:r>
      <w:r w:rsidR="00DD1DFA">
        <w:rPr>
          <w:noProof/>
        </w:rPr>
        <w:t> </w:t>
      </w:r>
      <w:r w:rsidR="00DD1DFA" w:rsidRPr="00DD1DFA">
        <w:rPr>
          <w:noProof/>
        </w:rPr>
        <w:t>upo</w:t>
      </w:r>
      <w:r w:rsidR="00B93BDA" w:rsidRPr="00DD1DFA">
        <w:rPr>
          <w:noProof/>
        </w:rPr>
        <w:t>rządkowany sposób informacji dotyczących kwestii związanych</w:t>
      </w:r>
      <w:r w:rsidR="00DD1DFA" w:rsidRPr="00DD1DFA">
        <w:rPr>
          <w:noProof/>
        </w:rPr>
        <w:t xml:space="preserve"> z</w:t>
      </w:r>
      <w:r w:rsidR="00DD1DFA">
        <w:rPr>
          <w:noProof/>
        </w:rPr>
        <w:t> </w:t>
      </w:r>
      <w:r w:rsidR="00DD1DFA" w:rsidRPr="00DD1DFA">
        <w:rPr>
          <w:noProof/>
        </w:rPr>
        <w:t>int</w:t>
      </w:r>
      <w:r w:rsidR="00B93BDA" w:rsidRPr="00DD1DFA">
        <w:rPr>
          <w:noProof/>
        </w:rPr>
        <w:t>erpretacją lub stosowaniem przepisów ustanowionych</w:t>
      </w:r>
      <w:r w:rsidR="00DD1DFA" w:rsidRPr="00DD1DFA">
        <w:rPr>
          <w:noProof/>
        </w:rPr>
        <w:t xml:space="preserve"> w</w:t>
      </w:r>
      <w:r w:rsidR="00DD1DFA">
        <w:rPr>
          <w:noProof/>
        </w:rPr>
        <w:t> </w:t>
      </w:r>
      <w:r w:rsidR="00DD1DFA" w:rsidRPr="00DD1DFA">
        <w:rPr>
          <w:noProof/>
        </w:rPr>
        <w:t>nin</w:t>
      </w:r>
      <w:r w:rsidR="00B93BDA" w:rsidRPr="00DD1DFA">
        <w:rPr>
          <w:noProof/>
        </w:rPr>
        <w:t>iejszym rozporządzeniu lub na jego podstawie,</w:t>
      </w:r>
      <w:r w:rsidR="00DD1DFA" w:rsidRPr="00DD1DFA">
        <w:rPr>
          <w:noProof/>
        </w:rPr>
        <w:t xml:space="preserve"> w</w:t>
      </w:r>
      <w:r w:rsidR="00DD1DFA">
        <w:rPr>
          <w:noProof/>
        </w:rPr>
        <w:t> </w:t>
      </w:r>
      <w:r w:rsidR="00DD1DFA" w:rsidRPr="00DD1DFA">
        <w:rPr>
          <w:noProof/>
        </w:rPr>
        <w:t>cel</w:t>
      </w:r>
      <w:r w:rsidR="00B93BDA" w:rsidRPr="00DD1DFA">
        <w:rPr>
          <w:noProof/>
        </w:rPr>
        <w:t>u zapewnienia zharmonizowanego stosowania tych przepisów.</w:t>
      </w:r>
    </w:p>
    <w:p w14:paraId="64263065" w14:textId="63AFD964" w:rsidR="00B93BDA" w:rsidRPr="00DD1DFA" w:rsidRDefault="00B93BDA" w:rsidP="00B93BDA">
      <w:pPr>
        <w:pStyle w:val="Text1"/>
        <w:rPr>
          <w:noProof/>
        </w:rPr>
      </w:pPr>
      <w:r w:rsidRPr="00DD1DFA">
        <w:rPr>
          <w:noProof/>
        </w:rPr>
        <w:t>Oprócz Komisji</w:t>
      </w:r>
      <w:r w:rsidR="00DD1DFA" w:rsidRPr="00DD1DFA">
        <w:rPr>
          <w:noProof/>
        </w:rPr>
        <w:t xml:space="preserve"> i</w:t>
      </w:r>
      <w:r w:rsidR="00DD1DFA">
        <w:rPr>
          <w:noProof/>
        </w:rPr>
        <w:t> </w:t>
      </w:r>
      <w:r w:rsidR="00DD1DFA" w:rsidRPr="00DD1DFA">
        <w:rPr>
          <w:noProof/>
        </w:rPr>
        <w:t>pań</w:t>
      </w:r>
      <w:r w:rsidRPr="00DD1DFA">
        <w:rPr>
          <w:noProof/>
        </w:rPr>
        <w:t>stw członkowskich dostęp do systemu informacyjnego</w:t>
      </w:r>
      <w:r w:rsidR="00DD1DFA" w:rsidRPr="00DD1DFA">
        <w:rPr>
          <w:noProof/>
        </w:rPr>
        <w:t xml:space="preserve"> i</w:t>
      </w:r>
      <w:r w:rsidR="00DD1DFA">
        <w:rPr>
          <w:noProof/>
        </w:rPr>
        <w:t> </w:t>
      </w:r>
      <w:r w:rsidR="00DD1DFA" w:rsidRPr="00DD1DFA">
        <w:rPr>
          <w:noProof/>
        </w:rPr>
        <w:t>kom</w:t>
      </w:r>
      <w:r w:rsidRPr="00DD1DFA">
        <w:rPr>
          <w:noProof/>
        </w:rPr>
        <w:t>unikacyjnego mają organy nadzoru rynku, jednolite urzędy łącznikowe wyznaczone na podstawie art.</w:t>
      </w:r>
      <w:r w:rsidR="00DD1DFA" w:rsidRPr="00DD1DFA">
        <w:rPr>
          <w:noProof/>
        </w:rPr>
        <w:t> </w:t>
      </w:r>
      <w:r w:rsidRPr="00DD1DFA">
        <w:rPr>
          <w:noProof/>
        </w:rPr>
        <w:t>10 ust.</w:t>
      </w:r>
      <w:r w:rsidR="00DD1DFA" w:rsidRPr="00DD1DFA">
        <w:rPr>
          <w:noProof/>
        </w:rPr>
        <w:t> </w:t>
      </w:r>
      <w:r w:rsidRPr="00DD1DFA">
        <w:rPr>
          <w:noProof/>
        </w:rPr>
        <w:t xml:space="preserve">3 </w:t>
      </w:r>
      <w:r w:rsidRPr="00DD1DFA">
        <w:rPr>
          <w:noProof/>
          <w:color w:val="00000A"/>
          <w:szCs w:val="24"/>
        </w:rPr>
        <w:t>rozporządzenia (UE) 2019/1020</w:t>
      </w:r>
      <w:r w:rsidRPr="00DD1DFA">
        <w:rPr>
          <w:noProof/>
        </w:rPr>
        <w:t>, organy wyznaczone na podstawie art.</w:t>
      </w:r>
      <w:r w:rsidR="00DD1DFA" w:rsidRPr="00DD1DFA">
        <w:rPr>
          <w:noProof/>
        </w:rPr>
        <w:t> </w:t>
      </w:r>
      <w:r w:rsidRPr="00DD1DFA">
        <w:rPr>
          <w:noProof/>
        </w:rPr>
        <w:t>25 ust.</w:t>
      </w:r>
      <w:r w:rsidR="00DD1DFA" w:rsidRPr="00DD1DFA">
        <w:rPr>
          <w:noProof/>
        </w:rPr>
        <w:t> </w:t>
      </w:r>
      <w:r w:rsidRPr="00DD1DFA">
        <w:rPr>
          <w:noProof/>
        </w:rPr>
        <w:t xml:space="preserve">1 </w:t>
      </w:r>
      <w:r w:rsidRPr="00DD1DFA">
        <w:rPr>
          <w:noProof/>
          <w:color w:val="00000A"/>
          <w:szCs w:val="24"/>
        </w:rPr>
        <w:t>rozporządzenia (UE) 2019/1020</w:t>
      </w:r>
      <w:r w:rsidRPr="00DD1DFA">
        <w:rPr>
          <w:noProof/>
        </w:rPr>
        <w:t>, organy notyfikujące, jednostki notyfikowane oraz punkty kontaktowe ds. wyrobów budowlanych</w:t>
      </w:r>
      <w:r w:rsidR="00DD1DFA" w:rsidRPr="00DD1DFA">
        <w:rPr>
          <w:noProof/>
        </w:rPr>
        <w:t>. W</w:t>
      </w:r>
      <w:r w:rsidR="00DD1DFA">
        <w:rPr>
          <w:noProof/>
        </w:rPr>
        <w:t> </w:t>
      </w:r>
      <w:r w:rsidR="00DD1DFA" w:rsidRPr="00DD1DFA">
        <w:rPr>
          <w:noProof/>
        </w:rPr>
        <w:t>dro</w:t>
      </w:r>
      <w:r w:rsidRPr="00DD1DFA">
        <w:rPr>
          <w:noProof/>
        </w:rPr>
        <w:t>dze decyzji wykonawczej Komisja może zapewnić dostęp organom państw trzecich, które dobrowolnie stosują przepisy niniejszego rozporządzenia lub</w:t>
      </w:r>
      <w:r w:rsidR="00DD1DFA" w:rsidRPr="00DD1DFA">
        <w:rPr>
          <w:noProof/>
        </w:rPr>
        <w:t xml:space="preserve"> w</w:t>
      </w:r>
      <w:r w:rsidR="00DD1DFA">
        <w:rPr>
          <w:noProof/>
        </w:rPr>
        <w:t> </w:t>
      </w:r>
      <w:r w:rsidR="00DD1DFA" w:rsidRPr="00DD1DFA">
        <w:rPr>
          <w:noProof/>
        </w:rPr>
        <w:t>któ</w:t>
      </w:r>
      <w:r w:rsidRPr="00DD1DFA">
        <w:rPr>
          <w:noProof/>
        </w:rPr>
        <w:t>rych obowiązują ramy prawne dotyczące wyrobów budowlanych podobne do ram określonych</w:t>
      </w:r>
      <w:r w:rsidR="00DD1DFA" w:rsidRPr="00DD1DFA">
        <w:rPr>
          <w:noProof/>
        </w:rPr>
        <w:t xml:space="preserve"> w</w:t>
      </w:r>
      <w:r w:rsidR="00DD1DFA">
        <w:rPr>
          <w:noProof/>
        </w:rPr>
        <w:t> </w:t>
      </w:r>
      <w:r w:rsidR="00DD1DFA" w:rsidRPr="00DD1DFA">
        <w:rPr>
          <w:noProof/>
        </w:rPr>
        <w:t>nin</w:t>
      </w:r>
      <w:r w:rsidRPr="00DD1DFA">
        <w:rPr>
          <w:noProof/>
        </w:rPr>
        <w:t>iejszym rozporządzeniu.</w:t>
      </w:r>
    </w:p>
    <w:p w14:paraId="281B7766" w14:textId="504E5937" w:rsidR="00B93BDA" w:rsidRPr="00DD1DFA" w:rsidRDefault="00B93BDA" w:rsidP="00B93BDA">
      <w:pPr>
        <w:pStyle w:val="Text1"/>
        <w:rPr>
          <w:noProof/>
        </w:rPr>
      </w:pPr>
      <w:r w:rsidRPr="00DD1DFA">
        <w:rPr>
          <w:noProof/>
        </w:rPr>
        <w:t>Te akty wykonawcze przyjmuje się zgodnie</w:t>
      </w:r>
      <w:r w:rsidR="00DD1DFA" w:rsidRPr="00DD1DFA">
        <w:rPr>
          <w:noProof/>
        </w:rPr>
        <w:t xml:space="preserve"> z</w:t>
      </w:r>
      <w:r w:rsidR="00DD1DFA">
        <w:rPr>
          <w:noProof/>
        </w:rPr>
        <w:t> </w:t>
      </w:r>
      <w:r w:rsidR="00DD1DFA" w:rsidRPr="00DD1DFA">
        <w:rPr>
          <w:noProof/>
        </w:rPr>
        <w:t>pro</w:t>
      </w:r>
      <w:r w:rsidRPr="00DD1DFA">
        <w:rPr>
          <w:noProof/>
        </w:rPr>
        <w:t>cedurą doradczą,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1.</w:t>
      </w:r>
    </w:p>
    <w:p w14:paraId="40C03C53" w14:textId="3373F169" w:rsidR="00B93BDA" w:rsidRPr="00DD1DFA" w:rsidRDefault="005F7EFA" w:rsidP="005F7EFA">
      <w:pPr>
        <w:pStyle w:val="ManualNumPar1"/>
        <w:rPr>
          <w:noProof/>
        </w:rPr>
      </w:pPr>
      <w:r w:rsidRPr="005F7EFA">
        <w:t>2.</w:t>
      </w:r>
      <w:r w:rsidRPr="005F7EFA">
        <w:tab/>
      </w:r>
      <w:r w:rsidR="00B93BDA" w:rsidRPr="00DD1DFA">
        <w:rPr>
          <w:noProof/>
        </w:rPr>
        <w:t>Organy wymienione</w:t>
      </w:r>
      <w:r w:rsidR="00DD1DFA" w:rsidRPr="00DD1DFA">
        <w:rPr>
          <w:noProof/>
        </w:rPr>
        <w:t xml:space="preserve"> w</w:t>
      </w:r>
      <w:r w:rsidR="00DD1DFA">
        <w:rPr>
          <w:noProof/>
        </w:rPr>
        <w:t> </w:t>
      </w:r>
      <w:r w:rsidR="00DD1DFA" w:rsidRPr="00DD1DFA">
        <w:rPr>
          <w:noProof/>
        </w:rPr>
        <w:t>ust</w:t>
      </w:r>
      <w:r w:rsidR="00B93BDA" w:rsidRPr="00DD1DFA">
        <w:rPr>
          <w:noProof/>
        </w:rPr>
        <w:t>.</w:t>
      </w:r>
      <w:r w:rsidR="00DD1DFA" w:rsidRPr="00DD1DFA">
        <w:rPr>
          <w:noProof/>
        </w:rPr>
        <w:t> </w:t>
      </w:r>
      <w:r w:rsidR="00B93BDA" w:rsidRPr="00DD1DFA">
        <w:rPr>
          <w:noProof/>
        </w:rPr>
        <w:t>1 mogą korzystać</w:t>
      </w:r>
      <w:r w:rsidR="00DD1DFA" w:rsidRPr="00DD1DFA">
        <w:rPr>
          <w:noProof/>
        </w:rPr>
        <w:t xml:space="preserve"> z</w:t>
      </w:r>
      <w:r w:rsidR="00DD1DFA">
        <w:rPr>
          <w:noProof/>
        </w:rPr>
        <w:t> </w:t>
      </w:r>
      <w:r w:rsidR="00DD1DFA" w:rsidRPr="00DD1DFA">
        <w:rPr>
          <w:noProof/>
        </w:rPr>
        <w:t>sys</w:t>
      </w:r>
      <w:r w:rsidR="00B93BDA" w:rsidRPr="00DD1DFA">
        <w:rPr>
          <w:noProof/>
        </w:rPr>
        <w:t>temu informacyjnego</w:t>
      </w:r>
      <w:r w:rsidR="00DD1DFA" w:rsidRPr="00DD1DFA">
        <w:rPr>
          <w:noProof/>
        </w:rPr>
        <w:t xml:space="preserve"> i</w:t>
      </w:r>
      <w:r w:rsidR="00DD1DFA">
        <w:rPr>
          <w:noProof/>
        </w:rPr>
        <w:t> </w:t>
      </w:r>
      <w:r w:rsidR="00DD1DFA" w:rsidRPr="00DD1DFA">
        <w:rPr>
          <w:noProof/>
        </w:rPr>
        <w:t>kom</w:t>
      </w:r>
      <w:r w:rsidR="00B93BDA" w:rsidRPr="00DD1DFA">
        <w:rPr>
          <w:noProof/>
        </w:rPr>
        <w:t>unikacyjnego</w:t>
      </w:r>
      <w:r w:rsidR="00DD1DFA" w:rsidRPr="00DD1DFA">
        <w:rPr>
          <w:noProof/>
        </w:rPr>
        <w:t xml:space="preserve"> w</w:t>
      </w:r>
      <w:r w:rsidR="00DD1DFA">
        <w:rPr>
          <w:noProof/>
        </w:rPr>
        <w:t> </w:t>
      </w:r>
      <w:r w:rsidR="00DD1DFA" w:rsidRPr="00DD1DFA">
        <w:rPr>
          <w:noProof/>
        </w:rPr>
        <w:t>cel</w:t>
      </w:r>
      <w:r w:rsidR="00B93BDA" w:rsidRPr="00DD1DFA">
        <w:rPr>
          <w:noProof/>
        </w:rPr>
        <w:t>u zgłaszania wszelkich pytań lub kwestii związanych</w:t>
      </w:r>
      <w:r w:rsidR="00DD1DFA" w:rsidRPr="00DD1DFA">
        <w:rPr>
          <w:noProof/>
        </w:rPr>
        <w:t xml:space="preserve"> z</w:t>
      </w:r>
      <w:r w:rsidR="00DD1DFA">
        <w:rPr>
          <w:noProof/>
        </w:rPr>
        <w:t> </w:t>
      </w:r>
      <w:r w:rsidR="00DD1DFA" w:rsidRPr="00DD1DFA">
        <w:rPr>
          <w:noProof/>
        </w:rPr>
        <w:t>int</w:t>
      </w:r>
      <w:r w:rsidR="00B93BDA" w:rsidRPr="00DD1DFA">
        <w:rPr>
          <w:noProof/>
        </w:rPr>
        <w:t>erpretacją lub stosowaniem przepisów ustanowionych</w:t>
      </w:r>
      <w:r w:rsidR="00DD1DFA" w:rsidRPr="00DD1DFA">
        <w:rPr>
          <w:noProof/>
        </w:rPr>
        <w:t xml:space="preserve"> w</w:t>
      </w:r>
      <w:r w:rsidR="00DD1DFA">
        <w:rPr>
          <w:noProof/>
        </w:rPr>
        <w:t> </w:t>
      </w:r>
      <w:r w:rsidR="00DD1DFA" w:rsidRPr="00DD1DFA">
        <w:rPr>
          <w:noProof/>
        </w:rPr>
        <w:t>nin</w:t>
      </w:r>
      <w:r w:rsidR="00B93BDA" w:rsidRPr="00DD1DFA">
        <w:rPr>
          <w:noProof/>
        </w:rPr>
        <w:t>iejszym rozporządzeniu lub na jego podstawie,</w:t>
      </w:r>
      <w:r w:rsidR="00DD1DFA" w:rsidRPr="00DD1DFA">
        <w:rPr>
          <w:noProof/>
        </w:rPr>
        <w:t xml:space="preserve"> w</w:t>
      </w:r>
      <w:r w:rsidR="00DD1DFA">
        <w:rPr>
          <w:noProof/>
        </w:rPr>
        <w:t> </w:t>
      </w:r>
      <w:r w:rsidR="00DD1DFA" w:rsidRPr="00DD1DFA">
        <w:rPr>
          <w:noProof/>
        </w:rPr>
        <w:t>tym</w:t>
      </w:r>
      <w:r w:rsidR="00B93BDA" w:rsidRPr="00DD1DFA">
        <w:rPr>
          <w:noProof/>
        </w:rPr>
        <w:t xml:space="preserve"> ich powiązań</w:t>
      </w:r>
      <w:r w:rsidR="00DD1DFA" w:rsidRPr="00DD1DFA">
        <w:rPr>
          <w:noProof/>
        </w:rPr>
        <w:t xml:space="preserve"> z</w:t>
      </w:r>
      <w:r w:rsidR="00DD1DFA">
        <w:rPr>
          <w:noProof/>
        </w:rPr>
        <w:t> </w:t>
      </w:r>
      <w:r w:rsidR="00DD1DFA" w:rsidRPr="00DD1DFA">
        <w:rPr>
          <w:noProof/>
        </w:rPr>
        <w:t>inn</w:t>
      </w:r>
      <w:r w:rsidR="00B93BDA" w:rsidRPr="00DD1DFA">
        <w:rPr>
          <w:noProof/>
        </w:rPr>
        <w:t>ymi przepisami prawa Unii. Będą one zgłaszały takie pytania lub kwestie</w:t>
      </w:r>
      <w:r w:rsidR="00DD1DFA" w:rsidRPr="00DD1DFA">
        <w:rPr>
          <w:noProof/>
        </w:rPr>
        <w:t xml:space="preserve"> w</w:t>
      </w:r>
      <w:r w:rsidR="00DD1DFA">
        <w:rPr>
          <w:noProof/>
        </w:rPr>
        <w:t> </w:t>
      </w:r>
      <w:r w:rsidR="00DD1DFA" w:rsidRPr="00DD1DFA">
        <w:rPr>
          <w:noProof/>
        </w:rPr>
        <w:t>prz</w:t>
      </w:r>
      <w:r w:rsidR="00B93BDA" w:rsidRPr="00DD1DFA">
        <w:rPr>
          <w:noProof/>
        </w:rPr>
        <w:t>ypadku uzasadnionych wątpliwości co do sposobu stosowania lub interpretacji tych przepisów</w:t>
      </w:r>
      <w:r w:rsidR="00DD1DFA" w:rsidRPr="00DD1DFA">
        <w:rPr>
          <w:noProof/>
        </w:rPr>
        <w:t xml:space="preserve"> w</w:t>
      </w:r>
      <w:r w:rsidR="00DD1DFA">
        <w:rPr>
          <w:noProof/>
        </w:rPr>
        <w:t> </w:t>
      </w:r>
      <w:r w:rsidR="00DD1DFA" w:rsidRPr="00DD1DFA">
        <w:rPr>
          <w:noProof/>
        </w:rPr>
        <w:t>pos</w:t>
      </w:r>
      <w:r w:rsidR="00B93BDA" w:rsidRPr="00DD1DFA">
        <w:rPr>
          <w:noProof/>
        </w:rPr>
        <w:t>zczególnych sytuacjach.</w:t>
      </w:r>
    </w:p>
    <w:p w14:paraId="29D725CE" w14:textId="4E33C75C" w:rsidR="00B93BDA" w:rsidRPr="00DD1DFA" w:rsidRDefault="005F7EFA" w:rsidP="005F7EFA">
      <w:pPr>
        <w:pStyle w:val="ManualNumPar1"/>
        <w:rPr>
          <w:noProof/>
        </w:rPr>
      </w:pPr>
      <w:r w:rsidRPr="005F7EFA">
        <w:t>3.</w:t>
      </w:r>
      <w:r w:rsidRPr="005F7EFA">
        <w:tab/>
      </w:r>
      <w:r w:rsidR="00B93BDA" w:rsidRPr="00DD1DFA">
        <w:rPr>
          <w:noProof/>
        </w:rPr>
        <w:t>Do celów ust.</w:t>
      </w:r>
      <w:r w:rsidR="00DD1DFA" w:rsidRPr="00DD1DFA">
        <w:rPr>
          <w:noProof/>
        </w:rPr>
        <w:t> </w:t>
      </w:r>
      <w:r w:rsidR="00B93BDA" w:rsidRPr="00DD1DFA">
        <w:rPr>
          <w:noProof/>
        </w:rPr>
        <w:t>2 przyjmuje się, że uzasadnione wątpliwości występują</w:t>
      </w:r>
      <w:r w:rsidR="00DD1DFA" w:rsidRPr="00DD1DFA">
        <w:rPr>
          <w:noProof/>
        </w:rPr>
        <w:t xml:space="preserve"> w</w:t>
      </w:r>
      <w:r w:rsidR="00DD1DFA">
        <w:rPr>
          <w:noProof/>
        </w:rPr>
        <w:t> </w:t>
      </w:r>
      <w:r w:rsidR="00DD1DFA" w:rsidRPr="00DD1DFA">
        <w:rPr>
          <w:noProof/>
        </w:rPr>
        <w:t>prz</w:t>
      </w:r>
      <w:r w:rsidR="00B93BDA" w:rsidRPr="00DD1DFA">
        <w:rPr>
          <w:noProof/>
        </w:rPr>
        <w:t>ypadku, gdy organy wymienione</w:t>
      </w:r>
      <w:r w:rsidR="00DD1DFA" w:rsidRPr="00DD1DFA">
        <w:rPr>
          <w:noProof/>
        </w:rPr>
        <w:t xml:space="preserve"> w</w:t>
      </w:r>
      <w:r w:rsidR="00DD1DFA">
        <w:rPr>
          <w:noProof/>
        </w:rPr>
        <w:t> </w:t>
      </w:r>
      <w:r w:rsidR="00DD1DFA" w:rsidRPr="00DD1DFA">
        <w:rPr>
          <w:noProof/>
        </w:rPr>
        <w:t>ust</w:t>
      </w:r>
      <w:r w:rsidR="00B93BDA" w:rsidRPr="00DD1DFA">
        <w:rPr>
          <w:noProof/>
        </w:rPr>
        <w:t>.</w:t>
      </w:r>
      <w:r w:rsidR="00DD1DFA" w:rsidRPr="00DD1DFA">
        <w:rPr>
          <w:noProof/>
        </w:rPr>
        <w:t> </w:t>
      </w:r>
      <w:r w:rsidR="00B93BDA" w:rsidRPr="00DD1DFA">
        <w:rPr>
          <w:noProof/>
        </w:rPr>
        <w:t>1:</w:t>
      </w:r>
    </w:p>
    <w:p w14:paraId="3DD207A8" w14:textId="3FF3A1AD" w:rsidR="00B93BDA" w:rsidRPr="00DD1DFA" w:rsidRDefault="003C1401" w:rsidP="003C1401">
      <w:pPr>
        <w:pStyle w:val="Point1"/>
        <w:rPr>
          <w:noProof/>
        </w:rPr>
      </w:pPr>
      <w:r w:rsidRPr="003C1401">
        <w:rPr>
          <w:noProof/>
        </w:rPr>
        <w:t>a)</w:t>
      </w:r>
      <w:r w:rsidRPr="003C1401">
        <w:rPr>
          <w:noProof/>
        </w:rPr>
        <w:tab/>
      </w:r>
      <w:r w:rsidR="00B93BDA" w:rsidRPr="00DD1DFA">
        <w:rPr>
          <w:noProof/>
        </w:rPr>
        <w:t>mają wiedzę na temat stosowania lub interpretacji przepisów ustanowionych</w:t>
      </w:r>
      <w:r w:rsidR="00DD1DFA" w:rsidRPr="00DD1DFA">
        <w:rPr>
          <w:noProof/>
        </w:rPr>
        <w:t xml:space="preserve"> w</w:t>
      </w:r>
      <w:r w:rsidR="00DD1DFA">
        <w:rPr>
          <w:noProof/>
        </w:rPr>
        <w:t> </w:t>
      </w:r>
      <w:r w:rsidR="00DD1DFA" w:rsidRPr="00DD1DFA">
        <w:rPr>
          <w:noProof/>
        </w:rPr>
        <w:t>nin</w:t>
      </w:r>
      <w:r w:rsidR="00B93BDA" w:rsidRPr="00DD1DFA">
        <w:rPr>
          <w:noProof/>
        </w:rPr>
        <w:t>iejszym rozporządzeniu lub na jego podstawie przez jakikolwiek inny organ</w:t>
      </w:r>
      <w:r w:rsidR="00DD1DFA" w:rsidRPr="00DD1DFA">
        <w:rPr>
          <w:noProof/>
        </w:rPr>
        <w:t xml:space="preserve"> w</w:t>
      </w:r>
      <w:r w:rsidR="00DD1DFA">
        <w:rPr>
          <w:noProof/>
        </w:rPr>
        <w:t> </w:t>
      </w:r>
      <w:r w:rsidR="00DD1DFA" w:rsidRPr="00DD1DFA">
        <w:rPr>
          <w:noProof/>
        </w:rPr>
        <w:t>spo</w:t>
      </w:r>
      <w:r w:rsidR="00B93BDA" w:rsidRPr="00DD1DFA">
        <w:rPr>
          <w:noProof/>
        </w:rPr>
        <w:t>sób odbiegający od ich własnej praktyki lub uzyskały na ten temat informacje;</w:t>
      </w:r>
    </w:p>
    <w:p w14:paraId="3D7C9E3C" w14:textId="49675E50" w:rsidR="00B93BDA" w:rsidRPr="00DD1DFA" w:rsidRDefault="003C1401" w:rsidP="003C1401">
      <w:pPr>
        <w:pStyle w:val="Point1"/>
        <w:rPr>
          <w:noProof/>
        </w:rPr>
      </w:pPr>
      <w:r w:rsidRPr="003C1401">
        <w:rPr>
          <w:noProof/>
        </w:rPr>
        <w:t>b)</w:t>
      </w:r>
      <w:r w:rsidRPr="003C1401">
        <w:rPr>
          <w:noProof/>
        </w:rPr>
        <w:tab/>
      </w:r>
      <w:r w:rsidR="00B93BDA" w:rsidRPr="00DD1DFA">
        <w:rPr>
          <w:noProof/>
        </w:rPr>
        <w:t>mają wiedzę na temat pytań lub kwestii zgłaszanych za pośrednictwem systemu informacyjnego</w:t>
      </w:r>
      <w:r w:rsidR="00DD1DFA" w:rsidRPr="00DD1DFA">
        <w:rPr>
          <w:noProof/>
        </w:rPr>
        <w:t xml:space="preserve"> i</w:t>
      </w:r>
      <w:r w:rsidR="00DD1DFA">
        <w:rPr>
          <w:noProof/>
        </w:rPr>
        <w:t> </w:t>
      </w:r>
      <w:r w:rsidR="00DD1DFA" w:rsidRPr="00DD1DFA">
        <w:rPr>
          <w:noProof/>
        </w:rPr>
        <w:t>kom</w:t>
      </w:r>
      <w:r w:rsidR="00B93BDA" w:rsidRPr="00DD1DFA">
        <w:rPr>
          <w:noProof/>
        </w:rPr>
        <w:t>unikacyjnego związanych</w:t>
      </w:r>
      <w:r w:rsidR="00DD1DFA" w:rsidRPr="00DD1DFA">
        <w:rPr>
          <w:noProof/>
        </w:rPr>
        <w:t xml:space="preserve"> z</w:t>
      </w:r>
      <w:r w:rsidR="00DD1DFA">
        <w:rPr>
          <w:noProof/>
        </w:rPr>
        <w:t> </w:t>
      </w:r>
      <w:r w:rsidR="00DD1DFA" w:rsidRPr="00DD1DFA">
        <w:rPr>
          <w:noProof/>
        </w:rPr>
        <w:t>syt</w:t>
      </w:r>
      <w:r w:rsidR="00B93BDA" w:rsidRPr="00DD1DFA">
        <w:rPr>
          <w:noProof/>
        </w:rPr>
        <w:t>uacją,</w:t>
      </w:r>
      <w:r w:rsidR="00DD1DFA" w:rsidRPr="00DD1DFA">
        <w:rPr>
          <w:noProof/>
        </w:rPr>
        <w:t xml:space="preserve"> w</w:t>
      </w:r>
      <w:r w:rsidR="00DD1DFA">
        <w:rPr>
          <w:noProof/>
        </w:rPr>
        <w:t> </w:t>
      </w:r>
      <w:r w:rsidR="00DD1DFA" w:rsidRPr="00DD1DFA">
        <w:rPr>
          <w:noProof/>
        </w:rPr>
        <w:t>któ</w:t>
      </w:r>
      <w:r w:rsidR="00B93BDA" w:rsidRPr="00DD1DFA">
        <w:rPr>
          <w:noProof/>
        </w:rPr>
        <w:t>rej się znaleźli, lub</w:t>
      </w:r>
      <w:r w:rsidR="00DD1DFA" w:rsidRPr="00DD1DFA">
        <w:rPr>
          <w:noProof/>
        </w:rPr>
        <w:t xml:space="preserve"> z</w:t>
      </w:r>
      <w:r w:rsidR="00DD1DFA">
        <w:rPr>
          <w:noProof/>
        </w:rPr>
        <w:t> </w:t>
      </w:r>
      <w:r w:rsidR="00DD1DFA" w:rsidRPr="00DD1DFA">
        <w:rPr>
          <w:noProof/>
        </w:rPr>
        <w:t>ich</w:t>
      </w:r>
      <w:r w:rsidR="00B93BDA" w:rsidRPr="00DD1DFA">
        <w:rPr>
          <w:noProof/>
        </w:rPr>
        <w:t xml:space="preserve"> własną praktyką lub uzyskały na ten temat informacje;</w:t>
      </w:r>
    </w:p>
    <w:p w14:paraId="70CF3458" w14:textId="5694E1AD" w:rsidR="00B93BDA" w:rsidRPr="00DD1DFA" w:rsidRDefault="003C1401" w:rsidP="003C1401">
      <w:pPr>
        <w:pStyle w:val="Point1"/>
        <w:rPr>
          <w:noProof/>
        </w:rPr>
      </w:pPr>
      <w:r w:rsidRPr="003C1401">
        <w:rPr>
          <w:noProof/>
        </w:rPr>
        <w:t>c)</w:t>
      </w:r>
      <w:r w:rsidRPr="003C1401">
        <w:rPr>
          <w:noProof/>
        </w:rPr>
        <w:tab/>
      </w:r>
      <w:r w:rsidR="00B93BDA" w:rsidRPr="00DD1DFA">
        <w:rPr>
          <w:noProof/>
        </w:rPr>
        <w:t>mają do czynienia</w:t>
      </w:r>
      <w:r w:rsidR="00DD1DFA" w:rsidRPr="00DD1DFA">
        <w:rPr>
          <w:noProof/>
        </w:rPr>
        <w:t xml:space="preserve"> z</w:t>
      </w:r>
      <w:r w:rsidR="00DD1DFA">
        <w:rPr>
          <w:noProof/>
        </w:rPr>
        <w:t> </w:t>
      </w:r>
      <w:r w:rsidR="00DD1DFA" w:rsidRPr="00DD1DFA">
        <w:rPr>
          <w:noProof/>
        </w:rPr>
        <w:t>syt</w:t>
      </w:r>
      <w:r w:rsidR="00B93BDA" w:rsidRPr="00DD1DFA">
        <w:rPr>
          <w:noProof/>
        </w:rPr>
        <w:t>uacją nieprzewidzianą</w:t>
      </w:r>
      <w:r w:rsidR="00DD1DFA" w:rsidRPr="00DD1DFA">
        <w:rPr>
          <w:noProof/>
        </w:rPr>
        <w:t xml:space="preserve"> w</w:t>
      </w:r>
      <w:r w:rsidR="00DD1DFA">
        <w:rPr>
          <w:noProof/>
        </w:rPr>
        <w:t> </w:t>
      </w:r>
      <w:r w:rsidR="00DD1DFA" w:rsidRPr="00DD1DFA">
        <w:rPr>
          <w:noProof/>
        </w:rPr>
        <w:t>prz</w:t>
      </w:r>
      <w:r w:rsidR="00B93BDA" w:rsidRPr="00DD1DFA">
        <w:rPr>
          <w:noProof/>
        </w:rPr>
        <w:t>episach ustanowionych</w:t>
      </w:r>
      <w:r w:rsidR="00DD1DFA" w:rsidRPr="00DD1DFA">
        <w:rPr>
          <w:noProof/>
        </w:rPr>
        <w:t xml:space="preserve"> w</w:t>
      </w:r>
      <w:r w:rsidR="00DD1DFA">
        <w:rPr>
          <w:noProof/>
        </w:rPr>
        <w:t> </w:t>
      </w:r>
      <w:r w:rsidR="00DD1DFA" w:rsidRPr="00DD1DFA">
        <w:rPr>
          <w:noProof/>
        </w:rPr>
        <w:t>nin</w:t>
      </w:r>
      <w:r w:rsidR="00B93BDA" w:rsidRPr="00DD1DFA">
        <w:rPr>
          <w:noProof/>
        </w:rPr>
        <w:t>iejszym rozporządzeniu lub na jego podstawie</w:t>
      </w:r>
      <w:r w:rsidR="00DD1DFA" w:rsidRPr="00DD1DFA">
        <w:rPr>
          <w:noProof/>
        </w:rPr>
        <w:t xml:space="preserve"> w</w:t>
      </w:r>
      <w:r w:rsidR="00DD1DFA">
        <w:rPr>
          <w:noProof/>
        </w:rPr>
        <w:t> </w:t>
      </w:r>
      <w:r w:rsidR="00DD1DFA" w:rsidRPr="00DD1DFA">
        <w:rPr>
          <w:noProof/>
        </w:rPr>
        <w:t>chw</w:t>
      </w:r>
      <w:r w:rsidR="00B93BDA" w:rsidRPr="00DD1DFA">
        <w:rPr>
          <w:noProof/>
        </w:rPr>
        <w:t>ili, gdy zostały po raz pierwszy opublikowane lub po raz pierwszy odniesiono się do nich</w:t>
      </w:r>
      <w:r w:rsidR="00DD1DFA" w:rsidRPr="00DD1DFA">
        <w:rPr>
          <w:noProof/>
        </w:rPr>
        <w:t xml:space="preserve"> w</w:t>
      </w:r>
      <w:r w:rsidR="00DD1DFA">
        <w:rPr>
          <w:noProof/>
        </w:rPr>
        <w:t> </w:t>
      </w:r>
      <w:r w:rsidR="00DD1DFA" w:rsidRPr="00DD1DFA">
        <w:rPr>
          <w:i/>
          <w:iCs/>
          <w:noProof/>
        </w:rPr>
        <w:t>Dzi</w:t>
      </w:r>
      <w:r w:rsidR="00B93BDA" w:rsidRPr="00DD1DFA">
        <w:rPr>
          <w:i/>
          <w:iCs/>
          <w:noProof/>
        </w:rPr>
        <w:t>enniku Urzędowym Unii Europejskiej</w:t>
      </w:r>
      <w:r w:rsidR="00B93BDA" w:rsidRPr="00DD1DFA">
        <w:rPr>
          <w:noProof/>
        </w:rPr>
        <w:t>,</w:t>
      </w:r>
      <w:r w:rsidR="00DD1DFA" w:rsidRPr="00DD1DFA">
        <w:rPr>
          <w:noProof/>
        </w:rPr>
        <w:t xml:space="preserve"> w</w:t>
      </w:r>
      <w:r w:rsidR="00DD1DFA">
        <w:rPr>
          <w:noProof/>
        </w:rPr>
        <w:t> </w:t>
      </w:r>
      <w:r w:rsidR="00DD1DFA" w:rsidRPr="00DD1DFA">
        <w:rPr>
          <w:noProof/>
        </w:rPr>
        <w:t>szc</w:t>
      </w:r>
      <w:r w:rsidR="00B93BDA" w:rsidRPr="00DD1DFA">
        <w:rPr>
          <w:noProof/>
        </w:rPr>
        <w:t>zególności</w:t>
      </w:r>
      <w:r w:rsidR="00DD1DFA" w:rsidRPr="00DD1DFA">
        <w:rPr>
          <w:noProof/>
        </w:rPr>
        <w:t xml:space="preserve"> z</w:t>
      </w:r>
      <w:r w:rsidR="00DD1DFA">
        <w:rPr>
          <w:noProof/>
        </w:rPr>
        <w:t> </w:t>
      </w:r>
      <w:r w:rsidR="00DD1DFA" w:rsidRPr="00DD1DFA">
        <w:rPr>
          <w:noProof/>
        </w:rPr>
        <w:t>syt</w:t>
      </w:r>
      <w:r w:rsidR="00B93BDA" w:rsidRPr="00DD1DFA">
        <w:rPr>
          <w:noProof/>
        </w:rPr>
        <w:t>uacjami spowodowanymi pojawieniem się nowych wyrobów lub modeli biznesowych;</w:t>
      </w:r>
    </w:p>
    <w:p w14:paraId="5817F7EC" w14:textId="3A611A48" w:rsidR="00B93BDA" w:rsidRPr="00DD1DFA" w:rsidRDefault="003C1401" w:rsidP="003C1401">
      <w:pPr>
        <w:pStyle w:val="Point1"/>
        <w:rPr>
          <w:noProof/>
        </w:rPr>
      </w:pPr>
      <w:r w:rsidRPr="003C1401">
        <w:rPr>
          <w:noProof/>
        </w:rPr>
        <w:t>d)</w:t>
      </w:r>
      <w:r w:rsidRPr="003C1401">
        <w:rPr>
          <w:noProof/>
        </w:rPr>
        <w:tab/>
      </w:r>
      <w:r w:rsidR="00B93BDA" w:rsidRPr="00DD1DFA">
        <w:rPr>
          <w:noProof/>
        </w:rPr>
        <w:t>muszą stosować przepisy ustanowione</w:t>
      </w:r>
      <w:r w:rsidR="00DD1DFA" w:rsidRPr="00DD1DFA">
        <w:rPr>
          <w:noProof/>
        </w:rPr>
        <w:t xml:space="preserve"> w</w:t>
      </w:r>
      <w:r w:rsidR="00DD1DFA">
        <w:rPr>
          <w:noProof/>
        </w:rPr>
        <w:t> </w:t>
      </w:r>
      <w:r w:rsidR="00DD1DFA" w:rsidRPr="00DD1DFA">
        <w:rPr>
          <w:noProof/>
        </w:rPr>
        <w:t>nin</w:t>
      </w:r>
      <w:r w:rsidR="00B93BDA" w:rsidRPr="00DD1DFA">
        <w:rPr>
          <w:noProof/>
        </w:rPr>
        <w:t>iejszym rozporządzeniu lub na jego podstawie do sytuacji, do której mają zastosowanie również inne przepisy prawa Unii, oraz wynikające</w:t>
      </w:r>
      <w:r w:rsidR="00DD1DFA" w:rsidRPr="00DD1DFA">
        <w:rPr>
          <w:noProof/>
        </w:rPr>
        <w:t xml:space="preserve"> z</w:t>
      </w:r>
      <w:r w:rsidR="00DD1DFA">
        <w:rPr>
          <w:noProof/>
        </w:rPr>
        <w:t> </w:t>
      </w:r>
      <w:r w:rsidR="00DD1DFA" w:rsidRPr="00DD1DFA">
        <w:rPr>
          <w:noProof/>
        </w:rPr>
        <w:t>teg</w:t>
      </w:r>
      <w:r w:rsidR="00B93BDA" w:rsidRPr="00DD1DFA">
        <w:rPr>
          <w:noProof/>
        </w:rPr>
        <w:t>o kwestie.</w:t>
      </w:r>
    </w:p>
    <w:p w14:paraId="2A8EFE90" w14:textId="2DEF3E3F" w:rsidR="00B93BDA" w:rsidRPr="00DD1DFA" w:rsidRDefault="005F7EFA" w:rsidP="005F7EFA">
      <w:pPr>
        <w:pStyle w:val="ManualNumPar1"/>
        <w:rPr>
          <w:noProof/>
        </w:rPr>
      </w:pPr>
      <w:r w:rsidRPr="005F7EFA">
        <w:t>4.</w:t>
      </w:r>
      <w:r w:rsidRPr="005F7EFA">
        <w:tab/>
      </w:r>
      <w:r w:rsidR="00B93BDA" w:rsidRPr="00DD1DFA">
        <w:rPr>
          <w:noProof/>
        </w:rPr>
        <w:t>Zgłaszając pytanie lub kwestię, właściwy organ wprowadza do systemu informacyjnego</w:t>
      </w:r>
      <w:r w:rsidR="00DD1DFA" w:rsidRPr="00DD1DFA">
        <w:rPr>
          <w:noProof/>
        </w:rPr>
        <w:t xml:space="preserve"> i</w:t>
      </w:r>
      <w:r w:rsidR="00DD1DFA">
        <w:rPr>
          <w:noProof/>
        </w:rPr>
        <w:t> </w:t>
      </w:r>
      <w:r w:rsidR="00DD1DFA" w:rsidRPr="00DD1DFA">
        <w:rPr>
          <w:noProof/>
        </w:rPr>
        <w:t>kom</w:t>
      </w:r>
      <w:r w:rsidR="00B93BDA" w:rsidRPr="00DD1DFA">
        <w:rPr>
          <w:noProof/>
        </w:rPr>
        <w:t>unikacyjnego informacje dotyczące:</w:t>
      </w:r>
    </w:p>
    <w:p w14:paraId="4AC8AE62" w14:textId="0D90AFA9" w:rsidR="00B93BDA" w:rsidRPr="00DD1DFA" w:rsidRDefault="003C1401" w:rsidP="003C1401">
      <w:pPr>
        <w:pStyle w:val="Point1"/>
        <w:rPr>
          <w:noProof/>
        </w:rPr>
      </w:pPr>
      <w:r w:rsidRPr="003C1401">
        <w:rPr>
          <w:noProof/>
        </w:rPr>
        <w:t>a)</w:t>
      </w:r>
      <w:r w:rsidRPr="003C1401">
        <w:rPr>
          <w:noProof/>
        </w:rPr>
        <w:tab/>
      </w:r>
      <w:r w:rsidR="00B93BDA" w:rsidRPr="00DD1DFA">
        <w:rPr>
          <w:noProof/>
        </w:rPr>
        <w:t>wszelkich decyzji podjętych</w:t>
      </w:r>
      <w:r w:rsidR="00DD1DFA" w:rsidRPr="00DD1DFA">
        <w:rPr>
          <w:noProof/>
        </w:rPr>
        <w:t xml:space="preserve"> w</w:t>
      </w:r>
      <w:r w:rsidR="00DD1DFA">
        <w:rPr>
          <w:noProof/>
        </w:rPr>
        <w:t> </w:t>
      </w:r>
      <w:r w:rsidR="00DD1DFA" w:rsidRPr="00DD1DFA">
        <w:rPr>
          <w:noProof/>
        </w:rPr>
        <w:t>zwi</w:t>
      </w:r>
      <w:r w:rsidR="00B93BDA" w:rsidRPr="00DD1DFA">
        <w:rPr>
          <w:noProof/>
        </w:rPr>
        <w:t>ązku ze zgłoszonym pytaniem lub kwestią;</w:t>
      </w:r>
    </w:p>
    <w:p w14:paraId="0FD6B7CD" w14:textId="28FAA041" w:rsidR="00B93BDA" w:rsidRPr="00DD1DFA" w:rsidRDefault="003C1401" w:rsidP="003C1401">
      <w:pPr>
        <w:pStyle w:val="Point1"/>
        <w:rPr>
          <w:noProof/>
        </w:rPr>
      </w:pPr>
      <w:r w:rsidRPr="003C1401">
        <w:rPr>
          <w:noProof/>
        </w:rPr>
        <w:t>b)</w:t>
      </w:r>
      <w:r w:rsidRPr="003C1401">
        <w:rPr>
          <w:noProof/>
        </w:rPr>
        <w:tab/>
      </w:r>
      <w:r w:rsidR="00B93BDA" w:rsidRPr="00DD1DFA">
        <w:rPr>
          <w:noProof/>
        </w:rPr>
        <w:t>przypuszczalnego powodu/uzasa</w:t>
      </w:r>
      <w:r w:rsidR="00074392" w:rsidRPr="00DD1DFA">
        <w:rPr>
          <w:noProof/>
        </w:rPr>
        <w:t>dnienia przyjętego podejścia;</w:t>
      </w:r>
    </w:p>
    <w:p w14:paraId="3B55F0EA" w14:textId="582BCD37" w:rsidR="00B93BDA" w:rsidRPr="00DD1DFA" w:rsidRDefault="003C1401" w:rsidP="003C1401">
      <w:pPr>
        <w:pStyle w:val="Point1"/>
        <w:rPr>
          <w:noProof/>
        </w:rPr>
      </w:pPr>
      <w:r w:rsidRPr="003C1401">
        <w:rPr>
          <w:noProof/>
        </w:rPr>
        <w:t>c)</w:t>
      </w:r>
      <w:r w:rsidRPr="003C1401">
        <w:rPr>
          <w:noProof/>
        </w:rPr>
        <w:tab/>
      </w:r>
      <w:r w:rsidR="00B93BDA" w:rsidRPr="00DD1DFA">
        <w:rPr>
          <w:noProof/>
        </w:rPr>
        <w:t>wszelkich wskazanych przez niego alternatywnych podejść oraz ich powodu/uzasadnienia</w:t>
      </w:r>
      <w:r w:rsidR="00074392" w:rsidRPr="00DD1DFA">
        <w:rPr>
          <w:noProof/>
        </w:rPr>
        <w:t>.</w:t>
      </w:r>
    </w:p>
    <w:p w14:paraId="6B0818BF" w14:textId="4820D098" w:rsidR="00B93BDA" w:rsidRPr="00DD1DFA" w:rsidRDefault="005F7EFA" w:rsidP="005F7EFA">
      <w:pPr>
        <w:pStyle w:val="ManualNumPar1"/>
        <w:rPr>
          <w:noProof/>
        </w:rPr>
      </w:pPr>
      <w:r w:rsidRPr="005F7EFA">
        <w:t>5.</w:t>
      </w:r>
      <w:r w:rsidRPr="005F7EFA">
        <w:tab/>
      </w:r>
      <w:r w:rsidR="00B93BDA" w:rsidRPr="00DD1DFA">
        <w:rPr>
          <w:noProof/>
        </w:rPr>
        <w:t>Państwa członkowskie ustanawiają krajowy system informacyjny lub usługę wykazu adresów poczty elektronicznej aby informować swoje organy, podmioty gospodarcze prowadzące działalność na ich terytorium, JOT</w:t>
      </w:r>
      <w:r w:rsidR="00DD1DFA" w:rsidRPr="00DD1DFA">
        <w:rPr>
          <w:noProof/>
        </w:rPr>
        <w:t xml:space="preserve"> i</w:t>
      </w:r>
      <w:r w:rsidR="00DD1DFA">
        <w:rPr>
          <w:noProof/>
        </w:rPr>
        <w:t> </w:t>
      </w:r>
      <w:r w:rsidR="00DD1DFA" w:rsidRPr="00DD1DFA">
        <w:rPr>
          <w:noProof/>
        </w:rPr>
        <w:t>jed</w:t>
      </w:r>
      <w:r w:rsidR="00B93BDA" w:rsidRPr="00DD1DFA">
        <w:rPr>
          <w:noProof/>
        </w:rPr>
        <w:t>nostki notyfikowane, których miejsce prowadzenia działalności znajduje się na ich terytorium,</w:t>
      </w:r>
      <w:r w:rsidR="00DD1DFA" w:rsidRPr="00DD1DFA">
        <w:rPr>
          <w:noProof/>
        </w:rPr>
        <w:t xml:space="preserve"> a</w:t>
      </w:r>
      <w:r w:rsidR="00DD1DFA">
        <w:rPr>
          <w:noProof/>
        </w:rPr>
        <w:t> </w:t>
      </w:r>
      <w:r w:rsidR="00DD1DFA" w:rsidRPr="00DD1DFA">
        <w:rPr>
          <w:noProof/>
        </w:rPr>
        <w:t>tak</w:t>
      </w:r>
      <w:r w:rsidR="00B93BDA" w:rsidRPr="00DD1DFA">
        <w:rPr>
          <w:noProof/>
        </w:rPr>
        <w:t>że, na wniosek, inne JOT</w:t>
      </w:r>
      <w:r w:rsidR="00DD1DFA" w:rsidRPr="00DD1DFA">
        <w:rPr>
          <w:noProof/>
        </w:rPr>
        <w:t xml:space="preserve"> i</w:t>
      </w:r>
      <w:r w:rsidR="00DD1DFA">
        <w:rPr>
          <w:noProof/>
        </w:rPr>
        <w:t> </w:t>
      </w:r>
      <w:r w:rsidR="00DD1DFA" w:rsidRPr="00DD1DFA">
        <w:rPr>
          <w:noProof/>
        </w:rPr>
        <w:t>jed</w:t>
      </w:r>
      <w:r w:rsidR="00B93BDA" w:rsidRPr="00DD1DFA">
        <w:rPr>
          <w:noProof/>
        </w:rPr>
        <w:t>nostki notyfikowane,</w:t>
      </w:r>
      <w:r w:rsidR="00DD1DFA" w:rsidRPr="00DD1DFA">
        <w:rPr>
          <w:noProof/>
        </w:rPr>
        <w:t xml:space="preserve"> o</w:t>
      </w:r>
      <w:r w:rsidR="00DD1DFA">
        <w:rPr>
          <w:noProof/>
        </w:rPr>
        <w:t> </w:t>
      </w:r>
      <w:r w:rsidR="00DD1DFA" w:rsidRPr="00DD1DFA">
        <w:rPr>
          <w:noProof/>
        </w:rPr>
        <w:t>wsz</w:t>
      </w:r>
      <w:r w:rsidR="00B93BDA" w:rsidRPr="00DD1DFA">
        <w:rPr>
          <w:noProof/>
        </w:rPr>
        <w:t>ystkich kwestiach mających znaczenie dla prawidłowej interpretacji lub stosowania przepisów ustanowionych</w:t>
      </w:r>
      <w:r w:rsidR="00DD1DFA" w:rsidRPr="00DD1DFA">
        <w:rPr>
          <w:noProof/>
        </w:rPr>
        <w:t xml:space="preserve"> w</w:t>
      </w:r>
      <w:r w:rsidR="00DD1DFA">
        <w:rPr>
          <w:noProof/>
        </w:rPr>
        <w:t> </w:t>
      </w:r>
      <w:r w:rsidR="00DD1DFA" w:rsidRPr="00DD1DFA">
        <w:rPr>
          <w:noProof/>
        </w:rPr>
        <w:t>nin</w:t>
      </w:r>
      <w:r w:rsidR="00B93BDA" w:rsidRPr="00DD1DFA">
        <w:rPr>
          <w:noProof/>
        </w:rPr>
        <w:t>iejszym rozporządzeniu lub na jego podstawie. Uwzględniają przy tym informacje dostępne</w:t>
      </w:r>
      <w:r w:rsidR="00DD1DFA" w:rsidRPr="00DD1DFA">
        <w:rPr>
          <w:noProof/>
        </w:rPr>
        <w:t xml:space="preserve"> w</w:t>
      </w:r>
      <w:r w:rsidR="00DD1DFA">
        <w:rPr>
          <w:noProof/>
        </w:rPr>
        <w:t> </w:t>
      </w:r>
      <w:r w:rsidR="00DD1DFA" w:rsidRPr="00DD1DFA">
        <w:rPr>
          <w:noProof/>
        </w:rPr>
        <w:t>sys</w:t>
      </w:r>
      <w:r w:rsidR="00B93BDA" w:rsidRPr="00DD1DFA">
        <w:rPr>
          <w:noProof/>
        </w:rPr>
        <w:t>temie informacyjnym</w:t>
      </w:r>
      <w:r w:rsidR="00DD1DFA" w:rsidRPr="00DD1DFA">
        <w:rPr>
          <w:noProof/>
        </w:rPr>
        <w:t xml:space="preserve"> i</w:t>
      </w:r>
      <w:r w:rsidR="00DD1DFA">
        <w:rPr>
          <w:noProof/>
        </w:rPr>
        <w:t> </w:t>
      </w:r>
      <w:r w:rsidR="00DD1DFA" w:rsidRPr="00DD1DFA">
        <w:rPr>
          <w:noProof/>
        </w:rPr>
        <w:t>kom</w:t>
      </w:r>
      <w:r w:rsidR="00B93BDA" w:rsidRPr="00DD1DFA">
        <w:rPr>
          <w:noProof/>
        </w:rPr>
        <w:t>unikacyjnym,</w:t>
      </w:r>
      <w:r w:rsidR="00DD1DFA" w:rsidRPr="00DD1DFA">
        <w:rPr>
          <w:noProof/>
        </w:rPr>
        <w:t xml:space="preserve"> o</w:t>
      </w:r>
      <w:r w:rsidR="00DD1DFA">
        <w:rPr>
          <w:noProof/>
        </w:rPr>
        <w:t> </w:t>
      </w:r>
      <w:r w:rsidR="00DD1DFA" w:rsidRPr="00DD1DFA">
        <w:rPr>
          <w:noProof/>
        </w:rPr>
        <w:t>któ</w:t>
      </w:r>
      <w:r w:rsidR="00B93BDA" w:rsidRPr="00DD1DFA">
        <w:rPr>
          <w:noProof/>
        </w:rPr>
        <w:t>rym mowa</w:t>
      </w:r>
      <w:r w:rsidR="00DD1DFA" w:rsidRPr="00DD1DFA">
        <w:rPr>
          <w:noProof/>
        </w:rPr>
        <w:t xml:space="preserve"> w</w:t>
      </w:r>
      <w:r w:rsidR="00DD1DFA">
        <w:rPr>
          <w:noProof/>
        </w:rPr>
        <w:t> </w:t>
      </w:r>
      <w:r w:rsidR="00DD1DFA" w:rsidRPr="00DD1DFA">
        <w:rPr>
          <w:noProof/>
        </w:rPr>
        <w:t>ust</w:t>
      </w:r>
      <w:r w:rsidR="00B93BDA" w:rsidRPr="00DD1DFA">
        <w:rPr>
          <w:noProof/>
        </w:rPr>
        <w:t>.</w:t>
      </w:r>
      <w:r w:rsidR="00DD1DFA" w:rsidRPr="00DD1DFA">
        <w:rPr>
          <w:noProof/>
        </w:rPr>
        <w:t> </w:t>
      </w:r>
      <w:r w:rsidR="00B93BDA" w:rsidRPr="00DD1DFA">
        <w:rPr>
          <w:noProof/>
        </w:rPr>
        <w:t>1.</w:t>
      </w:r>
    </w:p>
    <w:p w14:paraId="30AA4C20" w14:textId="7871FDC1" w:rsidR="00B93BDA" w:rsidRPr="00DD1DFA" w:rsidRDefault="005F7EFA" w:rsidP="005F7EFA">
      <w:pPr>
        <w:pStyle w:val="ManualNumPar1"/>
        <w:rPr>
          <w:noProof/>
        </w:rPr>
      </w:pPr>
      <w:r w:rsidRPr="005F7EFA">
        <w:t>6.</w:t>
      </w:r>
      <w:r w:rsidRPr="005F7EFA">
        <w:tab/>
      </w:r>
      <w:r w:rsidR="00B93BDA" w:rsidRPr="00DD1DFA">
        <w:rPr>
          <w:noProof/>
        </w:rPr>
        <w:t>Organy, podmioty gospodarcze, JOT</w:t>
      </w:r>
      <w:r w:rsidR="00DD1DFA" w:rsidRPr="00DD1DFA">
        <w:rPr>
          <w:noProof/>
        </w:rPr>
        <w:t xml:space="preserve"> i</w:t>
      </w:r>
      <w:r w:rsidR="00DD1DFA">
        <w:rPr>
          <w:noProof/>
        </w:rPr>
        <w:t> </w:t>
      </w:r>
      <w:r w:rsidR="00DD1DFA" w:rsidRPr="00DD1DFA">
        <w:rPr>
          <w:noProof/>
        </w:rPr>
        <w:t>jed</w:t>
      </w:r>
      <w:r w:rsidR="00B93BDA" w:rsidRPr="00DD1DFA">
        <w:rPr>
          <w:noProof/>
        </w:rPr>
        <w:t>nostki notyfikowane, których miejsce prowadzenia działalności znajduje się</w:t>
      </w:r>
      <w:r w:rsidR="00DD1DFA" w:rsidRPr="00DD1DFA">
        <w:rPr>
          <w:noProof/>
        </w:rPr>
        <w:t xml:space="preserve"> w</w:t>
      </w:r>
      <w:r w:rsidR="00DD1DFA">
        <w:rPr>
          <w:noProof/>
        </w:rPr>
        <w:t> </w:t>
      </w:r>
      <w:r w:rsidR="00DD1DFA" w:rsidRPr="00DD1DFA">
        <w:rPr>
          <w:noProof/>
        </w:rPr>
        <w:t>dan</w:t>
      </w:r>
      <w:r w:rsidR="00B93BDA" w:rsidRPr="00DD1DFA">
        <w:rPr>
          <w:noProof/>
        </w:rPr>
        <w:t>ym państwie członkowskim, rejestrują się</w:t>
      </w:r>
      <w:r w:rsidR="00DD1DFA" w:rsidRPr="00DD1DFA">
        <w:rPr>
          <w:noProof/>
        </w:rPr>
        <w:t xml:space="preserve"> w</w:t>
      </w:r>
      <w:r w:rsidR="00DD1DFA">
        <w:rPr>
          <w:noProof/>
        </w:rPr>
        <w:t> </w:t>
      </w:r>
      <w:r w:rsidR="00DD1DFA" w:rsidRPr="00DD1DFA">
        <w:rPr>
          <w:noProof/>
        </w:rPr>
        <w:t>tym</w:t>
      </w:r>
      <w:r w:rsidR="00B93BDA" w:rsidRPr="00DD1DFA">
        <w:rPr>
          <w:noProof/>
        </w:rPr>
        <w:t xml:space="preserve"> systemie lub usłudze wykazu adresów poczty elektronicznej</w:t>
      </w:r>
      <w:r w:rsidR="00DD1DFA" w:rsidRPr="00DD1DFA">
        <w:rPr>
          <w:noProof/>
        </w:rPr>
        <w:t xml:space="preserve"> i</w:t>
      </w:r>
      <w:r w:rsidR="00DD1DFA">
        <w:rPr>
          <w:noProof/>
        </w:rPr>
        <w:t> </w:t>
      </w:r>
      <w:r w:rsidR="00DD1DFA" w:rsidRPr="00DD1DFA">
        <w:rPr>
          <w:noProof/>
        </w:rPr>
        <w:t>uwz</w:t>
      </w:r>
      <w:r w:rsidR="00B93BDA" w:rsidRPr="00DD1DFA">
        <w:rPr>
          <w:noProof/>
        </w:rPr>
        <w:t>ględniają wszystkie informacje przekazywane za ich pośrednictwem.</w:t>
      </w:r>
    </w:p>
    <w:p w14:paraId="10374178" w14:textId="45E189D8" w:rsidR="00B93BDA" w:rsidRPr="00DD1DFA" w:rsidRDefault="005F7EFA" w:rsidP="005F7EFA">
      <w:pPr>
        <w:pStyle w:val="ManualNumPar1"/>
        <w:rPr>
          <w:noProof/>
        </w:rPr>
      </w:pPr>
      <w:r w:rsidRPr="005F7EFA">
        <w:t>7.</w:t>
      </w:r>
      <w:r w:rsidRPr="005F7EFA">
        <w:tab/>
      </w:r>
      <w:r w:rsidR="00B93BDA" w:rsidRPr="00DD1DFA">
        <w:rPr>
          <w:noProof/>
        </w:rPr>
        <w:t>Krajowy system informacyjny lub usługa wykazu adresów poczty elektronicznej umożliwia przyjmowanie,</w:t>
      </w:r>
      <w:r w:rsidR="00DD1DFA" w:rsidRPr="00DD1DFA">
        <w:rPr>
          <w:noProof/>
        </w:rPr>
        <w:t xml:space="preserve"> w</w:t>
      </w:r>
      <w:r w:rsidR="00DD1DFA">
        <w:rPr>
          <w:noProof/>
        </w:rPr>
        <w:t> </w:t>
      </w:r>
      <w:r w:rsidR="00DD1DFA" w:rsidRPr="00DD1DFA">
        <w:rPr>
          <w:noProof/>
        </w:rPr>
        <w:t>imi</w:t>
      </w:r>
      <w:r w:rsidR="00B93BDA" w:rsidRPr="00DD1DFA">
        <w:rPr>
          <w:noProof/>
        </w:rPr>
        <w:t>eniu właściwego organu krajowego, skarg zgłaszanych przez każdą osobę fizyczną lub prawną,</w:t>
      </w:r>
      <w:r w:rsidR="00DD1DFA" w:rsidRPr="00DD1DFA">
        <w:rPr>
          <w:noProof/>
        </w:rPr>
        <w:t xml:space="preserve"> w</w:t>
      </w:r>
      <w:r w:rsidR="00DD1DFA">
        <w:rPr>
          <w:noProof/>
        </w:rPr>
        <w:t> </w:t>
      </w:r>
      <w:r w:rsidR="00DD1DFA" w:rsidRPr="00DD1DFA">
        <w:rPr>
          <w:noProof/>
        </w:rPr>
        <w:t>tym</w:t>
      </w:r>
      <w:r w:rsidR="00B93BDA" w:rsidRPr="00DD1DFA">
        <w:rPr>
          <w:noProof/>
        </w:rPr>
        <w:t xml:space="preserve"> JOT</w:t>
      </w:r>
      <w:r w:rsidR="00DD1DFA" w:rsidRPr="00DD1DFA">
        <w:rPr>
          <w:noProof/>
        </w:rPr>
        <w:t xml:space="preserve"> i</w:t>
      </w:r>
      <w:r w:rsidR="00DD1DFA">
        <w:rPr>
          <w:noProof/>
        </w:rPr>
        <w:t> </w:t>
      </w:r>
      <w:r w:rsidR="00DD1DFA" w:rsidRPr="00DD1DFA">
        <w:rPr>
          <w:noProof/>
        </w:rPr>
        <w:t>jed</w:t>
      </w:r>
      <w:r w:rsidR="00B93BDA" w:rsidRPr="00DD1DFA">
        <w:rPr>
          <w:noProof/>
        </w:rPr>
        <w:t>nostki notyfikowane, dotyczących niejednolitego stosowania przepisów ustanowionych</w:t>
      </w:r>
      <w:r w:rsidR="00DD1DFA" w:rsidRPr="00DD1DFA">
        <w:rPr>
          <w:noProof/>
        </w:rPr>
        <w:t xml:space="preserve"> w</w:t>
      </w:r>
      <w:r w:rsidR="00DD1DFA">
        <w:rPr>
          <w:noProof/>
        </w:rPr>
        <w:t> </w:t>
      </w:r>
      <w:r w:rsidR="00DD1DFA" w:rsidRPr="00DD1DFA">
        <w:rPr>
          <w:noProof/>
        </w:rPr>
        <w:t>nin</w:t>
      </w:r>
      <w:r w:rsidR="00B93BDA" w:rsidRPr="00DD1DFA">
        <w:rPr>
          <w:noProof/>
        </w:rPr>
        <w:t>iejszym rozporządzeniu lub na jego podstawie. Właściwy organ krajowy,</w:t>
      </w:r>
      <w:r w:rsidR="00DD1DFA" w:rsidRPr="00DD1DFA">
        <w:rPr>
          <w:noProof/>
        </w:rPr>
        <w:t xml:space="preserve"> o</w:t>
      </w:r>
      <w:r w:rsidR="00DD1DFA">
        <w:rPr>
          <w:noProof/>
        </w:rPr>
        <w:t> </w:t>
      </w:r>
      <w:r w:rsidR="00DD1DFA" w:rsidRPr="00DD1DFA">
        <w:rPr>
          <w:noProof/>
        </w:rPr>
        <w:t>ile</w:t>
      </w:r>
      <w:r w:rsidR="00B93BDA" w:rsidRPr="00DD1DFA">
        <w:rPr>
          <w:noProof/>
        </w:rPr>
        <w:t xml:space="preserve"> uzna to za stosowne, przekazuje takie skargi swoim odpowiednikom</w:t>
      </w:r>
      <w:r w:rsidR="00DD1DFA" w:rsidRPr="00DD1DFA">
        <w:rPr>
          <w:noProof/>
        </w:rPr>
        <w:t xml:space="preserve"> w</w:t>
      </w:r>
      <w:r w:rsidR="00DD1DFA">
        <w:rPr>
          <w:noProof/>
        </w:rPr>
        <w:t> </w:t>
      </w:r>
      <w:r w:rsidR="00DD1DFA" w:rsidRPr="00DD1DFA">
        <w:rPr>
          <w:noProof/>
        </w:rPr>
        <w:t>inn</w:t>
      </w:r>
      <w:r w:rsidR="00B93BDA" w:rsidRPr="00DD1DFA">
        <w:rPr>
          <w:noProof/>
        </w:rPr>
        <w:t>ych państwach członkowskich oraz Komisji.</w:t>
      </w:r>
    </w:p>
    <w:p w14:paraId="32D743E7" w14:textId="6935894F" w:rsidR="00BC1E12" w:rsidRPr="00DD1DFA" w:rsidRDefault="005F7EFA" w:rsidP="005F7EFA">
      <w:pPr>
        <w:pStyle w:val="ManualNumPar1"/>
        <w:rPr>
          <w:noProof/>
        </w:rPr>
      </w:pPr>
      <w:r w:rsidRPr="005F7EFA">
        <w:t>8.</w:t>
      </w:r>
      <w:r w:rsidRPr="005F7EFA">
        <w:tab/>
      </w:r>
      <w:r w:rsidR="00B93BDA" w:rsidRPr="00DD1DFA">
        <w:rPr>
          <w:noProof/>
        </w:rPr>
        <w:t>Państwa członkowskie</w:t>
      </w:r>
      <w:r w:rsidR="00DD1DFA" w:rsidRPr="00DD1DFA">
        <w:rPr>
          <w:noProof/>
        </w:rPr>
        <w:t xml:space="preserve"> i</w:t>
      </w:r>
      <w:r w:rsidR="00DD1DFA">
        <w:rPr>
          <w:noProof/>
        </w:rPr>
        <w:t> </w:t>
      </w:r>
      <w:r w:rsidR="00DD1DFA" w:rsidRPr="00DD1DFA">
        <w:rPr>
          <w:noProof/>
        </w:rPr>
        <w:t>Kom</w:t>
      </w:r>
      <w:r w:rsidR="00B93BDA" w:rsidRPr="00DD1DFA">
        <w:rPr>
          <w:noProof/>
        </w:rPr>
        <w:t>isja mogą wykorzystywać sztuczną inteligencję do wykrywania rozbieżnych praktyk</w:t>
      </w:r>
      <w:r w:rsidR="00DD1DFA" w:rsidRPr="00DD1DFA">
        <w:rPr>
          <w:noProof/>
        </w:rPr>
        <w:t xml:space="preserve"> w</w:t>
      </w:r>
      <w:r w:rsidR="00DD1DFA">
        <w:rPr>
          <w:noProof/>
        </w:rPr>
        <w:t> </w:t>
      </w:r>
      <w:r w:rsidR="00DD1DFA" w:rsidRPr="00DD1DFA">
        <w:rPr>
          <w:noProof/>
        </w:rPr>
        <w:t>zak</w:t>
      </w:r>
      <w:r w:rsidR="00B93BDA" w:rsidRPr="00DD1DFA">
        <w:rPr>
          <w:noProof/>
        </w:rPr>
        <w:t>resie podejmowania decyzji.</w:t>
      </w:r>
    </w:p>
    <w:p w14:paraId="0754CE50" w14:textId="77777777" w:rsidR="00E22C90" w:rsidRPr="00DD1DFA" w:rsidRDefault="00E22C90" w:rsidP="00E22C90">
      <w:pPr>
        <w:pStyle w:val="Titrearticle"/>
        <w:rPr>
          <w:noProof/>
        </w:rPr>
      </w:pPr>
      <w:r w:rsidRPr="00DD1DFA">
        <w:rPr>
          <w:noProof/>
        </w:rPr>
        <w:t>Artykuł 78</w:t>
      </w:r>
    </w:p>
    <w:p w14:paraId="5B7B7AEC" w14:textId="77777777" w:rsidR="00E22C90" w:rsidRPr="00DD1DFA" w:rsidRDefault="001D2830" w:rsidP="00E22C90">
      <w:pPr>
        <w:pStyle w:val="Titrearticle"/>
        <w:rPr>
          <w:b/>
          <w:bCs/>
          <w:noProof/>
        </w:rPr>
      </w:pPr>
      <w:r w:rsidRPr="00DD1DFA">
        <w:rPr>
          <w:b/>
          <w:noProof/>
        </w:rPr>
        <w:t>Unijna baza danych wyrobów budowlanych lub unijny system informacji dotyczących wyrobów budowlanych</w:t>
      </w:r>
    </w:p>
    <w:p w14:paraId="2B27A1DA" w14:textId="3F242894" w:rsidR="001D2830" w:rsidRPr="00DD1DFA" w:rsidRDefault="005F7EFA" w:rsidP="005F7EFA">
      <w:pPr>
        <w:pStyle w:val="ManualNumPar1"/>
        <w:rPr>
          <w:noProof/>
        </w:rPr>
      </w:pPr>
      <w:r w:rsidRPr="005F7EFA">
        <w:t>1.</w:t>
      </w:r>
      <w:r w:rsidRPr="005F7EFA">
        <w:tab/>
      </w:r>
      <w:r w:rsidR="001D2830" w:rsidRPr="00DD1DFA">
        <w:rPr>
          <w:noProof/>
        </w:rPr>
        <w:t>Komisja jest uprawniona do uzupełnienia niniejszego rozporządzenia</w:t>
      </w:r>
      <w:r w:rsidR="00DD1DFA" w:rsidRPr="00DD1DFA">
        <w:rPr>
          <w:noProof/>
        </w:rPr>
        <w:t xml:space="preserve"> w</w:t>
      </w:r>
      <w:r w:rsidR="00DD1DFA">
        <w:rPr>
          <w:noProof/>
        </w:rPr>
        <w:t> </w:t>
      </w:r>
      <w:r w:rsidR="00DD1DFA" w:rsidRPr="00DD1DFA">
        <w:rPr>
          <w:noProof/>
        </w:rPr>
        <w:t>dro</w:t>
      </w:r>
      <w:r w:rsidR="001D2830" w:rsidRPr="00DD1DFA">
        <w:rPr>
          <w:noProof/>
        </w:rPr>
        <w:t>dze aktu delegowanego zgodnie</w:t>
      </w:r>
      <w:r w:rsidR="00DD1DFA" w:rsidRPr="00DD1DFA">
        <w:rPr>
          <w:noProof/>
        </w:rPr>
        <w:t xml:space="preserve"> z</w:t>
      </w:r>
      <w:r w:rsidR="00DD1DFA">
        <w:rPr>
          <w:noProof/>
        </w:rPr>
        <w:t> </w:t>
      </w:r>
      <w:r w:rsidR="00DD1DFA" w:rsidRPr="00DD1DFA">
        <w:rPr>
          <w:noProof/>
        </w:rPr>
        <w:t>art</w:t>
      </w:r>
      <w:r w:rsidR="001D2830" w:rsidRPr="00DD1DFA">
        <w:rPr>
          <w:noProof/>
        </w:rPr>
        <w:t>.</w:t>
      </w:r>
      <w:r w:rsidR="00DD1DFA" w:rsidRPr="00DD1DFA">
        <w:rPr>
          <w:noProof/>
        </w:rPr>
        <w:t> </w:t>
      </w:r>
      <w:r w:rsidR="001D2830" w:rsidRPr="00DD1DFA">
        <w:rPr>
          <w:noProof/>
        </w:rPr>
        <w:t>87 poprzez ustanowienie unijnej bazy danych wyrobów budowlanych lub unijnego systemu informacji dotyczących wyrobów budowlanych, które</w:t>
      </w:r>
      <w:r w:rsidR="00DD1DFA" w:rsidRPr="00DD1DFA">
        <w:rPr>
          <w:noProof/>
        </w:rPr>
        <w:t xml:space="preserve"> w</w:t>
      </w:r>
      <w:r w:rsidR="00DD1DFA">
        <w:rPr>
          <w:noProof/>
        </w:rPr>
        <w:t> </w:t>
      </w:r>
      <w:r w:rsidR="00DD1DFA" w:rsidRPr="00DD1DFA">
        <w:rPr>
          <w:noProof/>
        </w:rPr>
        <w:t>moż</w:t>
      </w:r>
      <w:r w:rsidR="001D2830" w:rsidRPr="00DD1DFA">
        <w:rPr>
          <w:noProof/>
        </w:rPr>
        <w:t>liwie największym stopniu opierają się na cyfrowym paszporcie ustanowionym rozporządzeniem (UE) ... [Rozporządzenie</w:t>
      </w:r>
      <w:r w:rsidR="00DD1DFA" w:rsidRPr="00DD1DFA">
        <w:rPr>
          <w:noProof/>
        </w:rPr>
        <w:t xml:space="preserve"> w</w:t>
      </w:r>
      <w:r w:rsidR="00DD1DFA">
        <w:rPr>
          <w:noProof/>
        </w:rPr>
        <w:t> </w:t>
      </w:r>
      <w:r w:rsidR="00DD1DFA" w:rsidRPr="00DD1DFA">
        <w:rPr>
          <w:noProof/>
        </w:rPr>
        <w:t>spr</w:t>
      </w:r>
      <w:r w:rsidR="001D2830" w:rsidRPr="00DD1DFA">
        <w:rPr>
          <w:noProof/>
        </w:rPr>
        <w:t>awie ekoprojektu dla zrównoważonych produktów].</w:t>
      </w:r>
    </w:p>
    <w:p w14:paraId="2A78F42D" w14:textId="137D0B38" w:rsidR="00F43676" w:rsidRPr="00DD1DFA" w:rsidRDefault="005F7EFA" w:rsidP="005F7EFA">
      <w:pPr>
        <w:pStyle w:val="ManualNumPar1"/>
        <w:rPr>
          <w:noProof/>
        </w:rPr>
      </w:pPr>
      <w:r w:rsidRPr="005F7EFA">
        <w:t>2.</w:t>
      </w:r>
      <w:r w:rsidRPr="005F7EFA">
        <w:tab/>
      </w:r>
      <w:r w:rsidR="001D2830" w:rsidRPr="00DD1DFA">
        <w:rPr>
          <w:noProof/>
        </w:rPr>
        <w:t>Podmioty gospodarcze mogą uzyskać dostęp do wszystkich informacji przechowywanych</w:t>
      </w:r>
      <w:r w:rsidR="00DD1DFA" w:rsidRPr="00DD1DFA">
        <w:rPr>
          <w:noProof/>
        </w:rPr>
        <w:t xml:space="preserve"> w</w:t>
      </w:r>
      <w:r w:rsidR="00DD1DFA">
        <w:rPr>
          <w:noProof/>
        </w:rPr>
        <w:t> </w:t>
      </w:r>
      <w:r w:rsidR="00DD1DFA" w:rsidRPr="00DD1DFA">
        <w:rPr>
          <w:noProof/>
        </w:rPr>
        <w:t>tej</w:t>
      </w:r>
      <w:r w:rsidR="001D2830" w:rsidRPr="00DD1DFA">
        <w:rPr>
          <w:noProof/>
        </w:rPr>
        <w:t xml:space="preserve"> bazie danych lub</w:t>
      </w:r>
      <w:r w:rsidR="00DD1DFA" w:rsidRPr="00DD1DFA">
        <w:rPr>
          <w:noProof/>
        </w:rPr>
        <w:t xml:space="preserve"> w</w:t>
      </w:r>
      <w:r w:rsidR="00DD1DFA">
        <w:rPr>
          <w:noProof/>
        </w:rPr>
        <w:t> </w:t>
      </w:r>
      <w:r w:rsidR="00DD1DFA" w:rsidRPr="00DD1DFA">
        <w:rPr>
          <w:noProof/>
        </w:rPr>
        <w:t>tym</w:t>
      </w:r>
      <w:r w:rsidR="001D2830" w:rsidRPr="00DD1DFA">
        <w:rPr>
          <w:noProof/>
        </w:rPr>
        <w:t xml:space="preserve"> systemie, które ich konkretnie dotyczą. Mogą one zażądać skorygowania nieprawidłowych informacji.</w:t>
      </w:r>
    </w:p>
    <w:p w14:paraId="7D3C1CDD" w14:textId="2A0EC3DF" w:rsidR="001D2830" w:rsidRPr="00DD1DFA" w:rsidRDefault="005F7EFA" w:rsidP="005F7EFA">
      <w:pPr>
        <w:pStyle w:val="ManualNumPar1"/>
        <w:rPr>
          <w:noProof/>
        </w:rPr>
      </w:pPr>
      <w:r w:rsidRPr="005F7EFA">
        <w:t>3.</w:t>
      </w:r>
      <w:r w:rsidRPr="005F7EFA">
        <w:tab/>
      </w:r>
      <w:r w:rsidR="001D2830" w:rsidRPr="00DD1DFA">
        <w:rPr>
          <w:noProof/>
        </w:rPr>
        <w:t>W drodze aktów wykonawczych Komisja może zapewnić dostęp do tej bazy danych lub tego systemu niektórym organom państw trzecich, które dobrowolnie stosują przepisy niniejszego rozporządzenia lub</w:t>
      </w:r>
      <w:r w:rsidR="00DD1DFA" w:rsidRPr="00DD1DFA">
        <w:rPr>
          <w:noProof/>
        </w:rPr>
        <w:t xml:space="preserve"> w</w:t>
      </w:r>
      <w:r w:rsidR="00DD1DFA">
        <w:rPr>
          <w:noProof/>
        </w:rPr>
        <w:t> </w:t>
      </w:r>
      <w:r w:rsidR="00DD1DFA" w:rsidRPr="00DD1DFA">
        <w:rPr>
          <w:noProof/>
        </w:rPr>
        <w:t>któ</w:t>
      </w:r>
      <w:r w:rsidR="001D2830" w:rsidRPr="00DD1DFA">
        <w:rPr>
          <w:noProof/>
        </w:rPr>
        <w:t>rych obowiązują ramy prawne dotyczące wyrobów budowlanych podobne do ram określonych</w:t>
      </w:r>
      <w:r w:rsidR="00DD1DFA" w:rsidRPr="00DD1DFA">
        <w:rPr>
          <w:noProof/>
        </w:rPr>
        <w:t xml:space="preserve"> w</w:t>
      </w:r>
      <w:r w:rsidR="00DD1DFA">
        <w:rPr>
          <w:noProof/>
        </w:rPr>
        <w:t> </w:t>
      </w:r>
      <w:r w:rsidR="00DD1DFA" w:rsidRPr="00DD1DFA">
        <w:rPr>
          <w:noProof/>
        </w:rPr>
        <w:t>nin</w:t>
      </w:r>
      <w:r w:rsidR="001D2830" w:rsidRPr="00DD1DFA">
        <w:rPr>
          <w:noProof/>
        </w:rPr>
        <w:t>iejszym rozporządzeniu, pod warunkiem że państwa te:</w:t>
      </w:r>
    </w:p>
    <w:p w14:paraId="062C452C" w14:textId="70F82DCE" w:rsidR="001D2830" w:rsidRPr="00DD1DFA" w:rsidRDefault="003C1401" w:rsidP="003C1401">
      <w:pPr>
        <w:pStyle w:val="Point1"/>
        <w:rPr>
          <w:noProof/>
        </w:rPr>
      </w:pPr>
      <w:r w:rsidRPr="003C1401">
        <w:rPr>
          <w:noProof/>
        </w:rPr>
        <w:t>a)</w:t>
      </w:r>
      <w:r w:rsidRPr="003C1401">
        <w:rPr>
          <w:noProof/>
        </w:rPr>
        <w:tab/>
      </w:r>
      <w:r w:rsidR="001D2830" w:rsidRPr="00DD1DFA">
        <w:rPr>
          <w:noProof/>
        </w:rPr>
        <w:t>zapewnią poufność</w:t>
      </w:r>
      <w:r w:rsidR="00F7253B" w:rsidRPr="00DD1DFA">
        <w:rPr>
          <w:noProof/>
        </w:rPr>
        <w:t>;</w:t>
      </w:r>
    </w:p>
    <w:p w14:paraId="6B665843" w14:textId="31EC78E0" w:rsidR="001D2830" w:rsidRPr="00DD1DFA" w:rsidRDefault="003C1401" w:rsidP="003C1401">
      <w:pPr>
        <w:pStyle w:val="Point1"/>
        <w:rPr>
          <w:noProof/>
        </w:rPr>
      </w:pPr>
      <w:r w:rsidRPr="003C1401">
        <w:rPr>
          <w:noProof/>
        </w:rPr>
        <w:t>b)</w:t>
      </w:r>
      <w:r w:rsidRPr="003C1401">
        <w:rPr>
          <w:noProof/>
        </w:rPr>
        <w:tab/>
      </w:r>
      <w:r w:rsidR="001D2830" w:rsidRPr="00DD1DFA">
        <w:rPr>
          <w:noProof/>
        </w:rPr>
        <w:t>będą partnerami mechanizmu zgodnego</w:t>
      </w:r>
      <w:r w:rsidR="00DD1DFA" w:rsidRPr="00DD1DFA">
        <w:rPr>
          <w:noProof/>
        </w:rPr>
        <w:t xml:space="preserve"> z</w:t>
      </w:r>
      <w:r w:rsidR="00DD1DFA">
        <w:rPr>
          <w:noProof/>
        </w:rPr>
        <w:t> </w:t>
      </w:r>
      <w:r w:rsidR="00DD1DFA" w:rsidRPr="00DD1DFA">
        <w:rPr>
          <w:noProof/>
        </w:rPr>
        <w:t>pra</w:t>
      </w:r>
      <w:r w:rsidR="001D2830" w:rsidRPr="00DD1DFA">
        <w:rPr>
          <w:noProof/>
        </w:rPr>
        <w:t>wem przekazywania danych osobowych, który jest zgodny</w:t>
      </w:r>
      <w:r w:rsidR="00DD1DFA" w:rsidRPr="00DD1DFA">
        <w:rPr>
          <w:noProof/>
        </w:rPr>
        <w:t xml:space="preserve"> z</w:t>
      </w:r>
      <w:r w:rsidR="00DD1DFA">
        <w:rPr>
          <w:noProof/>
        </w:rPr>
        <w:t> </w:t>
      </w:r>
      <w:r w:rsidR="00DD1DFA" w:rsidRPr="00DD1DFA">
        <w:rPr>
          <w:noProof/>
        </w:rPr>
        <w:t>roz</w:t>
      </w:r>
      <w:r w:rsidR="001D2830" w:rsidRPr="00DD1DFA">
        <w:rPr>
          <w:noProof/>
        </w:rPr>
        <w:t>porządzeniem (UE) 2016/679</w:t>
      </w:r>
      <w:r w:rsidR="001D2830" w:rsidRPr="00DD1DFA">
        <w:rPr>
          <w:rStyle w:val="Odwoanieprzypisudolnego"/>
          <w:noProof/>
        </w:rPr>
        <w:footnoteReference w:id="48"/>
      </w:r>
      <w:r w:rsidR="00F7253B" w:rsidRPr="00DD1DFA">
        <w:rPr>
          <w:noProof/>
        </w:rPr>
        <w:t>;</w:t>
      </w:r>
    </w:p>
    <w:p w14:paraId="5054F3C8" w14:textId="0EED5CCD" w:rsidR="001D2830" w:rsidRPr="00DD1DFA" w:rsidRDefault="003C1401" w:rsidP="003C1401">
      <w:pPr>
        <w:pStyle w:val="Point1"/>
        <w:rPr>
          <w:noProof/>
        </w:rPr>
      </w:pPr>
      <w:r w:rsidRPr="003C1401">
        <w:rPr>
          <w:noProof/>
        </w:rPr>
        <w:t>c)</w:t>
      </w:r>
      <w:r w:rsidRPr="003C1401">
        <w:rPr>
          <w:noProof/>
        </w:rPr>
        <w:tab/>
      </w:r>
      <w:r w:rsidR="001D2830" w:rsidRPr="00DD1DFA">
        <w:rPr>
          <w:noProof/>
        </w:rPr>
        <w:t>zobowiążą się do aktywnego zaangażowania, przekazując informacje na temat stanu faktycznego, które mogą spowodować konieczność podjęcia działań przez organy nadzoru rynku</w:t>
      </w:r>
      <w:r w:rsidR="00F7253B" w:rsidRPr="00DD1DFA">
        <w:rPr>
          <w:noProof/>
        </w:rPr>
        <w:t>;</w:t>
      </w:r>
      <w:r w:rsidR="001D2830" w:rsidRPr="00DD1DFA">
        <w:rPr>
          <w:noProof/>
        </w:rPr>
        <w:t xml:space="preserve"> oraz</w:t>
      </w:r>
    </w:p>
    <w:p w14:paraId="661919CB" w14:textId="270DCF76" w:rsidR="001D2830" w:rsidRPr="00DD1DFA" w:rsidRDefault="003C1401" w:rsidP="003C1401">
      <w:pPr>
        <w:pStyle w:val="Point1"/>
        <w:rPr>
          <w:noProof/>
        </w:rPr>
      </w:pPr>
      <w:r w:rsidRPr="003C1401">
        <w:rPr>
          <w:noProof/>
        </w:rPr>
        <w:t>d)</w:t>
      </w:r>
      <w:r w:rsidRPr="003C1401">
        <w:rPr>
          <w:noProof/>
        </w:rPr>
        <w:tab/>
      </w:r>
      <w:r w:rsidR="001D2830" w:rsidRPr="00DD1DFA">
        <w:rPr>
          <w:noProof/>
        </w:rPr>
        <w:t>zobowiążą się do podjęcia działań przeciwko podmiotom gospodarczym naruszającym przepisy niniejszego rozporządzenia na ich terytorium.</w:t>
      </w:r>
    </w:p>
    <w:p w14:paraId="6BFF6E4A" w14:textId="021E4F54" w:rsidR="00E22C90" w:rsidRPr="00DD1DFA" w:rsidRDefault="001D2830" w:rsidP="00B31B66">
      <w:pPr>
        <w:pStyle w:val="Text1"/>
        <w:rPr>
          <w:noProof/>
        </w:rPr>
      </w:pPr>
      <w:r w:rsidRPr="00DD1DFA">
        <w:rPr>
          <w:noProof/>
        </w:rPr>
        <w:t>Te akty wykonawcze przyjmuje się zgodnie</w:t>
      </w:r>
      <w:r w:rsidR="00DD1DFA" w:rsidRPr="00DD1DFA">
        <w:rPr>
          <w:noProof/>
        </w:rPr>
        <w:t xml:space="preserve"> z</w:t>
      </w:r>
      <w:r w:rsidR="00DD1DFA">
        <w:rPr>
          <w:noProof/>
        </w:rPr>
        <w:t> </w:t>
      </w:r>
      <w:r w:rsidR="00DD1DFA" w:rsidRPr="00DD1DFA">
        <w:rPr>
          <w:noProof/>
        </w:rPr>
        <w:t>pro</w:t>
      </w:r>
      <w:r w:rsidRPr="00DD1DFA">
        <w:rPr>
          <w:noProof/>
        </w:rPr>
        <w:t>cedurą doradczą,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1.</w:t>
      </w:r>
    </w:p>
    <w:p w14:paraId="4136FC27" w14:textId="77777777" w:rsidR="00BC1E12" w:rsidRPr="00DD1DFA" w:rsidRDefault="001D2830" w:rsidP="005B2085">
      <w:pPr>
        <w:pStyle w:val="Titrearticle"/>
        <w:rPr>
          <w:noProof/>
        </w:rPr>
      </w:pPr>
      <w:r w:rsidRPr="00DD1DFA">
        <w:rPr>
          <w:noProof/>
        </w:rPr>
        <w:t>Artykuł 79</w:t>
      </w:r>
    </w:p>
    <w:p w14:paraId="757433F7" w14:textId="30B5E49E" w:rsidR="00BC1E12" w:rsidRPr="00DD1DFA" w:rsidRDefault="001D2830" w:rsidP="005B2085">
      <w:pPr>
        <w:pStyle w:val="Titrearticle"/>
        <w:rPr>
          <w:b/>
          <w:bCs/>
          <w:noProof/>
        </w:rPr>
      </w:pPr>
      <w:r w:rsidRPr="00DD1DFA">
        <w:rPr>
          <w:b/>
          <w:noProof/>
        </w:rPr>
        <w:t>Punkty kontaktowe ds. wyrobów budowlanych</w:t>
      </w:r>
    </w:p>
    <w:p w14:paraId="05FA75BB" w14:textId="4762882B" w:rsidR="001D2830" w:rsidRPr="00DD1DFA" w:rsidRDefault="005F7EFA" w:rsidP="005F7EFA">
      <w:pPr>
        <w:pStyle w:val="ManualNumPar1"/>
        <w:rPr>
          <w:noProof/>
        </w:rPr>
      </w:pPr>
      <w:r w:rsidRPr="005F7EFA">
        <w:t>1.</w:t>
      </w:r>
      <w:r w:rsidRPr="005F7EFA">
        <w:tab/>
      </w:r>
      <w:r w:rsidR="001D2830" w:rsidRPr="00DD1DFA">
        <w:rPr>
          <w:noProof/>
        </w:rPr>
        <w:t>Państwa członkowskie wspierają podmioty gospodarcze za pośrednictwem punktów kontaktowych ds. wyrobów budowlanych. Państwa członkowskie wyznaczają</w:t>
      </w:r>
      <w:r w:rsidR="00DD1DFA" w:rsidRPr="00DD1DFA">
        <w:rPr>
          <w:noProof/>
        </w:rPr>
        <w:t xml:space="preserve"> i</w:t>
      </w:r>
      <w:r w:rsidR="00DD1DFA">
        <w:rPr>
          <w:noProof/>
        </w:rPr>
        <w:t> </w:t>
      </w:r>
      <w:r w:rsidR="00DD1DFA" w:rsidRPr="00DD1DFA">
        <w:rPr>
          <w:noProof/>
        </w:rPr>
        <w:t>utr</w:t>
      </w:r>
      <w:r w:rsidR="001D2830" w:rsidRPr="00DD1DFA">
        <w:rPr>
          <w:noProof/>
        </w:rPr>
        <w:t>zymują na swoim terytorium co najmniej jeden punkt kontaktowy ds. wyrobów budowlanych</w:t>
      </w:r>
      <w:r w:rsidR="00DD1DFA" w:rsidRPr="00DD1DFA">
        <w:rPr>
          <w:noProof/>
        </w:rPr>
        <w:t xml:space="preserve"> i</w:t>
      </w:r>
      <w:r w:rsidR="00DD1DFA">
        <w:rPr>
          <w:noProof/>
        </w:rPr>
        <w:t> </w:t>
      </w:r>
      <w:r w:rsidR="00DD1DFA" w:rsidRPr="00DD1DFA">
        <w:rPr>
          <w:noProof/>
        </w:rPr>
        <w:t>zap</w:t>
      </w:r>
      <w:r w:rsidR="001D2830" w:rsidRPr="00DD1DFA">
        <w:rPr>
          <w:noProof/>
        </w:rPr>
        <w:t>ewniają, aby ich punkty kontaktowe ds. wyrobów budowlanych miały wystarczające uprawnienia</w:t>
      </w:r>
      <w:r w:rsidR="00DD1DFA" w:rsidRPr="00DD1DFA">
        <w:rPr>
          <w:noProof/>
        </w:rPr>
        <w:t xml:space="preserve"> i</w:t>
      </w:r>
      <w:r w:rsidR="00DD1DFA">
        <w:rPr>
          <w:noProof/>
        </w:rPr>
        <w:t> </w:t>
      </w:r>
      <w:r w:rsidR="00DD1DFA" w:rsidRPr="00DD1DFA">
        <w:rPr>
          <w:noProof/>
        </w:rPr>
        <w:t>odp</w:t>
      </w:r>
      <w:r w:rsidR="001D2830" w:rsidRPr="00DD1DFA">
        <w:rPr>
          <w:noProof/>
        </w:rPr>
        <w:t>owiednie zasoby do właściwego wykonywania swoich zadań,</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każ</w:t>
      </w:r>
      <w:r w:rsidR="001D2830" w:rsidRPr="00DD1DFA">
        <w:rPr>
          <w:noProof/>
        </w:rPr>
        <w:t>dym razie co najmniej jeden ekwiwalent pełnego czasu pracy na państwo członkowskie</w:t>
      </w:r>
      <w:r w:rsidR="00DD1DFA" w:rsidRPr="00DD1DFA">
        <w:rPr>
          <w:noProof/>
        </w:rPr>
        <w:t xml:space="preserve"> i</w:t>
      </w:r>
      <w:r w:rsidR="00DD1DFA">
        <w:rPr>
          <w:noProof/>
        </w:rPr>
        <w:t> </w:t>
      </w:r>
      <w:r w:rsidR="00DD1DFA" w:rsidRPr="00DD1DFA">
        <w:rPr>
          <w:noProof/>
        </w:rPr>
        <w:t>jed</w:t>
      </w:r>
      <w:r w:rsidR="001D2830" w:rsidRPr="00DD1DFA">
        <w:rPr>
          <w:noProof/>
        </w:rPr>
        <w:t>en dodatkowy ekwiwalent pełnego czasu pracy na każde dziesięć milionów mieszkańców. Zapewniają one, aby punkty kontaktowe ds. wyrobów budowlanych świadczyły swoje usługi zgodnie</w:t>
      </w:r>
      <w:r w:rsidR="00DD1DFA" w:rsidRPr="00DD1DFA">
        <w:rPr>
          <w:noProof/>
        </w:rPr>
        <w:t xml:space="preserve"> z</w:t>
      </w:r>
      <w:r w:rsidR="00DD1DFA">
        <w:rPr>
          <w:noProof/>
        </w:rPr>
        <w:t> </w:t>
      </w:r>
      <w:r w:rsidR="00DD1DFA" w:rsidRPr="00DD1DFA">
        <w:rPr>
          <w:noProof/>
        </w:rPr>
        <w:t>roz</w:t>
      </w:r>
      <w:r w:rsidR="001D2830" w:rsidRPr="00DD1DFA">
        <w:rPr>
          <w:noProof/>
        </w:rPr>
        <w:t>porządzeniem (UE) 2018/1724</w:t>
      </w:r>
      <w:r w:rsidR="001D2830" w:rsidRPr="00DD1DFA">
        <w:rPr>
          <w:rStyle w:val="Odwoanieprzypisudolnego"/>
          <w:noProof/>
        </w:rPr>
        <w:footnoteReference w:id="49"/>
      </w:r>
      <w:r w:rsidR="001D2830" w:rsidRPr="00DD1DFA">
        <w:rPr>
          <w:noProof/>
        </w:rPr>
        <w:t xml:space="preserve"> oraz aby współpracowały</w:t>
      </w:r>
      <w:r w:rsidR="00DD1DFA" w:rsidRPr="00DD1DFA">
        <w:rPr>
          <w:noProof/>
        </w:rPr>
        <w:t xml:space="preserve"> z</w:t>
      </w:r>
      <w:r w:rsidR="00DD1DFA">
        <w:rPr>
          <w:noProof/>
        </w:rPr>
        <w:t> </w:t>
      </w:r>
      <w:r w:rsidR="00DD1DFA" w:rsidRPr="00DD1DFA">
        <w:rPr>
          <w:noProof/>
        </w:rPr>
        <w:t>pun</w:t>
      </w:r>
      <w:r w:rsidR="001D2830" w:rsidRPr="00DD1DFA">
        <w:rPr>
          <w:noProof/>
        </w:rPr>
        <w:t>ktami kontaktowymi do celów wzajemnego uznawania ustanowionymi na mocy art.</w:t>
      </w:r>
      <w:r w:rsidR="00DD1DFA" w:rsidRPr="00DD1DFA">
        <w:rPr>
          <w:noProof/>
        </w:rPr>
        <w:t> </w:t>
      </w:r>
      <w:r w:rsidR="001D2830" w:rsidRPr="00DD1DFA">
        <w:rPr>
          <w:noProof/>
        </w:rPr>
        <w:t>9 ust.</w:t>
      </w:r>
      <w:r w:rsidR="00DD1DFA" w:rsidRPr="00DD1DFA">
        <w:rPr>
          <w:noProof/>
        </w:rPr>
        <w:t> </w:t>
      </w:r>
      <w:r w:rsidR="001D2830" w:rsidRPr="00DD1DFA">
        <w:rPr>
          <w:noProof/>
        </w:rPr>
        <w:t>1 rozporządzenia (UE) 2019/515</w:t>
      </w:r>
      <w:r w:rsidR="001D2830" w:rsidRPr="00DD1DFA">
        <w:rPr>
          <w:rStyle w:val="Odwoanieprzypisudolnego"/>
          <w:noProof/>
        </w:rPr>
        <w:footnoteReference w:id="50"/>
      </w:r>
      <w:r w:rsidR="001D2830" w:rsidRPr="00DD1DFA">
        <w:rPr>
          <w:noProof/>
        </w:rPr>
        <w:t>.</w:t>
      </w:r>
    </w:p>
    <w:p w14:paraId="74834918" w14:textId="670F0C94" w:rsidR="001D2830" w:rsidRPr="00DD1DFA" w:rsidRDefault="005F7EFA" w:rsidP="005F7EFA">
      <w:pPr>
        <w:pStyle w:val="ManualNumPar1"/>
        <w:rPr>
          <w:noProof/>
        </w:rPr>
      </w:pPr>
      <w:r w:rsidRPr="005F7EFA">
        <w:t>2.</w:t>
      </w:r>
      <w:r w:rsidRPr="005F7EFA">
        <w:tab/>
      </w:r>
      <w:r w:rsidR="004C4C80" w:rsidRPr="00DD1DFA">
        <w:rPr>
          <w:noProof/>
        </w:rPr>
        <w:t>Punkty kontaktowe ds. wyrobów budowlanych dostarczają, na wniosek podmiotu gospodarczego lub organu nadzoru rynku innego państwa członkowskiego, wszelkie użyteczne informacje dotyczące wyrobu, takie jak:</w:t>
      </w:r>
    </w:p>
    <w:p w14:paraId="6B980677" w14:textId="6FEA11B6" w:rsidR="001D2830" w:rsidRPr="00DD1DFA" w:rsidRDefault="003C1401" w:rsidP="003C1401">
      <w:pPr>
        <w:pStyle w:val="Point1"/>
        <w:rPr>
          <w:noProof/>
        </w:rPr>
      </w:pPr>
      <w:r w:rsidRPr="003C1401">
        <w:rPr>
          <w:noProof/>
        </w:rPr>
        <w:t>a)</w:t>
      </w:r>
      <w:r w:rsidRPr="003C1401">
        <w:rPr>
          <w:noProof/>
        </w:rPr>
        <w:tab/>
      </w:r>
      <w:r w:rsidR="001D2830" w:rsidRPr="00DD1DFA">
        <w:rPr>
          <w:noProof/>
        </w:rPr>
        <w:t xml:space="preserve">elektroniczne kopie lub dostęp </w:t>
      </w:r>
      <w:r w:rsidR="001D2830" w:rsidRPr="00DD1DFA">
        <w:rPr>
          <w:i/>
          <w:iCs/>
          <w:noProof/>
        </w:rPr>
        <w:t>on-line</w:t>
      </w:r>
      <w:r w:rsidR="001D2830" w:rsidRPr="00DD1DFA">
        <w:rPr>
          <w:noProof/>
        </w:rPr>
        <w:t xml:space="preserve"> do krajowych przepisów technicznych</w:t>
      </w:r>
      <w:r w:rsidR="00DD1DFA" w:rsidRPr="00DD1DFA">
        <w:rPr>
          <w:noProof/>
        </w:rPr>
        <w:t xml:space="preserve"> i</w:t>
      </w:r>
      <w:r w:rsidR="00DD1DFA">
        <w:rPr>
          <w:noProof/>
        </w:rPr>
        <w:t> </w:t>
      </w:r>
      <w:r w:rsidR="00DD1DFA" w:rsidRPr="00DD1DFA">
        <w:rPr>
          <w:noProof/>
        </w:rPr>
        <w:t>kra</w:t>
      </w:r>
      <w:r w:rsidR="001D2830" w:rsidRPr="00DD1DFA">
        <w:rPr>
          <w:noProof/>
        </w:rPr>
        <w:t>jowych procedur administracyjnych mających zastosowanie do wyrobów na terytorium, na którym ustanowiono punkty kontaktowe ds. wyrobów budowlanych</w:t>
      </w:r>
      <w:r w:rsidR="00F7253B" w:rsidRPr="00DD1DFA">
        <w:rPr>
          <w:noProof/>
        </w:rPr>
        <w:t>;</w:t>
      </w:r>
    </w:p>
    <w:p w14:paraId="423D0109" w14:textId="7B277184" w:rsidR="001D2830" w:rsidRPr="00DD1DFA" w:rsidRDefault="003C1401" w:rsidP="003C1401">
      <w:pPr>
        <w:pStyle w:val="Point1"/>
        <w:rPr>
          <w:noProof/>
        </w:rPr>
      </w:pPr>
      <w:r w:rsidRPr="003C1401">
        <w:rPr>
          <w:noProof/>
        </w:rPr>
        <w:t>b)</w:t>
      </w:r>
      <w:r w:rsidRPr="003C1401">
        <w:rPr>
          <w:noProof/>
        </w:rPr>
        <w:tab/>
      </w:r>
      <w:r w:rsidR="001D2830" w:rsidRPr="00DD1DFA">
        <w:rPr>
          <w:noProof/>
        </w:rPr>
        <w:t>informacje na temat tego, czy wyroby te podlegają wymogowi uzyskania uprzedniej zgody na podstawie prawa krajowego</w:t>
      </w:r>
      <w:r w:rsidR="00F7253B" w:rsidRPr="00DD1DFA">
        <w:rPr>
          <w:noProof/>
        </w:rPr>
        <w:t>;</w:t>
      </w:r>
    </w:p>
    <w:p w14:paraId="395D8F36" w14:textId="12678412" w:rsidR="001D2830" w:rsidRPr="00DD1DFA" w:rsidRDefault="003C1401" w:rsidP="003C1401">
      <w:pPr>
        <w:pStyle w:val="Point1"/>
        <w:rPr>
          <w:noProof/>
        </w:rPr>
      </w:pPr>
      <w:r w:rsidRPr="003C1401">
        <w:rPr>
          <w:noProof/>
        </w:rPr>
        <w:t>c)</w:t>
      </w:r>
      <w:r w:rsidRPr="003C1401">
        <w:rPr>
          <w:noProof/>
        </w:rPr>
        <w:tab/>
      </w:r>
      <w:r w:rsidR="001D2830" w:rsidRPr="00DD1DFA">
        <w:rPr>
          <w:noProof/>
        </w:rPr>
        <w:t>przepisy mające zastosowanie</w:t>
      </w:r>
      <w:r w:rsidR="00DD1DFA" w:rsidRPr="00DD1DFA">
        <w:rPr>
          <w:noProof/>
        </w:rPr>
        <w:t xml:space="preserve"> w</w:t>
      </w:r>
      <w:r w:rsidR="00DD1DFA">
        <w:rPr>
          <w:noProof/>
        </w:rPr>
        <w:t> </w:t>
      </w:r>
      <w:r w:rsidR="00DD1DFA" w:rsidRPr="00DD1DFA">
        <w:rPr>
          <w:noProof/>
        </w:rPr>
        <w:t>prz</w:t>
      </w:r>
      <w:r w:rsidR="001D2830" w:rsidRPr="00DD1DFA">
        <w:rPr>
          <w:noProof/>
        </w:rPr>
        <w:t>ypadku wbudowywania, złożenia lub montażu wyrobów.</w:t>
      </w:r>
    </w:p>
    <w:p w14:paraId="554BD565" w14:textId="632B808A" w:rsidR="001D2830" w:rsidRPr="00DD1DFA" w:rsidRDefault="001D2830" w:rsidP="001D2830">
      <w:pPr>
        <w:pStyle w:val="Text1"/>
        <w:rPr>
          <w:noProof/>
        </w:rPr>
      </w:pPr>
      <w:r w:rsidRPr="00DD1DFA">
        <w:rPr>
          <w:noProof/>
          <w:color w:val="000000"/>
        </w:rPr>
        <w:t>Punkty kontaktowe ds. wyrobów budowlanych</w:t>
      </w:r>
      <w:r w:rsidRPr="00DD1DFA">
        <w:rPr>
          <w:noProof/>
        </w:rPr>
        <w:t xml:space="preserve"> przekazują również informacje na temat przepisów dotyczących wyrobów ustanowionych</w:t>
      </w:r>
      <w:r w:rsidR="00DD1DFA" w:rsidRPr="00DD1DFA">
        <w:rPr>
          <w:noProof/>
        </w:rPr>
        <w:t xml:space="preserve"> w</w:t>
      </w:r>
      <w:r w:rsidR="00DD1DFA">
        <w:rPr>
          <w:noProof/>
        </w:rPr>
        <w:t> </w:t>
      </w:r>
      <w:r w:rsidR="00DD1DFA" w:rsidRPr="00DD1DFA">
        <w:rPr>
          <w:noProof/>
        </w:rPr>
        <w:t>nin</w:t>
      </w:r>
      <w:r w:rsidRPr="00DD1DFA">
        <w:rPr>
          <w:noProof/>
        </w:rPr>
        <w:t>iejszym rozporządzeniu</w:t>
      </w:r>
      <w:r w:rsidR="00DD1DFA" w:rsidRPr="00DD1DFA">
        <w:rPr>
          <w:noProof/>
        </w:rPr>
        <w:t xml:space="preserve"> i</w:t>
      </w:r>
      <w:r w:rsidR="00DD1DFA">
        <w:rPr>
          <w:noProof/>
        </w:rPr>
        <w:t> </w:t>
      </w:r>
      <w:r w:rsidR="00DD1DFA" w:rsidRPr="00DD1DFA">
        <w:rPr>
          <w:noProof/>
        </w:rPr>
        <w:t>akt</w:t>
      </w:r>
      <w:r w:rsidRPr="00DD1DFA">
        <w:rPr>
          <w:noProof/>
        </w:rPr>
        <w:t>ach przyjętych na jego podstawie.</w:t>
      </w:r>
    </w:p>
    <w:p w14:paraId="5946682B" w14:textId="03D39530" w:rsidR="001D2830" w:rsidRPr="00DD1DFA" w:rsidRDefault="005F7EFA" w:rsidP="005F7EFA">
      <w:pPr>
        <w:pStyle w:val="ManualNumPar1"/>
        <w:rPr>
          <w:noProof/>
        </w:rPr>
      </w:pPr>
      <w:r w:rsidRPr="005F7EFA">
        <w:t>3.</w:t>
      </w:r>
      <w:r w:rsidRPr="005F7EFA">
        <w:tab/>
      </w:r>
      <w:r w:rsidR="001D2830" w:rsidRPr="00DD1DFA">
        <w:rPr>
          <w:noProof/>
        </w:rPr>
        <w:t>Punkty kontaktowe ds. wyrobów budowlanych udzielają odpowiedzi</w:t>
      </w:r>
      <w:r w:rsidR="00DD1DFA" w:rsidRPr="00DD1DFA">
        <w:rPr>
          <w:noProof/>
        </w:rPr>
        <w:t xml:space="preserve"> w</w:t>
      </w:r>
      <w:r w:rsidR="00DD1DFA">
        <w:rPr>
          <w:noProof/>
        </w:rPr>
        <w:t> </w:t>
      </w:r>
      <w:r w:rsidR="00DD1DFA" w:rsidRPr="00DD1DFA">
        <w:rPr>
          <w:noProof/>
        </w:rPr>
        <w:t>ter</w:t>
      </w:r>
      <w:r w:rsidR="001D2830" w:rsidRPr="00DD1DFA">
        <w:rPr>
          <w:noProof/>
        </w:rPr>
        <w:t>minie 15 dni roboczych od otrzymania każdego wniosku przedłożonego zgodnie</w:t>
      </w:r>
      <w:r w:rsidR="00DD1DFA" w:rsidRPr="00DD1DFA">
        <w:rPr>
          <w:noProof/>
        </w:rPr>
        <w:t xml:space="preserve"> z</w:t>
      </w:r>
      <w:r w:rsidR="00DD1DFA">
        <w:rPr>
          <w:noProof/>
        </w:rPr>
        <w:t> </w:t>
      </w:r>
      <w:r w:rsidR="00DD1DFA" w:rsidRPr="00DD1DFA">
        <w:rPr>
          <w:noProof/>
        </w:rPr>
        <w:t>ust</w:t>
      </w:r>
      <w:r w:rsidR="001D2830" w:rsidRPr="00DD1DFA">
        <w:rPr>
          <w:noProof/>
        </w:rPr>
        <w:t>. 3.</w:t>
      </w:r>
    </w:p>
    <w:p w14:paraId="7D1729B6" w14:textId="38B49C0E" w:rsidR="001D2830" w:rsidRPr="00DD1DFA" w:rsidRDefault="005F7EFA" w:rsidP="005F7EFA">
      <w:pPr>
        <w:pStyle w:val="ManualNumPar1"/>
        <w:rPr>
          <w:noProof/>
        </w:rPr>
      </w:pPr>
      <w:r w:rsidRPr="005F7EFA">
        <w:t>4.</w:t>
      </w:r>
      <w:r w:rsidRPr="005F7EFA">
        <w:tab/>
      </w:r>
      <w:r w:rsidR="001D2830" w:rsidRPr="00DD1DFA">
        <w:rPr>
          <w:noProof/>
        </w:rPr>
        <w:t>Punkty kontaktowe ds. wyrobów budowlanych nie pobierają żadnych opłat za dostarczanie informacji na podstawie ust. 3.</w:t>
      </w:r>
    </w:p>
    <w:p w14:paraId="7CA82120" w14:textId="591C9608" w:rsidR="001D2830" w:rsidRPr="00DD1DFA" w:rsidRDefault="005F7EFA" w:rsidP="005F7EFA">
      <w:pPr>
        <w:pStyle w:val="ManualNumPar1"/>
        <w:rPr>
          <w:noProof/>
        </w:rPr>
      </w:pPr>
      <w:r w:rsidRPr="005F7EFA">
        <w:t>5.</w:t>
      </w:r>
      <w:r w:rsidRPr="005F7EFA">
        <w:tab/>
      </w:r>
      <w:r w:rsidR="001D2830" w:rsidRPr="00DD1DFA">
        <w:rPr>
          <w:noProof/>
        </w:rPr>
        <w:t>Punkty kontaktowe ds. wyrobów budowlanych mają możliwość wykonywania swoich zadań</w:t>
      </w:r>
      <w:r w:rsidR="00DD1DFA" w:rsidRPr="00DD1DFA">
        <w:rPr>
          <w:noProof/>
        </w:rPr>
        <w:t xml:space="preserve"> w</w:t>
      </w:r>
      <w:r w:rsidR="00DD1DFA">
        <w:rPr>
          <w:noProof/>
        </w:rPr>
        <w:t> </w:t>
      </w:r>
      <w:r w:rsidR="00DD1DFA" w:rsidRPr="00DD1DFA">
        <w:rPr>
          <w:noProof/>
        </w:rPr>
        <w:t>spo</w:t>
      </w:r>
      <w:r w:rsidR="001D2830" w:rsidRPr="00DD1DFA">
        <w:rPr>
          <w:noProof/>
        </w:rPr>
        <w:t>sób pozwalający na unikanie konfliktów interesów, zwłaszcza</w:t>
      </w:r>
      <w:r w:rsidR="00DD1DFA" w:rsidRPr="00DD1DFA">
        <w:rPr>
          <w:noProof/>
        </w:rPr>
        <w:t xml:space="preserve"> w</w:t>
      </w:r>
      <w:r w:rsidR="00DD1DFA">
        <w:rPr>
          <w:noProof/>
        </w:rPr>
        <w:t> </w:t>
      </w:r>
      <w:r w:rsidR="00DD1DFA" w:rsidRPr="00DD1DFA">
        <w:rPr>
          <w:noProof/>
        </w:rPr>
        <w:t>kwe</w:t>
      </w:r>
      <w:r w:rsidR="001D2830" w:rsidRPr="00DD1DFA">
        <w:rPr>
          <w:noProof/>
        </w:rPr>
        <w:t>stii procedur uzyskiwania oznakowania CE.</w:t>
      </w:r>
    </w:p>
    <w:p w14:paraId="590BCC1F" w14:textId="4CFE76B3" w:rsidR="001D2830" w:rsidRPr="00DD1DFA" w:rsidRDefault="005F7EFA" w:rsidP="005F7EFA">
      <w:pPr>
        <w:pStyle w:val="ManualNumPar1"/>
        <w:rPr>
          <w:noProof/>
        </w:rPr>
      </w:pPr>
      <w:r w:rsidRPr="005F7EFA">
        <w:t>6.</w:t>
      </w:r>
      <w:r w:rsidRPr="005F7EFA">
        <w:tab/>
      </w:r>
      <w:r w:rsidR="001D2830" w:rsidRPr="00DD1DFA">
        <w:rPr>
          <w:noProof/>
        </w:rPr>
        <w:t>Ust. 1–6 mają zastosowanie również do wyrobów, których nie objęto jeszcze zharmonizowanymi specyfikacjami technicznymi.</w:t>
      </w:r>
    </w:p>
    <w:p w14:paraId="34A2B913" w14:textId="0245DB66" w:rsidR="00BC1E12" w:rsidRPr="00DD1DFA" w:rsidRDefault="005F7EFA" w:rsidP="005F7EFA">
      <w:pPr>
        <w:pStyle w:val="ManualNumPar1"/>
        <w:rPr>
          <w:rFonts w:eastAsia="Times New Roman"/>
          <w:noProof/>
          <w:color w:val="000000"/>
          <w:szCs w:val="24"/>
        </w:rPr>
      </w:pPr>
      <w:r w:rsidRPr="005F7EFA">
        <w:t>7.</w:t>
      </w:r>
      <w:r w:rsidRPr="005F7EFA">
        <w:tab/>
      </w:r>
      <w:r w:rsidR="001D2830" w:rsidRPr="00DD1DFA">
        <w:rPr>
          <w:noProof/>
        </w:rPr>
        <w:t>Komisja publikuje</w:t>
      </w:r>
      <w:r w:rsidR="00DD1DFA" w:rsidRPr="00DD1DFA">
        <w:rPr>
          <w:noProof/>
        </w:rPr>
        <w:t xml:space="preserve"> i</w:t>
      </w:r>
      <w:r w:rsidR="00DD1DFA">
        <w:rPr>
          <w:noProof/>
        </w:rPr>
        <w:t> </w:t>
      </w:r>
      <w:r w:rsidR="00DD1DFA" w:rsidRPr="00DD1DFA">
        <w:rPr>
          <w:noProof/>
        </w:rPr>
        <w:t>akt</w:t>
      </w:r>
      <w:r w:rsidR="001D2830" w:rsidRPr="00DD1DFA">
        <w:rPr>
          <w:noProof/>
        </w:rPr>
        <w:t xml:space="preserve">ualizuje wykaz krajowych </w:t>
      </w:r>
      <w:r w:rsidR="001D2830" w:rsidRPr="00DD1DFA">
        <w:rPr>
          <w:noProof/>
          <w:color w:val="000000"/>
        </w:rPr>
        <w:t>punktów kontaktowych ds. wyrobów budowlanych</w:t>
      </w:r>
      <w:r w:rsidR="001D2830" w:rsidRPr="00DD1DFA">
        <w:rPr>
          <w:noProof/>
        </w:rPr>
        <w:t>.</w:t>
      </w:r>
    </w:p>
    <w:p w14:paraId="61A2D263" w14:textId="77777777" w:rsidR="00BC1E12" w:rsidRPr="00DD1DFA" w:rsidRDefault="00BC1E12" w:rsidP="005B2085">
      <w:pPr>
        <w:pStyle w:val="Titrearticle"/>
        <w:rPr>
          <w:noProof/>
        </w:rPr>
      </w:pPr>
      <w:r w:rsidRPr="00DD1DFA">
        <w:rPr>
          <w:noProof/>
        </w:rPr>
        <w:t>Artykuł 80</w:t>
      </w:r>
    </w:p>
    <w:p w14:paraId="3E6DFA8E" w14:textId="32D330D7" w:rsidR="00BC1E12" w:rsidRPr="00DD1DFA" w:rsidRDefault="001D2830" w:rsidP="005B2085">
      <w:pPr>
        <w:pStyle w:val="Titrearticle"/>
        <w:rPr>
          <w:b/>
          <w:noProof/>
        </w:rPr>
      </w:pPr>
      <w:r w:rsidRPr="00DD1DFA">
        <w:rPr>
          <w:b/>
          <w:noProof/>
        </w:rPr>
        <w:t>Szkolenie</w:t>
      </w:r>
      <w:r w:rsidR="00DD1DFA" w:rsidRPr="00DD1DFA">
        <w:rPr>
          <w:b/>
          <w:noProof/>
        </w:rPr>
        <w:t xml:space="preserve"> i</w:t>
      </w:r>
      <w:r w:rsidR="00DD1DFA">
        <w:rPr>
          <w:b/>
          <w:noProof/>
        </w:rPr>
        <w:t> </w:t>
      </w:r>
      <w:r w:rsidR="00DD1DFA" w:rsidRPr="00DD1DFA">
        <w:rPr>
          <w:b/>
          <w:noProof/>
        </w:rPr>
        <w:t>wym</w:t>
      </w:r>
      <w:r w:rsidRPr="00DD1DFA">
        <w:rPr>
          <w:b/>
          <w:noProof/>
        </w:rPr>
        <w:t>iana pracowników</w:t>
      </w:r>
    </w:p>
    <w:p w14:paraId="1C31E438" w14:textId="31040523" w:rsidR="001D2830" w:rsidRPr="00DD1DFA" w:rsidRDefault="005F7EFA" w:rsidP="005F7EFA">
      <w:pPr>
        <w:pStyle w:val="ManualNumPar1"/>
        <w:rPr>
          <w:noProof/>
          <w:color w:val="444444"/>
        </w:rPr>
      </w:pPr>
      <w:r w:rsidRPr="005F7EFA">
        <w:t>1.</w:t>
      </w:r>
      <w:r w:rsidRPr="005F7EFA">
        <w:tab/>
      </w:r>
      <w:r w:rsidR="001D2830" w:rsidRPr="00DD1DFA">
        <w:rPr>
          <w:noProof/>
        </w:rPr>
        <w:t>Organy nadzoru rynku, punkty kontaktowe ds. wyrobów budowlanych, organy wyznaczające, JOT, organy notyfikujące</w:t>
      </w:r>
      <w:r w:rsidR="00DD1DFA" w:rsidRPr="00DD1DFA">
        <w:rPr>
          <w:noProof/>
        </w:rPr>
        <w:t xml:space="preserve"> i</w:t>
      </w:r>
      <w:r w:rsidR="00DD1DFA">
        <w:rPr>
          <w:noProof/>
        </w:rPr>
        <w:t> </w:t>
      </w:r>
      <w:r w:rsidR="00DD1DFA" w:rsidRPr="00DD1DFA">
        <w:rPr>
          <w:noProof/>
        </w:rPr>
        <w:t>jed</w:t>
      </w:r>
      <w:r w:rsidR="001D2830" w:rsidRPr="00DD1DFA">
        <w:rPr>
          <w:noProof/>
        </w:rPr>
        <w:t>nostki notyfikowane gwarantują, że ich pracownicy:</w:t>
      </w:r>
    </w:p>
    <w:p w14:paraId="410CE886" w14:textId="10B9333A" w:rsidR="001D2830" w:rsidRPr="00DD1DFA" w:rsidRDefault="003C1401" w:rsidP="003C1401">
      <w:pPr>
        <w:pStyle w:val="Point1"/>
        <w:rPr>
          <w:noProof/>
        </w:rPr>
      </w:pPr>
      <w:r w:rsidRPr="003C1401">
        <w:rPr>
          <w:noProof/>
        </w:rPr>
        <w:t>a)</w:t>
      </w:r>
      <w:r w:rsidRPr="003C1401">
        <w:rPr>
          <w:noProof/>
        </w:rPr>
        <w:tab/>
      </w:r>
      <w:r w:rsidR="001D2830" w:rsidRPr="00DD1DFA">
        <w:rPr>
          <w:noProof/>
        </w:rPr>
        <w:t>na bieżąco uzupełniają wiedzę</w:t>
      </w:r>
      <w:r w:rsidR="00DD1DFA" w:rsidRPr="00DD1DFA">
        <w:rPr>
          <w:noProof/>
        </w:rPr>
        <w:t xml:space="preserve"> w</w:t>
      </w:r>
      <w:r w:rsidR="00DD1DFA">
        <w:rPr>
          <w:noProof/>
        </w:rPr>
        <w:t> </w:t>
      </w:r>
      <w:r w:rsidR="00DD1DFA" w:rsidRPr="00DD1DFA">
        <w:rPr>
          <w:noProof/>
        </w:rPr>
        <w:t>zak</w:t>
      </w:r>
      <w:r w:rsidR="001D2830" w:rsidRPr="00DD1DFA">
        <w:rPr>
          <w:noProof/>
        </w:rPr>
        <w:t>resie swoich kompetencji</w:t>
      </w:r>
      <w:r w:rsidR="00DD1DFA" w:rsidRPr="00DD1DFA">
        <w:rPr>
          <w:noProof/>
        </w:rPr>
        <w:t xml:space="preserve"> i</w:t>
      </w:r>
      <w:r w:rsidR="00DD1DFA">
        <w:rPr>
          <w:noProof/>
        </w:rPr>
        <w:t> </w:t>
      </w:r>
      <w:r w:rsidR="00DD1DFA" w:rsidRPr="00DD1DFA">
        <w:rPr>
          <w:noProof/>
        </w:rPr>
        <w:t>w</w:t>
      </w:r>
      <w:r w:rsidR="00DD1DFA">
        <w:rPr>
          <w:noProof/>
        </w:rPr>
        <w:t> </w:t>
      </w:r>
      <w:r w:rsidR="00DD1DFA" w:rsidRPr="00DD1DFA">
        <w:rPr>
          <w:noProof/>
        </w:rPr>
        <w:t>tym</w:t>
      </w:r>
      <w:r w:rsidR="001D2830" w:rsidRPr="00DD1DFA">
        <w:rPr>
          <w:noProof/>
        </w:rPr>
        <w:t xml:space="preserve"> celu odbywają okresowe szkolenia dodatkowe; oraz</w:t>
      </w:r>
    </w:p>
    <w:p w14:paraId="27412EA7" w14:textId="10C214F8" w:rsidR="001D2830" w:rsidRPr="00DD1DFA" w:rsidRDefault="003C1401" w:rsidP="003C1401">
      <w:pPr>
        <w:pStyle w:val="Point1"/>
        <w:rPr>
          <w:noProof/>
        </w:rPr>
      </w:pPr>
      <w:r w:rsidRPr="003C1401">
        <w:rPr>
          <w:noProof/>
        </w:rPr>
        <w:t>b)</w:t>
      </w:r>
      <w:r w:rsidRPr="003C1401">
        <w:rPr>
          <w:noProof/>
        </w:rPr>
        <w:tab/>
      </w:r>
      <w:r w:rsidR="001D2830" w:rsidRPr="00DD1DFA">
        <w:rPr>
          <w:noProof/>
        </w:rPr>
        <w:t>są okresowo szkoleni</w:t>
      </w:r>
      <w:r w:rsidR="00DD1DFA" w:rsidRPr="00DD1DFA">
        <w:rPr>
          <w:noProof/>
        </w:rPr>
        <w:t xml:space="preserve"> w</w:t>
      </w:r>
      <w:r w:rsidR="00DD1DFA">
        <w:rPr>
          <w:noProof/>
        </w:rPr>
        <w:t> </w:t>
      </w:r>
      <w:r w:rsidR="00DD1DFA" w:rsidRPr="00DD1DFA">
        <w:rPr>
          <w:noProof/>
        </w:rPr>
        <w:t>zak</w:t>
      </w:r>
      <w:r w:rsidR="001D2830" w:rsidRPr="00DD1DFA">
        <w:rPr>
          <w:noProof/>
        </w:rPr>
        <w:t>resie zharmonizowanej interpretacji</w:t>
      </w:r>
      <w:r w:rsidR="00DD1DFA" w:rsidRPr="00DD1DFA">
        <w:rPr>
          <w:noProof/>
        </w:rPr>
        <w:t xml:space="preserve"> i</w:t>
      </w:r>
      <w:r w:rsidR="00DD1DFA">
        <w:rPr>
          <w:noProof/>
        </w:rPr>
        <w:t> </w:t>
      </w:r>
      <w:r w:rsidR="00DD1DFA" w:rsidRPr="00DD1DFA">
        <w:rPr>
          <w:noProof/>
        </w:rPr>
        <w:t>zha</w:t>
      </w:r>
      <w:r w:rsidR="001D2830" w:rsidRPr="00DD1DFA">
        <w:rPr>
          <w:noProof/>
        </w:rPr>
        <w:t>rmonizowanego stosowania przepisów ustanowionych</w:t>
      </w:r>
      <w:r w:rsidR="00DD1DFA" w:rsidRPr="00DD1DFA">
        <w:rPr>
          <w:noProof/>
        </w:rPr>
        <w:t xml:space="preserve"> w</w:t>
      </w:r>
      <w:r w:rsidR="00DD1DFA">
        <w:rPr>
          <w:noProof/>
        </w:rPr>
        <w:t> </w:t>
      </w:r>
      <w:r w:rsidR="00DD1DFA" w:rsidRPr="00DD1DFA">
        <w:rPr>
          <w:noProof/>
        </w:rPr>
        <w:t>nin</w:t>
      </w:r>
      <w:r w:rsidR="001D2830" w:rsidRPr="00DD1DFA">
        <w:rPr>
          <w:noProof/>
        </w:rPr>
        <w:t>iejszym rozporządzeniu lub na jego podstawie.</w:t>
      </w:r>
    </w:p>
    <w:p w14:paraId="0AA78B92" w14:textId="1A9DC10E" w:rsidR="001D2830" w:rsidRPr="00DD1DFA" w:rsidRDefault="005F7EFA" w:rsidP="005F7EFA">
      <w:pPr>
        <w:pStyle w:val="ManualNumPar1"/>
        <w:rPr>
          <w:noProof/>
        </w:rPr>
      </w:pPr>
      <w:r w:rsidRPr="005F7EFA">
        <w:t>2.</w:t>
      </w:r>
      <w:r w:rsidRPr="005F7EFA">
        <w:tab/>
      </w:r>
      <w:r w:rsidR="001D2830" w:rsidRPr="00DD1DFA">
        <w:rPr>
          <w:noProof/>
        </w:rPr>
        <w:t>Komisja organizuje okresowo, a co najmniej raz</w:t>
      </w:r>
      <w:r w:rsidR="00DD1DFA" w:rsidRPr="00DD1DFA">
        <w:rPr>
          <w:noProof/>
        </w:rPr>
        <w:t xml:space="preserve"> w</w:t>
      </w:r>
      <w:r w:rsidR="00DD1DFA">
        <w:rPr>
          <w:noProof/>
        </w:rPr>
        <w:t> </w:t>
      </w:r>
      <w:r w:rsidR="00DD1DFA" w:rsidRPr="00DD1DFA">
        <w:rPr>
          <w:noProof/>
        </w:rPr>
        <w:t>rok</w:t>
      </w:r>
      <w:r w:rsidR="001D2830" w:rsidRPr="00DD1DFA">
        <w:rPr>
          <w:noProof/>
        </w:rPr>
        <w:t>u, wspólne szkolenia dla pracowników organów nadzoru rynku, organów notyfikujących</w:t>
      </w:r>
      <w:r w:rsidR="00DD1DFA" w:rsidRPr="00DD1DFA">
        <w:rPr>
          <w:noProof/>
        </w:rPr>
        <w:t xml:space="preserve"> i</w:t>
      </w:r>
      <w:r w:rsidR="00DD1DFA">
        <w:rPr>
          <w:noProof/>
        </w:rPr>
        <w:t> </w:t>
      </w:r>
      <w:r w:rsidR="00DD1DFA" w:rsidRPr="00DD1DFA">
        <w:rPr>
          <w:noProof/>
        </w:rPr>
        <w:t>jed</w:t>
      </w:r>
      <w:r w:rsidR="001D2830" w:rsidRPr="00DD1DFA">
        <w:rPr>
          <w:noProof/>
        </w:rPr>
        <w:t>nostek notyfikowanych. Komisja organizuje te szkolenia we współpracy</w:t>
      </w:r>
      <w:r w:rsidR="00DD1DFA" w:rsidRPr="00DD1DFA">
        <w:rPr>
          <w:noProof/>
        </w:rPr>
        <w:t xml:space="preserve"> z</w:t>
      </w:r>
      <w:r w:rsidR="00DD1DFA">
        <w:rPr>
          <w:noProof/>
        </w:rPr>
        <w:t> </w:t>
      </w:r>
      <w:r w:rsidR="00DD1DFA" w:rsidRPr="00DD1DFA">
        <w:rPr>
          <w:noProof/>
        </w:rPr>
        <w:t>pań</w:t>
      </w:r>
      <w:r w:rsidR="001D2830" w:rsidRPr="00DD1DFA">
        <w:rPr>
          <w:noProof/>
        </w:rPr>
        <w:t>stwami członkowskimi.</w:t>
      </w:r>
    </w:p>
    <w:p w14:paraId="58A21DC7" w14:textId="47FF815E" w:rsidR="001D2830" w:rsidRPr="00DD1DFA" w:rsidRDefault="001D2830" w:rsidP="0054230D">
      <w:pPr>
        <w:pStyle w:val="Text1"/>
        <w:rPr>
          <w:noProof/>
          <w:color w:val="000000"/>
        </w:rPr>
      </w:pPr>
      <w:r w:rsidRPr="00DD1DFA">
        <w:rPr>
          <w:noProof/>
        </w:rPr>
        <w:t>W szkoleniach mogą uczestniczyć pracownicy organów wyznaczonych na podstawie art.</w:t>
      </w:r>
      <w:r w:rsidR="00DD1DFA" w:rsidRPr="00DD1DFA">
        <w:rPr>
          <w:noProof/>
        </w:rPr>
        <w:t> </w:t>
      </w:r>
      <w:r w:rsidRPr="00DD1DFA">
        <w:rPr>
          <w:noProof/>
        </w:rPr>
        <w:t>25 ust.</w:t>
      </w:r>
      <w:r w:rsidR="00DD1DFA" w:rsidRPr="00DD1DFA">
        <w:rPr>
          <w:noProof/>
        </w:rPr>
        <w:t> </w:t>
      </w:r>
      <w:r w:rsidRPr="00DD1DFA">
        <w:rPr>
          <w:noProof/>
        </w:rPr>
        <w:t>1 rozporządzenia (UE) 2019/1020, jednolitych urzędów łącznikowych wyznaczonych na podstawie art.</w:t>
      </w:r>
      <w:r w:rsidR="00DD1DFA" w:rsidRPr="00DD1DFA">
        <w:rPr>
          <w:noProof/>
        </w:rPr>
        <w:t> </w:t>
      </w:r>
      <w:r w:rsidRPr="00DD1DFA">
        <w:rPr>
          <w:noProof/>
        </w:rPr>
        <w:t>10 ust.</w:t>
      </w:r>
      <w:r w:rsidR="00DD1DFA" w:rsidRPr="00DD1DFA">
        <w:rPr>
          <w:noProof/>
        </w:rPr>
        <w:t> </w:t>
      </w:r>
      <w:r w:rsidRPr="00DD1DFA">
        <w:rPr>
          <w:noProof/>
        </w:rPr>
        <w:t>3 rozporządzenia (UE) 2019/1020 oraz,</w:t>
      </w:r>
      <w:r w:rsidR="00DD1DFA" w:rsidRPr="00DD1DFA">
        <w:rPr>
          <w:noProof/>
        </w:rPr>
        <w:t xml:space="preserve"> w</w:t>
      </w:r>
      <w:r w:rsidR="00DD1DFA">
        <w:rPr>
          <w:noProof/>
        </w:rPr>
        <w:t> </w:t>
      </w:r>
      <w:r w:rsidR="00DD1DFA" w:rsidRPr="00DD1DFA">
        <w:rPr>
          <w:noProof/>
        </w:rPr>
        <w:t>sto</w:t>
      </w:r>
      <w:r w:rsidRPr="00DD1DFA">
        <w:rPr>
          <w:noProof/>
        </w:rPr>
        <w:t>sownych przypadkach, innych organów państw członkowskich zaangażowanych we wdrażanie lub egzekwowanie przepisów niniejszego rozporządzenia</w:t>
      </w:r>
      <w:r w:rsidR="00DD1DFA" w:rsidRPr="00DD1DFA">
        <w:rPr>
          <w:noProof/>
        </w:rPr>
        <w:t>. W</w:t>
      </w:r>
      <w:r w:rsidR="00DD1DFA">
        <w:rPr>
          <w:noProof/>
        </w:rPr>
        <w:t> </w:t>
      </w:r>
      <w:r w:rsidR="00DD1DFA" w:rsidRPr="00DD1DFA">
        <w:rPr>
          <w:noProof/>
        </w:rPr>
        <w:t>dro</w:t>
      </w:r>
      <w:r w:rsidRPr="00DD1DFA">
        <w:rPr>
          <w:noProof/>
        </w:rPr>
        <w:t xml:space="preserve">dze przyjętej decyzji wykonawczej Komisja może zapewnić dostęp państwom trzecim, </w:t>
      </w:r>
      <w:r w:rsidRPr="00DD1DFA">
        <w:rPr>
          <w:noProof/>
          <w:color w:val="000000"/>
        </w:rPr>
        <w:t>które dobrowolnie stosują przepisy niniejszego rozporządzenia lub</w:t>
      </w:r>
      <w:r w:rsidR="00DD1DFA" w:rsidRPr="00DD1DFA">
        <w:rPr>
          <w:noProof/>
          <w:color w:val="000000"/>
        </w:rPr>
        <w:t xml:space="preserve"> w</w:t>
      </w:r>
      <w:r w:rsidR="00DD1DFA">
        <w:rPr>
          <w:noProof/>
          <w:color w:val="000000"/>
        </w:rPr>
        <w:t> </w:t>
      </w:r>
      <w:r w:rsidR="00DD1DFA" w:rsidRPr="00DD1DFA">
        <w:rPr>
          <w:noProof/>
          <w:color w:val="000000"/>
        </w:rPr>
        <w:t>któ</w:t>
      </w:r>
      <w:r w:rsidRPr="00DD1DFA">
        <w:rPr>
          <w:noProof/>
          <w:color w:val="000000"/>
        </w:rPr>
        <w:t>rych obowiązują ramy prawne dotyczące wyrobów budowlanych podobne do ram określonych</w:t>
      </w:r>
      <w:r w:rsidR="00DD1DFA" w:rsidRPr="00DD1DFA">
        <w:rPr>
          <w:noProof/>
          <w:color w:val="000000"/>
        </w:rPr>
        <w:t xml:space="preserve"> w</w:t>
      </w:r>
      <w:r w:rsidR="00DD1DFA">
        <w:rPr>
          <w:noProof/>
          <w:color w:val="000000"/>
        </w:rPr>
        <w:t> </w:t>
      </w:r>
      <w:r w:rsidR="00DD1DFA" w:rsidRPr="00DD1DFA">
        <w:rPr>
          <w:noProof/>
          <w:color w:val="000000"/>
        </w:rPr>
        <w:t>nin</w:t>
      </w:r>
      <w:r w:rsidRPr="00DD1DFA">
        <w:rPr>
          <w:noProof/>
          <w:color w:val="000000"/>
        </w:rPr>
        <w:t>iejszym rozporządzeniu.</w:t>
      </w:r>
    </w:p>
    <w:p w14:paraId="5E5D4EE8" w14:textId="6E179915" w:rsidR="001D2830" w:rsidRPr="00DD1DFA" w:rsidRDefault="001D2830" w:rsidP="0054230D">
      <w:pPr>
        <w:pStyle w:val="Text1"/>
        <w:rPr>
          <w:noProof/>
          <w:color w:val="444444"/>
        </w:rPr>
      </w:pPr>
      <w:r w:rsidRPr="00DD1DFA">
        <w:rPr>
          <w:noProof/>
        </w:rPr>
        <w:t>Te akty wykonawcze przyjmuje się zgodnie</w:t>
      </w:r>
      <w:r w:rsidR="00DD1DFA" w:rsidRPr="00DD1DFA">
        <w:rPr>
          <w:noProof/>
        </w:rPr>
        <w:t xml:space="preserve"> z</w:t>
      </w:r>
      <w:r w:rsidR="00DD1DFA">
        <w:rPr>
          <w:noProof/>
        </w:rPr>
        <w:t> </w:t>
      </w:r>
      <w:r w:rsidR="00DD1DFA" w:rsidRPr="00DD1DFA">
        <w:rPr>
          <w:noProof/>
        </w:rPr>
        <w:t>pro</w:t>
      </w:r>
      <w:r w:rsidRPr="00DD1DFA">
        <w:rPr>
          <w:noProof/>
        </w:rPr>
        <w:t>cedurą doradczą,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1.</w:t>
      </w:r>
    </w:p>
    <w:p w14:paraId="3CA8FE89" w14:textId="6AE2D1F6" w:rsidR="00BC1E12" w:rsidRPr="00DD1DFA" w:rsidRDefault="005F7EFA" w:rsidP="005F7EFA">
      <w:pPr>
        <w:pStyle w:val="ManualNumPar1"/>
        <w:rPr>
          <w:noProof/>
        </w:rPr>
      </w:pPr>
      <w:r w:rsidRPr="005F7EFA">
        <w:t>3.</w:t>
      </w:r>
      <w:r w:rsidRPr="005F7EFA">
        <w:tab/>
      </w:r>
      <w:r w:rsidR="001D2830" w:rsidRPr="00DD1DFA">
        <w:rPr>
          <w:noProof/>
        </w:rPr>
        <w:t>We współpracy</w:t>
      </w:r>
      <w:r w:rsidR="00DD1DFA" w:rsidRPr="00DD1DFA">
        <w:rPr>
          <w:noProof/>
        </w:rPr>
        <w:t xml:space="preserve"> z</w:t>
      </w:r>
      <w:r w:rsidR="00DD1DFA">
        <w:rPr>
          <w:noProof/>
        </w:rPr>
        <w:t> </w:t>
      </w:r>
      <w:r w:rsidR="00DD1DFA" w:rsidRPr="00DD1DFA">
        <w:rPr>
          <w:noProof/>
        </w:rPr>
        <w:t>pań</w:t>
      </w:r>
      <w:r w:rsidR="001D2830" w:rsidRPr="00DD1DFA">
        <w:rPr>
          <w:noProof/>
        </w:rPr>
        <w:t>stwami członkowskimi Komisja może organizować programy wymiany pracowników między organami nadzoru rynku, organami notyfikującymi</w:t>
      </w:r>
      <w:r w:rsidR="00DD1DFA" w:rsidRPr="00DD1DFA">
        <w:rPr>
          <w:noProof/>
        </w:rPr>
        <w:t xml:space="preserve"> i</w:t>
      </w:r>
      <w:r w:rsidR="00DD1DFA">
        <w:rPr>
          <w:noProof/>
        </w:rPr>
        <w:t> </w:t>
      </w:r>
      <w:r w:rsidR="00DD1DFA" w:rsidRPr="00DD1DFA">
        <w:rPr>
          <w:noProof/>
        </w:rPr>
        <w:t>jed</w:t>
      </w:r>
      <w:r w:rsidR="001D2830" w:rsidRPr="00DD1DFA">
        <w:rPr>
          <w:noProof/>
        </w:rPr>
        <w:t>nostkami notyfikowanymi z co najmniej dwóch państw członkowskich.</w:t>
      </w:r>
    </w:p>
    <w:p w14:paraId="3A39A8F5" w14:textId="77777777" w:rsidR="00BC1E12" w:rsidRPr="00DD1DFA" w:rsidRDefault="0054230D" w:rsidP="00E50B64">
      <w:pPr>
        <w:pStyle w:val="Titrearticle"/>
        <w:rPr>
          <w:noProof/>
        </w:rPr>
      </w:pPr>
      <w:r w:rsidRPr="00DD1DFA">
        <w:rPr>
          <w:noProof/>
        </w:rPr>
        <w:t>Artykuł 81</w:t>
      </w:r>
    </w:p>
    <w:p w14:paraId="51139B04" w14:textId="697E08F1" w:rsidR="00BC1E12" w:rsidRPr="00DD1DFA" w:rsidRDefault="0054230D" w:rsidP="00E50B64">
      <w:pPr>
        <w:pStyle w:val="Titrearticle"/>
        <w:rPr>
          <w:b/>
          <w:noProof/>
        </w:rPr>
      </w:pPr>
      <w:r w:rsidRPr="00DD1DFA">
        <w:rPr>
          <w:b/>
          <w:noProof/>
        </w:rPr>
        <w:t>Podział ról</w:t>
      </w:r>
      <w:r w:rsidR="00DD1DFA" w:rsidRPr="00DD1DFA">
        <w:rPr>
          <w:b/>
          <w:noProof/>
        </w:rPr>
        <w:t xml:space="preserve"> i</w:t>
      </w:r>
      <w:r w:rsidR="00DD1DFA">
        <w:rPr>
          <w:b/>
          <w:noProof/>
        </w:rPr>
        <w:t> </w:t>
      </w:r>
      <w:r w:rsidR="00DD1DFA" w:rsidRPr="00DD1DFA">
        <w:rPr>
          <w:b/>
          <w:noProof/>
        </w:rPr>
        <w:t>wsp</w:t>
      </w:r>
      <w:r w:rsidRPr="00DD1DFA">
        <w:rPr>
          <w:b/>
          <w:noProof/>
        </w:rPr>
        <w:t>ólne podejmowanie decyzji</w:t>
      </w:r>
    </w:p>
    <w:p w14:paraId="782EC463" w14:textId="1A2725D3" w:rsidR="0054230D" w:rsidRPr="00DD1DFA" w:rsidRDefault="005F7EFA" w:rsidP="005F7EFA">
      <w:pPr>
        <w:pStyle w:val="ManualNumPar1"/>
        <w:rPr>
          <w:noProof/>
          <w:color w:val="444444"/>
        </w:rPr>
      </w:pPr>
      <w:r w:rsidRPr="005F7EFA">
        <w:t>1.</w:t>
      </w:r>
      <w:r w:rsidRPr="005F7EFA">
        <w:tab/>
      </w:r>
      <w:r w:rsidR="0054230D" w:rsidRPr="00DD1DFA">
        <w:rPr>
          <w:noProof/>
        </w:rPr>
        <w:t>W celu wypełnienia swoich obowiązków wynikających</w:t>
      </w:r>
      <w:r w:rsidR="00DD1DFA" w:rsidRPr="00DD1DFA">
        <w:rPr>
          <w:noProof/>
        </w:rPr>
        <w:t xml:space="preserve"> z</w:t>
      </w:r>
      <w:r w:rsidR="00DD1DFA">
        <w:rPr>
          <w:noProof/>
        </w:rPr>
        <w:t> </w:t>
      </w:r>
      <w:r w:rsidR="00DD1DFA" w:rsidRPr="00DD1DFA">
        <w:rPr>
          <w:noProof/>
        </w:rPr>
        <w:t>nin</w:t>
      </w:r>
      <w:r w:rsidR="0054230D" w:rsidRPr="00DD1DFA">
        <w:rPr>
          <w:noProof/>
        </w:rPr>
        <w:t>iejszego rozporządzenia</w:t>
      </w:r>
      <w:r w:rsidR="00DD1DFA" w:rsidRPr="00DD1DFA">
        <w:rPr>
          <w:noProof/>
        </w:rPr>
        <w:t xml:space="preserve"> w</w:t>
      </w:r>
      <w:r w:rsidR="00DD1DFA">
        <w:rPr>
          <w:noProof/>
        </w:rPr>
        <w:t> </w:t>
      </w:r>
      <w:r w:rsidR="00DD1DFA" w:rsidRPr="00DD1DFA">
        <w:rPr>
          <w:noProof/>
        </w:rPr>
        <w:t>zak</w:t>
      </w:r>
      <w:r w:rsidR="0054230D" w:rsidRPr="00DD1DFA">
        <w:rPr>
          <w:noProof/>
        </w:rPr>
        <w:t>resie nadzoru rynku, wyznaczania</w:t>
      </w:r>
      <w:r w:rsidR="00DD1DFA" w:rsidRPr="00DD1DFA">
        <w:rPr>
          <w:noProof/>
        </w:rPr>
        <w:t xml:space="preserve"> i</w:t>
      </w:r>
      <w:r w:rsidR="00DD1DFA">
        <w:rPr>
          <w:noProof/>
        </w:rPr>
        <w:t> </w:t>
      </w:r>
      <w:r w:rsidR="00DD1DFA" w:rsidRPr="00DD1DFA">
        <w:rPr>
          <w:noProof/>
        </w:rPr>
        <w:t>nad</w:t>
      </w:r>
      <w:r w:rsidR="0054230D" w:rsidRPr="00DD1DFA">
        <w:rPr>
          <w:noProof/>
        </w:rPr>
        <w:t>zorowania JOT, jednostek notyfikowanych</w:t>
      </w:r>
      <w:r w:rsidR="00DD1DFA" w:rsidRPr="00DD1DFA">
        <w:rPr>
          <w:noProof/>
        </w:rPr>
        <w:t xml:space="preserve"> i</w:t>
      </w:r>
      <w:r w:rsidR="00DD1DFA">
        <w:rPr>
          <w:noProof/>
        </w:rPr>
        <w:t> </w:t>
      </w:r>
      <w:r w:rsidR="00DD1DFA" w:rsidRPr="00DD1DFA">
        <w:rPr>
          <w:noProof/>
        </w:rPr>
        <w:t>pun</w:t>
      </w:r>
      <w:r w:rsidR="0054230D" w:rsidRPr="00DD1DFA">
        <w:rPr>
          <w:noProof/>
        </w:rPr>
        <w:t>któw kontaktowych ds. wyrobów budowlanych państwa członkowskie mogą wyznaczyć:</w:t>
      </w:r>
    </w:p>
    <w:p w14:paraId="3531054C" w14:textId="28C98BDA" w:rsidR="0054230D" w:rsidRPr="00DD1DFA" w:rsidRDefault="003C1401" w:rsidP="003C1401">
      <w:pPr>
        <w:pStyle w:val="Point1"/>
        <w:rPr>
          <w:noProof/>
        </w:rPr>
      </w:pPr>
      <w:r w:rsidRPr="003C1401">
        <w:rPr>
          <w:noProof/>
        </w:rPr>
        <w:t>a)</w:t>
      </w:r>
      <w:r w:rsidRPr="003C1401">
        <w:rPr>
          <w:noProof/>
        </w:rPr>
        <w:tab/>
      </w:r>
      <w:r w:rsidR="0054230D" w:rsidRPr="00DD1DFA">
        <w:rPr>
          <w:noProof/>
        </w:rPr>
        <w:t>jednostkę lub organ ustanowione we współpracy</w:t>
      </w:r>
      <w:r w:rsidR="00DD1DFA" w:rsidRPr="00DD1DFA">
        <w:rPr>
          <w:noProof/>
        </w:rPr>
        <w:t xml:space="preserve"> z</w:t>
      </w:r>
      <w:r w:rsidR="00DD1DFA">
        <w:rPr>
          <w:noProof/>
        </w:rPr>
        <w:t> </w:t>
      </w:r>
      <w:r w:rsidR="00DD1DFA" w:rsidRPr="00DD1DFA">
        <w:rPr>
          <w:noProof/>
        </w:rPr>
        <w:t>inn</w:t>
      </w:r>
      <w:r w:rsidR="0054230D" w:rsidRPr="00DD1DFA">
        <w:rPr>
          <w:noProof/>
        </w:rPr>
        <w:t>ym państwem członkowskim lub innymi państwami członkowskimi do celów wspólnego wyznaczania;</w:t>
      </w:r>
    </w:p>
    <w:p w14:paraId="34A50DDA" w14:textId="3AF41067" w:rsidR="0054230D" w:rsidRPr="00DD1DFA" w:rsidRDefault="003C1401" w:rsidP="003C1401">
      <w:pPr>
        <w:pStyle w:val="Point1"/>
        <w:rPr>
          <w:noProof/>
        </w:rPr>
      </w:pPr>
      <w:r w:rsidRPr="003C1401">
        <w:rPr>
          <w:noProof/>
        </w:rPr>
        <w:t>b)</w:t>
      </w:r>
      <w:r w:rsidRPr="003C1401">
        <w:rPr>
          <w:noProof/>
        </w:rPr>
        <w:tab/>
      </w:r>
      <w:r w:rsidR="0054230D" w:rsidRPr="00DD1DFA">
        <w:rPr>
          <w:noProof/>
        </w:rPr>
        <w:t>jednostkę lub organ wyznaczone już przez inne państwo członkowskie do tego samego celu, we współpracy</w:t>
      </w:r>
      <w:r w:rsidR="00DD1DFA" w:rsidRPr="00DD1DFA">
        <w:rPr>
          <w:noProof/>
        </w:rPr>
        <w:t xml:space="preserve"> z</w:t>
      </w:r>
      <w:r w:rsidR="00DD1DFA">
        <w:rPr>
          <w:noProof/>
        </w:rPr>
        <w:t> </w:t>
      </w:r>
      <w:r w:rsidR="00DD1DFA" w:rsidRPr="00DD1DFA">
        <w:rPr>
          <w:noProof/>
        </w:rPr>
        <w:t>tym</w:t>
      </w:r>
      <w:r w:rsidR="0054230D" w:rsidRPr="00DD1DFA">
        <w:rPr>
          <w:noProof/>
        </w:rPr>
        <w:t xml:space="preserve"> państwem członkowskim</w:t>
      </w:r>
      <w:r w:rsidR="00F7253B" w:rsidRPr="00DD1DFA">
        <w:rPr>
          <w:noProof/>
        </w:rPr>
        <w:t>.</w:t>
      </w:r>
    </w:p>
    <w:p w14:paraId="3B11247C" w14:textId="1F9F0BA1" w:rsidR="0054230D" w:rsidRPr="00DD1DFA" w:rsidRDefault="0054230D" w:rsidP="0054230D">
      <w:pPr>
        <w:pStyle w:val="Text1"/>
        <w:rPr>
          <w:noProof/>
        </w:rPr>
      </w:pPr>
      <w:r w:rsidRPr="00DD1DFA">
        <w:rPr>
          <w:noProof/>
        </w:rPr>
        <w:t>Zainteresowane państwa członkowskie wspólnie zapewniają spełnienie wszystkich stosownych wymogów przez wspólne jednostki lub organy. Państwa członkowskie ponoszą za nie wspólną odpowiedzialność, natomiast decyzje podjęte wobec osób fizycznych lub prawnych</w:t>
      </w:r>
      <w:r w:rsidR="00DD1DFA" w:rsidRPr="00DD1DFA">
        <w:rPr>
          <w:noProof/>
        </w:rPr>
        <w:t xml:space="preserve"> w</w:t>
      </w:r>
      <w:r w:rsidR="00DD1DFA">
        <w:rPr>
          <w:noProof/>
        </w:rPr>
        <w:t> </w:t>
      </w:r>
      <w:r w:rsidR="00DD1DFA" w:rsidRPr="00DD1DFA">
        <w:rPr>
          <w:noProof/>
        </w:rPr>
        <w:t>dan</w:t>
      </w:r>
      <w:r w:rsidRPr="00DD1DFA">
        <w:rPr>
          <w:noProof/>
        </w:rPr>
        <w:t>ym państwie członkowskim są prawnie przypisywane wyłącznie temu państwu członkowskiemu.</w:t>
      </w:r>
    </w:p>
    <w:p w14:paraId="1BB17D0B" w14:textId="2BA954CE" w:rsidR="0054230D" w:rsidRPr="00DD1DFA" w:rsidRDefault="005F7EFA" w:rsidP="005F7EFA">
      <w:pPr>
        <w:pStyle w:val="ManualNumPar1"/>
        <w:rPr>
          <w:noProof/>
          <w:color w:val="444444"/>
        </w:rPr>
      </w:pPr>
      <w:r w:rsidRPr="005F7EFA">
        <w:t>2.</w:t>
      </w:r>
      <w:r w:rsidRPr="005F7EFA">
        <w:tab/>
      </w:r>
      <w:r w:rsidR="0054230D" w:rsidRPr="00DD1DFA">
        <w:rPr>
          <w:noProof/>
        </w:rPr>
        <w:t>Organy różnych państw członkowskich mogą, bez uszczerbku dla ich indywidualnych obowiązków wynikających</w:t>
      </w:r>
      <w:r w:rsidR="00DD1DFA" w:rsidRPr="00DD1DFA">
        <w:rPr>
          <w:noProof/>
        </w:rPr>
        <w:t xml:space="preserve"> z</w:t>
      </w:r>
      <w:r w:rsidR="00DD1DFA">
        <w:rPr>
          <w:noProof/>
        </w:rPr>
        <w:t> </w:t>
      </w:r>
      <w:r w:rsidR="00DD1DFA" w:rsidRPr="00DD1DFA">
        <w:rPr>
          <w:noProof/>
        </w:rPr>
        <w:t>nin</w:t>
      </w:r>
      <w:r w:rsidR="0054230D" w:rsidRPr="00DD1DFA">
        <w:rPr>
          <w:noProof/>
        </w:rPr>
        <w:t>iejszego rozporządzenia lub innych aktów ustawodawczych, dzielić się zasobami</w:t>
      </w:r>
      <w:r w:rsidR="00DD1DFA" w:rsidRPr="00DD1DFA">
        <w:rPr>
          <w:noProof/>
        </w:rPr>
        <w:t xml:space="preserve"> i</w:t>
      </w:r>
      <w:r w:rsidR="00DD1DFA">
        <w:rPr>
          <w:noProof/>
        </w:rPr>
        <w:t> </w:t>
      </w:r>
      <w:r w:rsidR="00DD1DFA" w:rsidRPr="00DD1DFA">
        <w:rPr>
          <w:noProof/>
        </w:rPr>
        <w:t>obo</w:t>
      </w:r>
      <w:r w:rsidR="0054230D" w:rsidRPr="00DD1DFA">
        <w:rPr>
          <w:noProof/>
        </w:rPr>
        <w:t>wiązkami</w:t>
      </w:r>
      <w:r w:rsidR="00DD1DFA" w:rsidRPr="00DD1DFA">
        <w:rPr>
          <w:noProof/>
        </w:rPr>
        <w:t xml:space="preserve"> w</w:t>
      </w:r>
      <w:r w:rsidR="00DD1DFA">
        <w:rPr>
          <w:noProof/>
        </w:rPr>
        <w:t> </w:t>
      </w:r>
      <w:r w:rsidR="00DD1DFA" w:rsidRPr="00DD1DFA">
        <w:rPr>
          <w:noProof/>
        </w:rPr>
        <w:t>cel</w:t>
      </w:r>
      <w:r w:rsidR="0054230D" w:rsidRPr="00DD1DFA">
        <w:rPr>
          <w:noProof/>
        </w:rPr>
        <w:t>u zapewnienia zharmonizowanego stosowania lub skutecznego egzekwowania przepisów niniejszego rozporządzenia.</w:t>
      </w:r>
    </w:p>
    <w:p w14:paraId="0316DA3A" w14:textId="77777777" w:rsidR="0054230D" w:rsidRPr="00DD1DFA" w:rsidRDefault="0054230D" w:rsidP="0054230D">
      <w:pPr>
        <w:pStyle w:val="Text1"/>
        <w:rPr>
          <w:noProof/>
        </w:rPr>
      </w:pPr>
      <w:r w:rsidRPr="00DD1DFA">
        <w:rPr>
          <w:noProof/>
        </w:rPr>
        <w:t>W tym celu mogą one również:</w:t>
      </w:r>
    </w:p>
    <w:p w14:paraId="1EBEA4A3" w14:textId="6AC0B309" w:rsidR="0054230D" w:rsidRPr="00DD1DFA" w:rsidRDefault="003C1401" w:rsidP="003C1401">
      <w:pPr>
        <w:pStyle w:val="Point1"/>
        <w:rPr>
          <w:noProof/>
        </w:rPr>
      </w:pPr>
      <w:r w:rsidRPr="003C1401">
        <w:rPr>
          <w:noProof/>
        </w:rPr>
        <w:t>a)</w:t>
      </w:r>
      <w:r w:rsidRPr="003C1401">
        <w:rPr>
          <w:noProof/>
        </w:rPr>
        <w:tab/>
      </w:r>
      <w:r w:rsidR="0054230D" w:rsidRPr="00DD1DFA">
        <w:rPr>
          <w:noProof/>
        </w:rPr>
        <w:t>podejmować wspólne decyzje, zwłaszcza</w:t>
      </w:r>
      <w:r w:rsidR="00DD1DFA" w:rsidRPr="00DD1DFA">
        <w:rPr>
          <w:noProof/>
        </w:rPr>
        <w:t xml:space="preserve"> w</w:t>
      </w:r>
      <w:r w:rsidR="00DD1DFA">
        <w:rPr>
          <w:noProof/>
        </w:rPr>
        <w:t> </w:t>
      </w:r>
      <w:r w:rsidR="00DD1DFA" w:rsidRPr="00DD1DFA">
        <w:rPr>
          <w:noProof/>
        </w:rPr>
        <w:t>odn</w:t>
      </w:r>
      <w:r w:rsidR="0054230D" w:rsidRPr="00DD1DFA">
        <w:rPr>
          <w:noProof/>
        </w:rPr>
        <w:t>iesieniu do wspólnych działań transgranicznych lub</w:t>
      </w:r>
      <w:r w:rsidR="00DD1DFA" w:rsidRPr="00DD1DFA">
        <w:rPr>
          <w:noProof/>
        </w:rPr>
        <w:t xml:space="preserve"> w</w:t>
      </w:r>
      <w:r w:rsidR="00DD1DFA">
        <w:rPr>
          <w:noProof/>
        </w:rPr>
        <w:t> </w:t>
      </w:r>
      <w:r w:rsidR="00DD1DFA" w:rsidRPr="00DD1DFA">
        <w:rPr>
          <w:noProof/>
        </w:rPr>
        <w:t>odn</w:t>
      </w:r>
      <w:r w:rsidR="0054230D" w:rsidRPr="00DD1DFA">
        <w:rPr>
          <w:noProof/>
        </w:rPr>
        <w:t>iesieniu do podmiotów gospodarczych prowadzących działalność na terytorium odpowiednich państw członkowskich;</w:t>
      </w:r>
    </w:p>
    <w:p w14:paraId="12BEB239" w14:textId="35CFB8D7" w:rsidR="0054230D" w:rsidRPr="00DD1DFA" w:rsidRDefault="003C1401" w:rsidP="003C1401">
      <w:pPr>
        <w:pStyle w:val="Point1"/>
        <w:rPr>
          <w:noProof/>
        </w:rPr>
      </w:pPr>
      <w:r w:rsidRPr="003C1401">
        <w:rPr>
          <w:noProof/>
        </w:rPr>
        <w:t>b)</w:t>
      </w:r>
      <w:r w:rsidRPr="003C1401">
        <w:rPr>
          <w:noProof/>
        </w:rPr>
        <w:tab/>
      </w:r>
      <w:r w:rsidR="0054230D" w:rsidRPr="00DD1DFA">
        <w:rPr>
          <w:noProof/>
        </w:rPr>
        <w:t>ustanawiać wspólne projekty, takie jak wspólne projekty</w:t>
      </w:r>
      <w:r w:rsidR="00DD1DFA" w:rsidRPr="00DD1DFA">
        <w:rPr>
          <w:noProof/>
        </w:rPr>
        <w:t xml:space="preserve"> z</w:t>
      </w:r>
      <w:r w:rsidR="00DD1DFA">
        <w:rPr>
          <w:noProof/>
        </w:rPr>
        <w:t> </w:t>
      </w:r>
      <w:r w:rsidR="00DD1DFA" w:rsidRPr="00DD1DFA">
        <w:rPr>
          <w:noProof/>
        </w:rPr>
        <w:t>zak</w:t>
      </w:r>
      <w:r w:rsidR="0054230D" w:rsidRPr="00DD1DFA">
        <w:rPr>
          <w:noProof/>
        </w:rPr>
        <w:t>resu nadzoru rynku lub projekty badawcze;</w:t>
      </w:r>
    </w:p>
    <w:p w14:paraId="38C7F73E" w14:textId="6D17193B" w:rsidR="0054230D" w:rsidRPr="00DD1DFA" w:rsidRDefault="003C1401" w:rsidP="003C1401">
      <w:pPr>
        <w:pStyle w:val="Point1"/>
        <w:rPr>
          <w:noProof/>
        </w:rPr>
      </w:pPr>
      <w:r w:rsidRPr="003C1401">
        <w:rPr>
          <w:noProof/>
        </w:rPr>
        <w:t>c)</w:t>
      </w:r>
      <w:r w:rsidRPr="003C1401">
        <w:rPr>
          <w:noProof/>
        </w:rPr>
        <w:tab/>
      </w:r>
      <w:r w:rsidR="0054230D" w:rsidRPr="00DD1DFA">
        <w:rPr>
          <w:noProof/>
        </w:rPr>
        <w:t>łączyć zasoby do określonych celów, takich jak budowanie zdolności badawczych lub nadzór nad internetem;</w:t>
      </w:r>
    </w:p>
    <w:p w14:paraId="6A64EAC0" w14:textId="086F39D7" w:rsidR="0054230D" w:rsidRPr="00DD1DFA" w:rsidRDefault="003C1401" w:rsidP="003C1401">
      <w:pPr>
        <w:pStyle w:val="Point1"/>
        <w:rPr>
          <w:noProof/>
        </w:rPr>
      </w:pPr>
      <w:r w:rsidRPr="003C1401">
        <w:rPr>
          <w:noProof/>
        </w:rPr>
        <w:t>d)</w:t>
      </w:r>
      <w:r w:rsidRPr="003C1401">
        <w:rPr>
          <w:noProof/>
        </w:rPr>
        <w:tab/>
      </w:r>
      <w:r w:rsidR="0054230D" w:rsidRPr="00DD1DFA">
        <w:rPr>
          <w:noProof/>
        </w:rPr>
        <w:t>przekazać wykonanie zadań równorzędnemu organowi</w:t>
      </w:r>
      <w:r w:rsidR="00DD1DFA" w:rsidRPr="00DD1DFA">
        <w:rPr>
          <w:noProof/>
        </w:rPr>
        <w:t xml:space="preserve"> w</w:t>
      </w:r>
      <w:r w:rsidR="00DD1DFA">
        <w:rPr>
          <w:noProof/>
        </w:rPr>
        <w:t> </w:t>
      </w:r>
      <w:r w:rsidR="00DD1DFA" w:rsidRPr="00DD1DFA">
        <w:rPr>
          <w:noProof/>
        </w:rPr>
        <w:t>inn</w:t>
      </w:r>
      <w:r w:rsidR="0054230D" w:rsidRPr="00DD1DFA">
        <w:rPr>
          <w:noProof/>
        </w:rPr>
        <w:t>ym państwie członkowskim, zachowując formalną odpowiedzialność za decyzje podjęte przez ten organ;</w:t>
      </w:r>
    </w:p>
    <w:p w14:paraId="3C8EB0CD" w14:textId="669E2F02" w:rsidR="0054230D" w:rsidRPr="00DD1DFA" w:rsidRDefault="003C1401" w:rsidP="003C1401">
      <w:pPr>
        <w:pStyle w:val="Point1"/>
        <w:rPr>
          <w:noProof/>
        </w:rPr>
      </w:pPr>
      <w:r w:rsidRPr="003C1401">
        <w:rPr>
          <w:noProof/>
        </w:rPr>
        <w:t>e)</w:t>
      </w:r>
      <w:r w:rsidRPr="003C1401">
        <w:rPr>
          <w:noProof/>
        </w:rPr>
        <w:tab/>
      </w:r>
      <w:r w:rsidR="0054230D" w:rsidRPr="00DD1DFA">
        <w:rPr>
          <w:noProof/>
        </w:rPr>
        <w:t>przenieść dane zadanie</w:t>
      </w:r>
      <w:r w:rsidR="00DD1DFA" w:rsidRPr="00DD1DFA">
        <w:rPr>
          <w:noProof/>
        </w:rPr>
        <w:t xml:space="preserve"> z</w:t>
      </w:r>
      <w:r w:rsidR="00DD1DFA">
        <w:rPr>
          <w:noProof/>
        </w:rPr>
        <w:t> </w:t>
      </w:r>
      <w:r w:rsidR="00DD1DFA" w:rsidRPr="00DD1DFA">
        <w:rPr>
          <w:noProof/>
        </w:rPr>
        <w:t>jed</w:t>
      </w:r>
      <w:r w:rsidR="0054230D" w:rsidRPr="00DD1DFA">
        <w:rPr>
          <w:noProof/>
        </w:rPr>
        <w:t>nego państwa członkowskiego do drugiego, pod warunkiem że wszystkie zainteresowane strony zostaną</w:t>
      </w:r>
      <w:r w:rsidR="00DD1DFA" w:rsidRPr="00DD1DFA">
        <w:rPr>
          <w:noProof/>
        </w:rPr>
        <w:t xml:space="preserve"> o</w:t>
      </w:r>
      <w:r w:rsidR="00DD1DFA">
        <w:rPr>
          <w:noProof/>
        </w:rPr>
        <w:t> </w:t>
      </w:r>
      <w:r w:rsidR="00DD1DFA" w:rsidRPr="00DD1DFA">
        <w:rPr>
          <w:noProof/>
        </w:rPr>
        <w:t>tym</w:t>
      </w:r>
      <w:r w:rsidR="0054230D" w:rsidRPr="00DD1DFA">
        <w:rPr>
          <w:noProof/>
        </w:rPr>
        <w:t xml:space="preserve"> wyraźnie poinformowane.</w:t>
      </w:r>
    </w:p>
    <w:p w14:paraId="49217546" w14:textId="77777777" w:rsidR="00BC1E12" w:rsidRPr="00DD1DFA" w:rsidRDefault="0054230D" w:rsidP="0054230D">
      <w:pPr>
        <w:pStyle w:val="Text1"/>
        <w:rPr>
          <w:rFonts w:eastAsia="Times New Roman"/>
          <w:noProof/>
          <w:color w:val="000000"/>
          <w:szCs w:val="24"/>
        </w:rPr>
      </w:pPr>
      <w:r w:rsidRPr="00DD1DFA">
        <w:rPr>
          <w:noProof/>
        </w:rPr>
        <w:t>Odpowiednie państwa członkowskie ponoszą wspólną odpowiedzialność za działania podjęte na podstawie niniejszego ustępu.</w:t>
      </w:r>
    </w:p>
    <w:p w14:paraId="239CDF3D" w14:textId="77777777" w:rsidR="00BC1E12" w:rsidRPr="00DD1DFA" w:rsidRDefault="00BC1E12" w:rsidP="00F20748">
      <w:pPr>
        <w:pStyle w:val="ChapterTitle"/>
        <w:rPr>
          <w:noProof/>
          <w:sz w:val="24"/>
          <w:szCs w:val="24"/>
        </w:rPr>
      </w:pPr>
      <w:r w:rsidRPr="00DD1DFA">
        <w:rPr>
          <w:noProof/>
          <w:sz w:val="24"/>
          <w:szCs w:val="24"/>
        </w:rPr>
        <w:t>ROZDZIAŁ X</w:t>
      </w:r>
    </w:p>
    <w:p w14:paraId="542CF4B6" w14:textId="77777777" w:rsidR="00BC1E12" w:rsidRPr="00DD1DFA" w:rsidRDefault="00F836AB" w:rsidP="00F20748">
      <w:pPr>
        <w:pStyle w:val="ChapterTitle"/>
        <w:rPr>
          <w:noProof/>
          <w:sz w:val="24"/>
          <w:szCs w:val="24"/>
        </w:rPr>
      </w:pPr>
      <w:r w:rsidRPr="00DD1DFA">
        <w:rPr>
          <w:noProof/>
          <w:sz w:val="24"/>
        </w:rPr>
        <w:t>WSPÓŁPRACA MIĘDZYNARODOWA</w:t>
      </w:r>
    </w:p>
    <w:p w14:paraId="5BB4C3E1" w14:textId="77777777" w:rsidR="00BC1E12" w:rsidRPr="00DD1DFA" w:rsidRDefault="00F836AB" w:rsidP="00F20748">
      <w:pPr>
        <w:pStyle w:val="Titrearticle"/>
        <w:rPr>
          <w:rFonts w:ascii="Calibri" w:eastAsia="Calibri" w:hAnsi="Calibri" w:cs="DejaVu Sans"/>
          <w:noProof/>
          <w:color w:val="00000A"/>
          <w:sz w:val="22"/>
        </w:rPr>
      </w:pPr>
      <w:r w:rsidRPr="00DD1DFA">
        <w:rPr>
          <w:noProof/>
        </w:rPr>
        <w:t>Artykuł 82</w:t>
      </w:r>
    </w:p>
    <w:p w14:paraId="40CB7FCE" w14:textId="77777777" w:rsidR="00BC1E12" w:rsidRPr="00DD1DFA" w:rsidRDefault="00F836AB" w:rsidP="00F20748">
      <w:pPr>
        <w:pStyle w:val="Titrearticle"/>
        <w:rPr>
          <w:rFonts w:ascii="Calibri" w:eastAsia="Calibri" w:hAnsi="Calibri" w:cs="DejaVu Sans"/>
          <w:noProof/>
          <w:color w:val="00000A"/>
          <w:sz w:val="22"/>
        </w:rPr>
      </w:pPr>
      <w:r w:rsidRPr="00DD1DFA">
        <w:rPr>
          <w:b/>
          <w:noProof/>
        </w:rPr>
        <w:t>Współpraca międzynarodowa</w:t>
      </w:r>
    </w:p>
    <w:p w14:paraId="59F2DF58" w14:textId="37E3726B" w:rsidR="00F836AB" w:rsidRPr="00DD1DFA" w:rsidRDefault="005F7EFA" w:rsidP="005F7EFA">
      <w:pPr>
        <w:pStyle w:val="ManualNumPar1"/>
        <w:rPr>
          <w:noProof/>
        </w:rPr>
      </w:pPr>
      <w:r w:rsidRPr="005F7EFA">
        <w:t>1.</w:t>
      </w:r>
      <w:r w:rsidRPr="005F7EFA">
        <w:tab/>
      </w:r>
      <w:r w:rsidR="00F836AB" w:rsidRPr="00DD1DFA">
        <w:rPr>
          <w:noProof/>
        </w:rPr>
        <w:t>Komisja może współpracować,</w:t>
      </w:r>
      <w:r w:rsidR="00DD1DFA" w:rsidRPr="00DD1DFA">
        <w:rPr>
          <w:noProof/>
        </w:rPr>
        <w:t xml:space="preserve"> w</w:t>
      </w:r>
      <w:r w:rsidR="00DD1DFA">
        <w:rPr>
          <w:noProof/>
        </w:rPr>
        <w:t> </w:t>
      </w:r>
      <w:r w:rsidR="00DD1DFA" w:rsidRPr="00DD1DFA">
        <w:rPr>
          <w:noProof/>
        </w:rPr>
        <w:t>tym</w:t>
      </w:r>
      <w:r w:rsidR="00F836AB" w:rsidRPr="00DD1DFA">
        <w:rPr>
          <w:noProof/>
        </w:rPr>
        <w:t xml:space="preserve"> poprzez wymianę informacji,</w:t>
      </w:r>
      <w:r w:rsidR="00DD1DFA" w:rsidRPr="00DD1DFA">
        <w:rPr>
          <w:noProof/>
        </w:rPr>
        <w:t xml:space="preserve"> z</w:t>
      </w:r>
      <w:r w:rsidR="00DD1DFA">
        <w:rPr>
          <w:noProof/>
        </w:rPr>
        <w:t> </w:t>
      </w:r>
      <w:r w:rsidR="00DD1DFA" w:rsidRPr="00DD1DFA">
        <w:rPr>
          <w:noProof/>
        </w:rPr>
        <w:t>pań</w:t>
      </w:r>
      <w:r w:rsidR="00F836AB" w:rsidRPr="00DD1DFA">
        <w:rPr>
          <w:noProof/>
        </w:rPr>
        <w:t>stwami trzecimi lub organizacjami międzynarodowymi</w:t>
      </w:r>
      <w:r w:rsidR="00DD1DFA" w:rsidRPr="00DD1DFA">
        <w:rPr>
          <w:noProof/>
        </w:rPr>
        <w:t xml:space="preserve"> w</w:t>
      </w:r>
      <w:r w:rsidR="00DD1DFA">
        <w:rPr>
          <w:noProof/>
        </w:rPr>
        <w:t> </w:t>
      </w:r>
      <w:r w:rsidR="00DD1DFA" w:rsidRPr="00DD1DFA">
        <w:rPr>
          <w:noProof/>
        </w:rPr>
        <w:t>obs</w:t>
      </w:r>
      <w:r w:rsidR="00F836AB" w:rsidRPr="00DD1DFA">
        <w:rPr>
          <w:noProof/>
        </w:rPr>
        <w:t>zarze stosowania niniejszego rozporządzenia, między innymi</w:t>
      </w:r>
      <w:r w:rsidR="00DD1DFA" w:rsidRPr="00DD1DFA">
        <w:rPr>
          <w:noProof/>
        </w:rPr>
        <w:t xml:space="preserve"> w</w:t>
      </w:r>
      <w:r w:rsidR="00DD1DFA">
        <w:rPr>
          <w:noProof/>
        </w:rPr>
        <w:t> </w:t>
      </w:r>
      <w:r w:rsidR="00DD1DFA" w:rsidRPr="00DD1DFA">
        <w:rPr>
          <w:noProof/>
        </w:rPr>
        <w:t>odn</w:t>
      </w:r>
      <w:r w:rsidR="00F836AB" w:rsidRPr="00DD1DFA">
        <w:rPr>
          <w:noProof/>
        </w:rPr>
        <w:t>iesieniu do:</w:t>
      </w:r>
    </w:p>
    <w:p w14:paraId="556F272E" w14:textId="6C795F28" w:rsidR="00F836AB" w:rsidRPr="00DD1DFA" w:rsidRDefault="003C1401" w:rsidP="003C1401">
      <w:pPr>
        <w:pStyle w:val="Point1"/>
        <w:rPr>
          <w:noProof/>
        </w:rPr>
      </w:pPr>
      <w:r w:rsidRPr="003C1401">
        <w:rPr>
          <w:noProof/>
        </w:rPr>
        <w:t>a)</w:t>
      </w:r>
      <w:r w:rsidRPr="003C1401">
        <w:rPr>
          <w:noProof/>
        </w:rPr>
        <w:tab/>
      </w:r>
      <w:r w:rsidR="00F836AB" w:rsidRPr="00DD1DFA">
        <w:rPr>
          <w:noProof/>
        </w:rPr>
        <w:t>działań</w:t>
      </w:r>
      <w:r w:rsidR="00DD1DFA" w:rsidRPr="00DD1DFA">
        <w:rPr>
          <w:noProof/>
        </w:rPr>
        <w:t xml:space="preserve"> w</w:t>
      </w:r>
      <w:r w:rsidR="00DD1DFA">
        <w:rPr>
          <w:noProof/>
        </w:rPr>
        <w:t> </w:t>
      </w:r>
      <w:r w:rsidR="00DD1DFA" w:rsidRPr="00DD1DFA">
        <w:rPr>
          <w:noProof/>
        </w:rPr>
        <w:t>zak</w:t>
      </w:r>
      <w:r w:rsidR="00F836AB" w:rsidRPr="00DD1DFA">
        <w:rPr>
          <w:noProof/>
        </w:rPr>
        <w:t>resie egzekwowania przepisów oraz środków związanych</w:t>
      </w:r>
      <w:r w:rsidR="00DD1DFA" w:rsidRPr="00DD1DFA">
        <w:rPr>
          <w:noProof/>
        </w:rPr>
        <w:t xml:space="preserve"> z</w:t>
      </w:r>
      <w:r w:rsidR="00DD1DFA">
        <w:rPr>
          <w:noProof/>
        </w:rPr>
        <w:t> </w:t>
      </w:r>
      <w:r w:rsidR="00DD1DFA" w:rsidRPr="00DD1DFA">
        <w:rPr>
          <w:noProof/>
        </w:rPr>
        <w:t>bez</w:t>
      </w:r>
      <w:r w:rsidR="00F836AB" w:rsidRPr="00DD1DFA">
        <w:rPr>
          <w:noProof/>
        </w:rPr>
        <w:t>pieczeństwem</w:t>
      </w:r>
      <w:r w:rsidR="00DD1DFA" w:rsidRPr="00DD1DFA">
        <w:rPr>
          <w:noProof/>
        </w:rPr>
        <w:t xml:space="preserve"> i</w:t>
      </w:r>
      <w:r w:rsidR="00DD1DFA">
        <w:rPr>
          <w:noProof/>
        </w:rPr>
        <w:t> </w:t>
      </w:r>
      <w:r w:rsidR="00DD1DFA" w:rsidRPr="00DD1DFA">
        <w:rPr>
          <w:noProof/>
        </w:rPr>
        <w:t>och</w:t>
      </w:r>
      <w:r w:rsidR="00F836AB" w:rsidRPr="00DD1DFA">
        <w:rPr>
          <w:noProof/>
        </w:rPr>
        <w:t>roną środowiska, takich jak nadzór rynku;</w:t>
      </w:r>
    </w:p>
    <w:p w14:paraId="243F055A" w14:textId="4C2E9C6C" w:rsidR="00F836AB" w:rsidRPr="00DD1DFA" w:rsidRDefault="003C1401" w:rsidP="003C1401">
      <w:pPr>
        <w:pStyle w:val="Point1"/>
        <w:rPr>
          <w:noProof/>
        </w:rPr>
      </w:pPr>
      <w:r w:rsidRPr="003C1401">
        <w:rPr>
          <w:noProof/>
        </w:rPr>
        <w:t>b)</w:t>
      </w:r>
      <w:r w:rsidRPr="003C1401">
        <w:rPr>
          <w:noProof/>
        </w:rPr>
        <w:tab/>
      </w:r>
      <w:r w:rsidR="00F836AB" w:rsidRPr="00DD1DFA">
        <w:rPr>
          <w:noProof/>
        </w:rPr>
        <w:t>wymiany danych dotyczących podmiotów gospodarczych;</w:t>
      </w:r>
    </w:p>
    <w:p w14:paraId="20BD07EB" w14:textId="28EA61D2" w:rsidR="00F836AB" w:rsidRPr="00DD1DFA" w:rsidRDefault="003C1401" w:rsidP="003C1401">
      <w:pPr>
        <w:pStyle w:val="Point1"/>
        <w:rPr>
          <w:noProof/>
        </w:rPr>
      </w:pPr>
      <w:r w:rsidRPr="003C1401">
        <w:rPr>
          <w:noProof/>
        </w:rPr>
        <w:t>c)</w:t>
      </w:r>
      <w:r w:rsidRPr="003C1401">
        <w:rPr>
          <w:noProof/>
        </w:rPr>
        <w:tab/>
      </w:r>
      <w:r w:rsidR="00F836AB" w:rsidRPr="00DD1DFA">
        <w:rPr>
          <w:noProof/>
        </w:rPr>
        <w:t>metod oceny</w:t>
      </w:r>
      <w:r w:rsidR="00DD1DFA" w:rsidRPr="00DD1DFA">
        <w:rPr>
          <w:noProof/>
        </w:rPr>
        <w:t xml:space="preserve"> i</w:t>
      </w:r>
      <w:r w:rsidR="00DD1DFA">
        <w:rPr>
          <w:noProof/>
        </w:rPr>
        <w:t> </w:t>
      </w:r>
      <w:r w:rsidR="00DD1DFA" w:rsidRPr="00DD1DFA">
        <w:rPr>
          <w:noProof/>
        </w:rPr>
        <w:t>bad</w:t>
      </w:r>
      <w:r w:rsidR="00F836AB" w:rsidRPr="00DD1DFA">
        <w:rPr>
          <w:noProof/>
        </w:rPr>
        <w:t>ania wyrobów;</w:t>
      </w:r>
    </w:p>
    <w:p w14:paraId="0EE57B05" w14:textId="797D0E65" w:rsidR="00F836AB" w:rsidRPr="00DD1DFA" w:rsidRDefault="003C1401" w:rsidP="003C1401">
      <w:pPr>
        <w:pStyle w:val="Point1"/>
        <w:rPr>
          <w:noProof/>
        </w:rPr>
      </w:pPr>
      <w:r w:rsidRPr="003C1401">
        <w:rPr>
          <w:noProof/>
        </w:rPr>
        <w:t>d)</w:t>
      </w:r>
      <w:r w:rsidRPr="003C1401">
        <w:rPr>
          <w:noProof/>
        </w:rPr>
        <w:tab/>
      </w:r>
      <w:r w:rsidR="00F836AB" w:rsidRPr="00DD1DFA">
        <w:rPr>
          <w:noProof/>
        </w:rPr>
        <w:t>skoordynowanego odzyskania wyrobów, wniosków</w:t>
      </w:r>
      <w:r w:rsidR="00DD1DFA" w:rsidRPr="00DD1DFA">
        <w:rPr>
          <w:noProof/>
        </w:rPr>
        <w:t xml:space="preserve"> o</w:t>
      </w:r>
      <w:r w:rsidR="00DD1DFA">
        <w:rPr>
          <w:noProof/>
        </w:rPr>
        <w:t> </w:t>
      </w:r>
      <w:r w:rsidR="00DD1DFA" w:rsidRPr="00DD1DFA">
        <w:rPr>
          <w:noProof/>
        </w:rPr>
        <w:t>pod</w:t>
      </w:r>
      <w:r w:rsidR="00F836AB" w:rsidRPr="00DD1DFA">
        <w:rPr>
          <w:noProof/>
        </w:rPr>
        <w:t>jęcie działań naprawczych</w:t>
      </w:r>
      <w:r w:rsidR="00DD1DFA" w:rsidRPr="00DD1DFA">
        <w:rPr>
          <w:noProof/>
        </w:rPr>
        <w:t xml:space="preserve"> i</w:t>
      </w:r>
      <w:r w:rsidR="00DD1DFA">
        <w:rPr>
          <w:noProof/>
        </w:rPr>
        <w:t> </w:t>
      </w:r>
      <w:r w:rsidR="00DD1DFA" w:rsidRPr="00DD1DFA">
        <w:rPr>
          <w:noProof/>
        </w:rPr>
        <w:t>inn</w:t>
      </w:r>
      <w:r w:rsidR="00F836AB" w:rsidRPr="00DD1DFA">
        <w:rPr>
          <w:noProof/>
        </w:rPr>
        <w:t xml:space="preserve">ych podobnych działań; </w:t>
      </w:r>
    </w:p>
    <w:p w14:paraId="14AD2E95" w14:textId="40051676" w:rsidR="00F836AB" w:rsidRPr="00DD1DFA" w:rsidRDefault="003C1401" w:rsidP="003C1401">
      <w:pPr>
        <w:pStyle w:val="Point1"/>
        <w:rPr>
          <w:noProof/>
        </w:rPr>
      </w:pPr>
      <w:r w:rsidRPr="003C1401">
        <w:rPr>
          <w:noProof/>
        </w:rPr>
        <w:t>e)</w:t>
      </w:r>
      <w:r w:rsidRPr="003C1401">
        <w:rPr>
          <w:noProof/>
        </w:rPr>
        <w:tab/>
      </w:r>
      <w:r w:rsidR="00F836AB" w:rsidRPr="00DD1DFA">
        <w:rPr>
          <w:noProof/>
        </w:rPr>
        <w:t>kwestii naukowych, technicznych</w:t>
      </w:r>
      <w:r w:rsidR="00DD1DFA" w:rsidRPr="00DD1DFA">
        <w:rPr>
          <w:noProof/>
        </w:rPr>
        <w:t xml:space="preserve"> i</w:t>
      </w:r>
      <w:r w:rsidR="00DD1DFA">
        <w:rPr>
          <w:noProof/>
        </w:rPr>
        <w:t> </w:t>
      </w:r>
      <w:r w:rsidR="00DD1DFA" w:rsidRPr="00DD1DFA">
        <w:rPr>
          <w:noProof/>
        </w:rPr>
        <w:t>reg</w:t>
      </w:r>
      <w:r w:rsidR="00F836AB" w:rsidRPr="00DD1DFA">
        <w:rPr>
          <w:noProof/>
        </w:rPr>
        <w:t>ulacyjnych, służących poprawie bezpieczeństwa wyrobów lub ochrony środowiska;</w:t>
      </w:r>
    </w:p>
    <w:p w14:paraId="52E0D3B5" w14:textId="2C80B0E1" w:rsidR="00F836AB" w:rsidRPr="00DD1DFA" w:rsidRDefault="003C1401" w:rsidP="003C1401">
      <w:pPr>
        <w:pStyle w:val="Point1"/>
        <w:rPr>
          <w:noProof/>
        </w:rPr>
      </w:pPr>
      <w:r w:rsidRPr="003C1401">
        <w:rPr>
          <w:noProof/>
        </w:rPr>
        <w:t>f)</w:t>
      </w:r>
      <w:r w:rsidRPr="003C1401">
        <w:rPr>
          <w:noProof/>
        </w:rPr>
        <w:tab/>
      </w:r>
      <w:r w:rsidR="00F836AB" w:rsidRPr="00DD1DFA">
        <w:rPr>
          <w:noProof/>
        </w:rPr>
        <w:t>pojawiających się kwestii</w:t>
      </w:r>
      <w:r w:rsidR="00DD1DFA" w:rsidRPr="00DD1DFA">
        <w:rPr>
          <w:noProof/>
        </w:rPr>
        <w:t xml:space="preserve"> o</w:t>
      </w:r>
      <w:r w:rsidR="00DD1DFA">
        <w:rPr>
          <w:noProof/>
        </w:rPr>
        <w:t> </w:t>
      </w:r>
      <w:r w:rsidR="00DD1DFA" w:rsidRPr="00DD1DFA">
        <w:rPr>
          <w:noProof/>
        </w:rPr>
        <w:t>ist</w:t>
      </w:r>
      <w:r w:rsidR="00F836AB" w:rsidRPr="00DD1DFA">
        <w:rPr>
          <w:noProof/>
        </w:rPr>
        <w:t>otnym znaczeniu dla środowiska, zdrowia</w:t>
      </w:r>
      <w:r w:rsidR="00DD1DFA" w:rsidRPr="00DD1DFA">
        <w:rPr>
          <w:noProof/>
        </w:rPr>
        <w:t xml:space="preserve"> i</w:t>
      </w:r>
      <w:r w:rsidR="00DD1DFA">
        <w:rPr>
          <w:noProof/>
        </w:rPr>
        <w:t> </w:t>
      </w:r>
      <w:r w:rsidR="00DD1DFA" w:rsidRPr="00DD1DFA">
        <w:rPr>
          <w:noProof/>
        </w:rPr>
        <w:t>bez</w:t>
      </w:r>
      <w:r w:rsidR="00F836AB" w:rsidRPr="00DD1DFA">
        <w:rPr>
          <w:noProof/>
        </w:rPr>
        <w:t xml:space="preserve">pieczeństwa; </w:t>
      </w:r>
    </w:p>
    <w:p w14:paraId="1626AED5" w14:textId="210BE24E" w:rsidR="00F836AB" w:rsidRPr="00DD1DFA" w:rsidRDefault="003C1401" w:rsidP="003C1401">
      <w:pPr>
        <w:pStyle w:val="Point1"/>
        <w:rPr>
          <w:noProof/>
        </w:rPr>
      </w:pPr>
      <w:r w:rsidRPr="003C1401">
        <w:rPr>
          <w:noProof/>
        </w:rPr>
        <w:t>g)</w:t>
      </w:r>
      <w:r w:rsidRPr="003C1401">
        <w:rPr>
          <w:noProof/>
        </w:rPr>
        <w:tab/>
      </w:r>
      <w:r w:rsidR="00F836AB" w:rsidRPr="00DD1DFA">
        <w:rPr>
          <w:noProof/>
        </w:rPr>
        <w:t>działań związanych</w:t>
      </w:r>
      <w:r w:rsidR="00DD1DFA" w:rsidRPr="00DD1DFA">
        <w:rPr>
          <w:noProof/>
        </w:rPr>
        <w:t xml:space="preserve"> z</w:t>
      </w:r>
      <w:r w:rsidR="00DD1DFA">
        <w:rPr>
          <w:noProof/>
        </w:rPr>
        <w:t> </w:t>
      </w:r>
      <w:r w:rsidR="00DD1DFA" w:rsidRPr="00DD1DFA">
        <w:rPr>
          <w:noProof/>
        </w:rPr>
        <w:t>nor</w:t>
      </w:r>
      <w:r w:rsidR="00F836AB" w:rsidRPr="00DD1DFA">
        <w:rPr>
          <w:noProof/>
        </w:rPr>
        <w:t xml:space="preserve">malizacją; </w:t>
      </w:r>
    </w:p>
    <w:p w14:paraId="650DE051" w14:textId="5438EE44" w:rsidR="00F836AB" w:rsidRPr="00DD1DFA" w:rsidRDefault="003C1401" w:rsidP="003C1401">
      <w:pPr>
        <w:pStyle w:val="Point1"/>
        <w:rPr>
          <w:noProof/>
        </w:rPr>
      </w:pPr>
      <w:r w:rsidRPr="003C1401">
        <w:rPr>
          <w:noProof/>
        </w:rPr>
        <w:t>h)</w:t>
      </w:r>
      <w:r w:rsidRPr="003C1401">
        <w:rPr>
          <w:noProof/>
        </w:rPr>
        <w:tab/>
      </w:r>
      <w:r w:rsidR="00F836AB" w:rsidRPr="00DD1DFA">
        <w:rPr>
          <w:noProof/>
        </w:rPr>
        <w:t>wymiany urzędników.</w:t>
      </w:r>
    </w:p>
    <w:p w14:paraId="60637371" w14:textId="79652258" w:rsidR="00F836AB" w:rsidRPr="00DD1DFA" w:rsidRDefault="005F7EFA" w:rsidP="005F7EFA">
      <w:pPr>
        <w:pStyle w:val="ManualNumPar1"/>
        <w:rPr>
          <w:noProof/>
        </w:rPr>
      </w:pPr>
      <w:r w:rsidRPr="005F7EFA">
        <w:t>2.</w:t>
      </w:r>
      <w:r w:rsidRPr="005F7EFA">
        <w:tab/>
      </w:r>
      <w:r w:rsidR="00F836AB" w:rsidRPr="00DD1DFA">
        <w:rPr>
          <w:noProof/>
        </w:rPr>
        <w:t>Komisja może przekazywać państwom trzecim lub organizacjom międzynarodowym wybrane informacje pochodzące</w:t>
      </w:r>
      <w:r w:rsidR="00DD1DFA" w:rsidRPr="00DD1DFA">
        <w:rPr>
          <w:noProof/>
        </w:rPr>
        <w:t xml:space="preserve"> z</w:t>
      </w:r>
      <w:r w:rsidR="00DD1DFA">
        <w:rPr>
          <w:noProof/>
        </w:rPr>
        <w:t> </w:t>
      </w:r>
      <w:r w:rsidR="00DD1DFA" w:rsidRPr="00DD1DFA">
        <w:rPr>
          <w:noProof/>
        </w:rPr>
        <w:t>baz</w:t>
      </w:r>
      <w:r w:rsidR="00F836AB" w:rsidRPr="00DD1DFA">
        <w:rPr>
          <w:noProof/>
        </w:rPr>
        <w:t>y danych</w:t>
      </w:r>
      <w:r w:rsidR="00DD1DFA" w:rsidRPr="00DD1DFA">
        <w:rPr>
          <w:noProof/>
        </w:rPr>
        <w:t xml:space="preserve"> o</w:t>
      </w:r>
      <w:r w:rsidR="00DD1DFA">
        <w:rPr>
          <w:noProof/>
        </w:rPr>
        <w:t> </w:t>
      </w:r>
      <w:r w:rsidR="00DD1DFA" w:rsidRPr="00DD1DFA">
        <w:rPr>
          <w:noProof/>
        </w:rPr>
        <w:t>wyr</w:t>
      </w:r>
      <w:r w:rsidR="00F836AB" w:rsidRPr="00DD1DFA">
        <w:rPr>
          <w:noProof/>
        </w:rPr>
        <w:t>obach lub systemu dotyczącego wyrobów,</w:t>
      </w:r>
      <w:r w:rsidR="00DD1DFA" w:rsidRPr="00DD1DFA">
        <w:rPr>
          <w:noProof/>
        </w:rPr>
        <w:t xml:space="preserve"> o</w:t>
      </w:r>
      <w:r w:rsidR="00DD1DFA">
        <w:rPr>
          <w:noProof/>
        </w:rPr>
        <w:t> </w:t>
      </w:r>
      <w:r w:rsidR="00DD1DFA" w:rsidRPr="00DD1DFA">
        <w:rPr>
          <w:noProof/>
        </w:rPr>
        <w:t>któ</w:t>
      </w:r>
      <w:r w:rsidR="00F836AB" w:rsidRPr="00DD1DFA">
        <w:rPr>
          <w:noProof/>
        </w:rPr>
        <w:t>rych mowa</w:t>
      </w:r>
      <w:r w:rsidR="00DD1DFA" w:rsidRPr="00DD1DFA">
        <w:rPr>
          <w:noProof/>
        </w:rPr>
        <w:t xml:space="preserve"> w</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78, na potrzeby systemu,</w:t>
      </w:r>
      <w:r w:rsidR="00DD1DFA" w:rsidRPr="00DD1DFA">
        <w:rPr>
          <w:noProof/>
        </w:rPr>
        <w:t xml:space="preserve"> o</w:t>
      </w:r>
      <w:r w:rsidR="00DD1DFA">
        <w:rPr>
          <w:noProof/>
        </w:rPr>
        <w:t> </w:t>
      </w:r>
      <w:r w:rsidR="00DD1DFA" w:rsidRPr="00DD1DFA">
        <w:rPr>
          <w:noProof/>
        </w:rPr>
        <w:t>któ</w:t>
      </w:r>
      <w:r w:rsidR="00F836AB" w:rsidRPr="00DD1DFA">
        <w:rPr>
          <w:noProof/>
        </w:rPr>
        <w:t>rym mowa</w:t>
      </w:r>
      <w:r w:rsidR="00DD1DFA" w:rsidRPr="00DD1DFA">
        <w:rPr>
          <w:noProof/>
        </w:rPr>
        <w:t xml:space="preserve"> w</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77,</w:t>
      </w:r>
      <w:r w:rsidR="00DD1DFA" w:rsidRPr="00DD1DFA">
        <w:rPr>
          <w:noProof/>
        </w:rPr>
        <w:t xml:space="preserve"> i</w:t>
      </w:r>
      <w:r w:rsidR="00DD1DFA">
        <w:rPr>
          <w:noProof/>
        </w:rPr>
        <w:t> </w:t>
      </w:r>
      <w:r w:rsidR="00DD1DFA" w:rsidRPr="00DD1DFA">
        <w:rPr>
          <w:noProof/>
        </w:rPr>
        <w:t>inf</w:t>
      </w:r>
      <w:r w:rsidR="00F836AB" w:rsidRPr="00DD1DFA">
        <w:rPr>
          <w:noProof/>
        </w:rPr>
        <w:t>ormacji wymienianych między organami na podstawie niniejszego rozporządzenia oraz otrzymywać odpowiednie informacje na temat wyrobów</w:t>
      </w:r>
      <w:r w:rsidR="00DD1DFA" w:rsidRPr="00DD1DFA">
        <w:rPr>
          <w:noProof/>
        </w:rPr>
        <w:t xml:space="preserve"> i</w:t>
      </w:r>
      <w:r w:rsidR="00DD1DFA">
        <w:rPr>
          <w:noProof/>
        </w:rPr>
        <w:t> </w:t>
      </w:r>
      <w:r w:rsidR="00DD1DFA" w:rsidRPr="00DD1DFA">
        <w:rPr>
          <w:noProof/>
        </w:rPr>
        <w:t>śro</w:t>
      </w:r>
      <w:r w:rsidR="00F836AB" w:rsidRPr="00DD1DFA">
        <w:rPr>
          <w:noProof/>
        </w:rPr>
        <w:t>dków zapobiegawczych, ograniczających</w:t>
      </w:r>
      <w:r w:rsidR="00DD1DFA" w:rsidRPr="00DD1DFA">
        <w:rPr>
          <w:noProof/>
        </w:rPr>
        <w:t xml:space="preserve"> i</w:t>
      </w:r>
      <w:r w:rsidR="00DD1DFA">
        <w:rPr>
          <w:noProof/>
        </w:rPr>
        <w:t> </w:t>
      </w:r>
      <w:r w:rsidR="00DD1DFA" w:rsidRPr="00DD1DFA">
        <w:rPr>
          <w:noProof/>
        </w:rPr>
        <w:t>nap</w:t>
      </w:r>
      <w:r w:rsidR="00F836AB" w:rsidRPr="00DD1DFA">
        <w:rPr>
          <w:noProof/>
        </w:rPr>
        <w:t>rawczych wprowadzanych przez te państwa trzecie lub organizacje międzynarodowe</w:t>
      </w:r>
      <w:r w:rsidR="00DD1DFA" w:rsidRPr="00DD1DFA">
        <w:rPr>
          <w:noProof/>
        </w:rPr>
        <w:t>. W</w:t>
      </w:r>
      <w:r w:rsidR="00DD1DFA">
        <w:rPr>
          <w:noProof/>
        </w:rPr>
        <w:t> </w:t>
      </w:r>
      <w:r w:rsidR="00DD1DFA" w:rsidRPr="00DD1DFA">
        <w:rPr>
          <w:noProof/>
        </w:rPr>
        <w:t>sto</w:t>
      </w:r>
      <w:r w:rsidR="00F836AB" w:rsidRPr="00DD1DFA">
        <w:rPr>
          <w:noProof/>
        </w:rPr>
        <w:t>sownych przypadkach Komisja dzieli się takimi informacjami</w:t>
      </w:r>
      <w:r w:rsidR="00DD1DFA" w:rsidRPr="00DD1DFA">
        <w:rPr>
          <w:noProof/>
        </w:rPr>
        <w:t xml:space="preserve"> z</w:t>
      </w:r>
      <w:r w:rsidR="00DD1DFA">
        <w:rPr>
          <w:noProof/>
        </w:rPr>
        <w:t> </w:t>
      </w:r>
      <w:r w:rsidR="00DD1DFA" w:rsidRPr="00DD1DFA">
        <w:rPr>
          <w:noProof/>
        </w:rPr>
        <w:t>org</w:t>
      </w:r>
      <w:r w:rsidR="00F836AB" w:rsidRPr="00DD1DFA">
        <w:rPr>
          <w:noProof/>
        </w:rPr>
        <w:t>anami krajowymi.</w:t>
      </w:r>
    </w:p>
    <w:p w14:paraId="6250A518" w14:textId="4F43DC3E" w:rsidR="00F836AB" w:rsidRPr="00DD1DFA" w:rsidRDefault="005F7EFA" w:rsidP="005F7EFA">
      <w:pPr>
        <w:pStyle w:val="ManualNumPar1"/>
        <w:rPr>
          <w:noProof/>
        </w:rPr>
      </w:pPr>
      <w:r w:rsidRPr="005F7EFA">
        <w:t>3.</w:t>
      </w:r>
      <w:r w:rsidRPr="005F7EFA">
        <w:tab/>
      </w:r>
      <w:r w:rsidR="00F836AB" w:rsidRPr="00DD1DFA">
        <w:rPr>
          <w:noProof/>
        </w:rPr>
        <w:t>Wymiana informacji,</w:t>
      </w:r>
      <w:r w:rsidR="00DD1DFA" w:rsidRPr="00DD1DFA">
        <w:rPr>
          <w:noProof/>
        </w:rPr>
        <w:t xml:space="preserve"> o</w:t>
      </w:r>
      <w:r w:rsidR="00DD1DFA">
        <w:rPr>
          <w:noProof/>
        </w:rPr>
        <w:t> </w:t>
      </w:r>
      <w:r w:rsidR="00DD1DFA" w:rsidRPr="00DD1DFA">
        <w:rPr>
          <w:noProof/>
        </w:rPr>
        <w:t>któ</w:t>
      </w:r>
      <w:r w:rsidR="00F836AB" w:rsidRPr="00DD1DFA">
        <w:rPr>
          <w:noProof/>
        </w:rPr>
        <w:t>rej mowa</w:t>
      </w:r>
      <w:r w:rsidR="00DD1DFA" w:rsidRPr="00DD1DFA">
        <w:rPr>
          <w:noProof/>
        </w:rPr>
        <w:t xml:space="preserve"> w</w:t>
      </w:r>
      <w:r w:rsidR="00DD1DFA">
        <w:rPr>
          <w:noProof/>
        </w:rPr>
        <w:t> </w:t>
      </w:r>
      <w:r w:rsidR="00DD1DFA" w:rsidRPr="00DD1DFA">
        <w:rPr>
          <w:noProof/>
        </w:rPr>
        <w:t>ust</w:t>
      </w:r>
      <w:r w:rsidR="00F836AB" w:rsidRPr="00DD1DFA">
        <w:rPr>
          <w:noProof/>
        </w:rPr>
        <w:t>.</w:t>
      </w:r>
      <w:r w:rsidR="00DD1DFA" w:rsidRPr="00DD1DFA">
        <w:rPr>
          <w:noProof/>
        </w:rPr>
        <w:t> </w:t>
      </w:r>
      <w:r w:rsidR="00F836AB" w:rsidRPr="00DD1DFA">
        <w:rPr>
          <w:noProof/>
        </w:rPr>
        <w:t>2, może przyjąć formę:</w:t>
      </w:r>
    </w:p>
    <w:p w14:paraId="4ADA6AE7" w14:textId="5FFB6333" w:rsidR="00F836AB" w:rsidRPr="00DD1DFA" w:rsidRDefault="003C1401" w:rsidP="003C1401">
      <w:pPr>
        <w:pStyle w:val="Point1"/>
        <w:rPr>
          <w:noProof/>
        </w:rPr>
      </w:pPr>
      <w:r w:rsidRPr="003C1401">
        <w:rPr>
          <w:noProof/>
        </w:rPr>
        <w:t>a)</w:t>
      </w:r>
      <w:r w:rsidRPr="003C1401">
        <w:rPr>
          <w:noProof/>
        </w:rPr>
        <w:tab/>
      </w:r>
      <w:r w:rsidR="00F836AB" w:rsidRPr="00DD1DFA">
        <w:rPr>
          <w:noProof/>
        </w:rPr>
        <w:t>niesystematycznej wymiany,</w:t>
      </w:r>
      <w:r w:rsidR="00DD1DFA" w:rsidRPr="00DD1DFA">
        <w:rPr>
          <w:noProof/>
        </w:rPr>
        <w:t xml:space="preserve"> w</w:t>
      </w:r>
      <w:r w:rsidR="00DD1DFA">
        <w:rPr>
          <w:noProof/>
        </w:rPr>
        <w:t> </w:t>
      </w:r>
      <w:r w:rsidR="00DD1DFA" w:rsidRPr="00DD1DFA">
        <w:rPr>
          <w:noProof/>
        </w:rPr>
        <w:t>nal</w:t>
      </w:r>
      <w:r w:rsidR="00F836AB" w:rsidRPr="00DD1DFA">
        <w:rPr>
          <w:noProof/>
        </w:rPr>
        <w:t>eżycie uzasadnionych</w:t>
      </w:r>
      <w:r w:rsidR="00DD1DFA" w:rsidRPr="00DD1DFA">
        <w:rPr>
          <w:noProof/>
        </w:rPr>
        <w:t xml:space="preserve"> i</w:t>
      </w:r>
      <w:r w:rsidR="00DD1DFA">
        <w:rPr>
          <w:noProof/>
        </w:rPr>
        <w:t> </w:t>
      </w:r>
      <w:r w:rsidR="00DD1DFA" w:rsidRPr="00DD1DFA">
        <w:rPr>
          <w:noProof/>
        </w:rPr>
        <w:t>szc</w:t>
      </w:r>
      <w:r w:rsidR="00F836AB" w:rsidRPr="00DD1DFA">
        <w:rPr>
          <w:noProof/>
        </w:rPr>
        <w:t xml:space="preserve">zególnych przypadkach; </w:t>
      </w:r>
    </w:p>
    <w:p w14:paraId="3843E9F3" w14:textId="69A396EA" w:rsidR="00F836AB" w:rsidRPr="00DD1DFA" w:rsidRDefault="003C1401" w:rsidP="003C1401">
      <w:pPr>
        <w:pStyle w:val="Point1"/>
        <w:rPr>
          <w:noProof/>
        </w:rPr>
      </w:pPr>
      <w:r w:rsidRPr="003C1401">
        <w:rPr>
          <w:noProof/>
        </w:rPr>
        <w:t>b)</w:t>
      </w:r>
      <w:r w:rsidRPr="003C1401">
        <w:rPr>
          <w:noProof/>
        </w:rPr>
        <w:tab/>
      </w:r>
      <w:r w:rsidR="00F836AB" w:rsidRPr="00DD1DFA">
        <w:rPr>
          <w:noProof/>
        </w:rPr>
        <w:t>systematycznej wymiany na podstawie porozumienia administracyjnego,</w:t>
      </w:r>
      <w:r w:rsidR="00DD1DFA" w:rsidRPr="00DD1DFA">
        <w:rPr>
          <w:noProof/>
        </w:rPr>
        <w:t xml:space="preserve"> w</w:t>
      </w:r>
      <w:r w:rsidR="00DD1DFA">
        <w:rPr>
          <w:noProof/>
        </w:rPr>
        <w:t> </w:t>
      </w:r>
      <w:r w:rsidR="00DD1DFA" w:rsidRPr="00DD1DFA">
        <w:rPr>
          <w:noProof/>
        </w:rPr>
        <w:t>któ</w:t>
      </w:r>
      <w:r w:rsidR="00F836AB" w:rsidRPr="00DD1DFA">
        <w:rPr>
          <w:noProof/>
        </w:rPr>
        <w:t xml:space="preserve">rym określono rodzaj informacji podlegających wymianie oraz warunki wymiany. </w:t>
      </w:r>
    </w:p>
    <w:p w14:paraId="2072D470" w14:textId="676CAD5E" w:rsidR="00F836AB" w:rsidRPr="00DD1DFA" w:rsidRDefault="005F7EFA" w:rsidP="005F7EFA">
      <w:pPr>
        <w:pStyle w:val="ManualNumPar1"/>
        <w:rPr>
          <w:noProof/>
        </w:rPr>
      </w:pPr>
      <w:r w:rsidRPr="005F7EFA">
        <w:t>4.</w:t>
      </w:r>
      <w:r w:rsidRPr="005F7EFA">
        <w:tab/>
      </w:r>
      <w:r w:rsidR="00F836AB" w:rsidRPr="00DD1DFA">
        <w:rPr>
          <w:noProof/>
        </w:rPr>
        <w:t>Pełne uczestnictwo</w:t>
      </w:r>
      <w:r w:rsidR="00DD1DFA" w:rsidRPr="00DD1DFA">
        <w:rPr>
          <w:noProof/>
        </w:rPr>
        <w:t xml:space="preserve"> w</w:t>
      </w:r>
      <w:r w:rsidR="00DD1DFA">
        <w:rPr>
          <w:noProof/>
        </w:rPr>
        <w:t> </w:t>
      </w:r>
      <w:r w:rsidR="00DD1DFA" w:rsidRPr="00DD1DFA">
        <w:rPr>
          <w:noProof/>
        </w:rPr>
        <w:t>baz</w:t>
      </w:r>
      <w:r w:rsidR="00F836AB" w:rsidRPr="00DD1DFA">
        <w:rPr>
          <w:noProof/>
        </w:rPr>
        <w:t>ie danych lub systemie,</w:t>
      </w:r>
      <w:r w:rsidR="00DD1DFA" w:rsidRPr="00DD1DFA">
        <w:rPr>
          <w:noProof/>
        </w:rPr>
        <w:t xml:space="preserve"> o</w:t>
      </w:r>
      <w:r w:rsidR="00DD1DFA">
        <w:rPr>
          <w:noProof/>
        </w:rPr>
        <w:t> </w:t>
      </w:r>
      <w:r w:rsidR="00DD1DFA" w:rsidRPr="00DD1DFA">
        <w:rPr>
          <w:noProof/>
        </w:rPr>
        <w:t>któ</w:t>
      </w:r>
      <w:r w:rsidR="00F836AB" w:rsidRPr="00DD1DFA">
        <w:rPr>
          <w:noProof/>
        </w:rPr>
        <w:t>rych mowa</w:t>
      </w:r>
      <w:r w:rsidR="00DD1DFA" w:rsidRPr="00DD1DFA">
        <w:rPr>
          <w:noProof/>
        </w:rPr>
        <w:t xml:space="preserve"> w</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78,</w:t>
      </w:r>
      <w:r w:rsidR="00DD1DFA" w:rsidRPr="00DD1DFA">
        <w:rPr>
          <w:noProof/>
        </w:rPr>
        <w:t xml:space="preserve"> w</w:t>
      </w:r>
      <w:r w:rsidR="00DD1DFA">
        <w:rPr>
          <w:noProof/>
        </w:rPr>
        <w:t> </w:t>
      </w:r>
      <w:r w:rsidR="00DD1DFA" w:rsidRPr="00DD1DFA">
        <w:rPr>
          <w:noProof/>
        </w:rPr>
        <w:t>sys</w:t>
      </w:r>
      <w:r w:rsidR="00F836AB" w:rsidRPr="00DD1DFA">
        <w:rPr>
          <w:noProof/>
        </w:rPr>
        <w:t>temie,</w:t>
      </w:r>
      <w:r w:rsidR="00DD1DFA" w:rsidRPr="00DD1DFA">
        <w:rPr>
          <w:noProof/>
        </w:rPr>
        <w:t xml:space="preserve"> o</w:t>
      </w:r>
      <w:r w:rsidR="00DD1DFA">
        <w:rPr>
          <w:noProof/>
        </w:rPr>
        <w:t> </w:t>
      </w:r>
      <w:r w:rsidR="00DD1DFA" w:rsidRPr="00DD1DFA">
        <w:rPr>
          <w:noProof/>
        </w:rPr>
        <w:t>któ</w:t>
      </w:r>
      <w:r w:rsidR="00F836AB" w:rsidRPr="00DD1DFA">
        <w:rPr>
          <w:noProof/>
        </w:rPr>
        <w:t>rym mowa</w:t>
      </w:r>
      <w:r w:rsidR="00DD1DFA" w:rsidRPr="00DD1DFA">
        <w:rPr>
          <w:noProof/>
        </w:rPr>
        <w:t xml:space="preserve"> w</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77, oraz</w:t>
      </w:r>
      <w:r w:rsidR="00DD1DFA" w:rsidRPr="00DD1DFA">
        <w:rPr>
          <w:noProof/>
        </w:rPr>
        <w:t xml:space="preserve"> w</w:t>
      </w:r>
      <w:r w:rsidR="00DD1DFA">
        <w:rPr>
          <w:noProof/>
        </w:rPr>
        <w:t> </w:t>
      </w:r>
      <w:r w:rsidR="00DD1DFA" w:rsidRPr="00DD1DFA">
        <w:rPr>
          <w:noProof/>
        </w:rPr>
        <w:t>wym</w:t>
      </w:r>
      <w:r w:rsidR="00F836AB" w:rsidRPr="00DD1DFA">
        <w:rPr>
          <w:noProof/>
        </w:rPr>
        <w:t>ianie informacji między organami,</w:t>
      </w:r>
      <w:r w:rsidR="00DD1DFA" w:rsidRPr="00DD1DFA">
        <w:rPr>
          <w:noProof/>
        </w:rPr>
        <w:t xml:space="preserve"> o</w:t>
      </w:r>
      <w:r w:rsidR="00DD1DFA">
        <w:rPr>
          <w:noProof/>
        </w:rPr>
        <w:t> </w:t>
      </w:r>
      <w:r w:rsidR="00DD1DFA" w:rsidRPr="00DD1DFA">
        <w:rPr>
          <w:noProof/>
        </w:rPr>
        <w:t>któ</w:t>
      </w:r>
      <w:r w:rsidR="00F836AB" w:rsidRPr="00DD1DFA">
        <w:rPr>
          <w:noProof/>
        </w:rPr>
        <w:t>rej mowa</w:t>
      </w:r>
      <w:r w:rsidR="00DD1DFA" w:rsidRPr="00DD1DFA">
        <w:rPr>
          <w:noProof/>
        </w:rPr>
        <w:t xml:space="preserve"> w</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80, może być otwarte dla państw ubiegających się</w:t>
      </w:r>
      <w:r w:rsidR="00DD1DFA" w:rsidRPr="00DD1DFA">
        <w:rPr>
          <w:noProof/>
        </w:rPr>
        <w:t xml:space="preserve"> o</w:t>
      </w:r>
      <w:r w:rsidR="00DD1DFA">
        <w:rPr>
          <w:noProof/>
        </w:rPr>
        <w:t> </w:t>
      </w:r>
      <w:r w:rsidR="00DD1DFA" w:rsidRPr="00DD1DFA">
        <w:rPr>
          <w:noProof/>
        </w:rPr>
        <w:t>czł</w:t>
      </w:r>
      <w:r w:rsidR="00F836AB" w:rsidRPr="00DD1DFA">
        <w:rPr>
          <w:noProof/>
        </w:rPr>
        <w:t>onkostwo</w:t>
      </w:r>
      <w:r w:rsidR="00DD1DFA" w:rsidRPr="00DD1DFA">
        <w:rPr>
          <w:noProof/>
        </w:rPr>
        <w:t xml:space="preserve"> i</w:t>
      </w:r>
      <w:r w:rsidR="00DD1DFA">
        <w:rPr>
          <w:noProof/>
        </w:rPr>
        <w:t> </w:t>
      </w:r>
      <w:r w:rsidR="00DD1DFA" w:rsidRPr="00DD1DFA">
        <w:rPr>
          <w:noProof/>
        </w:rPr>
        <w:t>pań</w:t>
      </w:r>
      <w:r w:rsidR="00F836AB" w:rsidRPr="00DD1DFA">
        <w:rPr>
          <w:noProof/>
        </w:rPr>
        <w:t>stw trzecich, pod warunkiem że ich ustawodawstwo jest dostosowane do niniejszego rozporządzenia lub że uznają one certyfikaty wydane przez jednostki notyfikowane lub europejskie oceny techniczne dokonane na podstawie niniejszego rozporządzenia. Uczestnictwo to jest uzależnione od spełnienia tych samych obowiązków, które spoczywają na państwach członkowskich na podstawie niniejszego rozporządzenia,</w:t>
      </w:r>
      <w:r w:rsidR="00DD1DFA" w:rsidRPr="00DD1DFA">
        <w:rPr>
          <w:noProof/>
        </w:rPr>
        <w:t xml:space="preserve"> w</w:t>
      </w:r>
      <w:r w:rsidR="00DD1DFA">
        <w:rPr>
          <w:noProof/>
        </w:rPr>
        <w:t> </w:t>
      </w:r>
      <w:r w:rsidR="00DD1DFA" w:rsidRPr="00DD1DFA">
        <w:rPr>
          <w:noProof/>
        </w:rPr>
        <w:t>tym</w:t>
      </w:r>
      <w:r w:rsidR="00F836AB" w:rsidRPr="00DD1DFA">
        <w:rPr>
          <w:noProof/>
        </w:rPr>
        <w:t xml:space="preserve"> obowiązków dotyczących zawiadamiania</w:t>
      </w:r>
      <w:r w:rsidR="00DD1DFA" w:rsidRPr="00DD1DFA">
        <w:rPr>
          <w:noProof/>
        </w:rPr>
        <w:t xml:space="preserve"> i</w:t>
      </w:r>
      <w:r w:rsidR="00DD1DFA">
        <w:rPr>
          <w:noProof/>
        </w:rPr>
        <w:t> </w:t>
      </w:r>
      <w:r w:rsidR="00DD1DFA" w:rsidRPr="00DD1DFA">
        <w:rPr>
          <w:noProof/>
        </w:rPr>
        <w:t>dzi</w:t>
      </w:r>
      <w:r w:rsidR="00F836AB" w:rsidRPr="00DD1DFA">
        <w:rPr>
          <w:noProof/>
        </w:rPr>
        <w:t>ałań następczych. Podstawę pełnego uczestnictwa</w:t>
      </w:r>
      <w:r w:rsidR="00DD1DFA" w:rsidRPr="00DD1DFA">
        <w:rPr>
          <w:noProof/>
        </w:rPr>
        <w:t xml:space="preserve"> w</w:t>
      </w:r>
      <w:r w:rsidR="00DD1DFA">
        <w:rPr>
          <w:noProof/>
        </w:rPr>
        <w:t> </w:t>
      </w:r>
      <w:r w:rsidR="00DD1DFA" w:rsidRPr="00DD1DFA">
        <w:rPr>
          <w:noProof/>
        </w:rPr>
        <w:t>baz</w:t>
      </w:r>
      <w:r w:rsidR="00F836AB" w:rsidRPr="00DD1DFA">
        <w:rPr>
          <w:noProof/>
        </w:rPr>
        <w:t>ie danych lub systemie,</w:t>
      </w:r>
      <w:r w:rsidR="00DD1DFA" w:rsidRPr="00DD1DFA">
        <w:rPr>
          <w:noProof/>
        </w:rPr>
        <w:t xml:space="preserve"> o</w:t>
      </w:r>
      <w:r w:rsidR="00DD1DFA">
        <w:rPr>
          <w:noProof/>
        </w:rPr>
        <w:t> </w:t>
      </w:r>
      <w:r w:rsidR="00DD1DFA" w:rsidRPr="00DD1DFA">
        <w:rPr>
          <w:noProof/>
        </w:rPr>
        <w:t>któ</w:t>
      </w:r>
      <w:r w:rsidR="00F836AB" w:rsidRPr="00DD1DFA">
        <w:rPr>
          <w:noProof/>
        </w:rPr>
        <w:t>rych mowa</w:t>
      </w:r>
      <w:r w:rsidR="00DD1DFA" w:rsidRPr="00DD1DFA">
        <w:rPr>
          <w:noProof/>
        </w:rPr>
        <w:t xml:space="preserve"> w</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78, lub</w:t>
      </w:r>
      <w:r w:rsidR="00DD1DFA" w:rsidRPr="00DD1DFA">
        <w:rPr>
          <w:noProof/>
        </w:rPr>
        <w:t xml:space="preserve"> w</w:t>
      </w:r>
      <w:r w:rsidR="00DD1DFA">
        <w:rPr>
          <w:noProof/>
        </w:rPr>
        <w:t> </w:t>
      </w:r>
      <w:r w:rsidR="00DD1DFA" w:rsidRPr="00DD1DFA">
        <w:rPr>
          <w:noProof/>
        </w:rPr>
        <w:t>sys</w:t>
      </w:r>
      <w:r w:rsidR="00F836AB" w:rsidRPr="00DD1DFA">
        <w:rPr>
          <w:noProof/>
        </w:rPr>
        <w:t>temie,</w:t>
      </w:r>
      <w:r w:rsidR="00DD1DFA" w:rsidRPr="00DD1DFA">
        <w:rPr>
          <w:noProof/>
        </w:rPr>
        <w:t xml:space="preserve"> o</w:t>
      </w:r>
      <w:r w:rsidR="00DD1DFA">
        <w:rPr>
          <w:noProof/>
        </w:rPr>
        <w:t> </w:t>
      </w:r>
      <w:r w:rsidR="00DD1DFA" w:rsidRPr="00DD1DFA">
        <w:rPr>
          <w:noProof/>
        </w:rPr>
        <w:t>któ</w:t>
      </w:r>
      <w:r w:rsidR="00F836AB" w:rsidRPr="00DD1DFA">
        <w:rPr>
          <w:noProof/>
        </w:rPr>
        <w:t>rym mowa</w:t>
      </w:r>
      <w:r w:rsidR="00DD1DFA" w:rsidRPr="00DD1DFA">
        <w:rPr>
          <w:noProof/>
        </w:rPr>
        <w:t xml:space="preserve"> w</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77, stanowią porozumienia między Unią Europejską</w:t>
      </w:r>
      <w:r w:rsidR="00DD1DFA" w:rsidRPr="00DD1DFA">
        <w:rPr>
          <w:noProof/>
        </w:rPr>
        <w:t xml:space="preserve"> a</w:t>
      </w:r>
      <w:r w:rsidR="00DD1DFA">
        <w:rPr>
          <w:noProof/>
        </w:rPr>
        <w:t> </w:t>
      </w:r>
      <w:r w:rsidR="00DD1DFA" w:rsidRPr="00DD1DFA">
        <w:rPr>
          <w:noProof/>
        </w:rPr>
        <w:t>tym</w:t>
      </w:r>
      <w:r w:rsidR="00F836AB" w:rsidRPr="00DD1DFA">
        <w:rPr>
          <w:noProof/>
        </w:rPr>
        <w:t>i państwami.</w:t>
      </w:r>
    </w:p>
    <w:p w14:paraId="704C9943" w14:textId="45EE70DD" w:rsidR="00F836AB" w:rsidRPr="00DD1DFA" w:rsidRDefault="005F7EFA" w:rsidP="005F7EFA">
      <w:pPr>
        <w:pStyle w:val="ManualNumPar1"/>
        <w:rPr>
          <w:noProof/>
        </w:rPr>
      </w:pPr>
      <w:r w:rsidRPr="005F7EFA">
        <w:t>5.</w:t>
      </w:r>
      <w:r w:rsidRPr="005F7EFA">
        <w:tab/>
      </w:r>
      <w:r w:rsidR="00F836AB" w:rsidRPr="00DD1DFA">
        <w:rPr>
          <w:noProof/>
        </w:rPr>
        <w:t>Jeżeli porozumienia</w:t>
      </w:r>
      <w:r w:rsidR="00DD1DFA" w:rsidRPr="00DD1DFA">
        <w:rPr>
          <w:noProof/>
        </w:rPr>
        <w:t xml:space="preserve"> z</w:t>
      </w:r>
      <w:r w:rsidR="00DD1DFA">
        <w:rPr>
          <w:noProof/>
        </w:rPr>
        <w:t> </w:t>
      </w:r>
      <w:r w:rsidR="00DD1DFA" w:rsidRPr="00DD1DFA">
        <w:rPr>
          <w:noProof/>
        </w:rPr>
        <w:t>pań</w:t>
      </w:r>
      <w:r w:rsidR="00F836AB" w:rsidRPr="00DD1DFA">
        <w:rPr>
          <w:noProof/>
        </w:rPr>
        <w:t>stwami trzecimi pozwalają na udzielenie wzajemnego wsparcia</w:t>
      </w:r>
      <w:r w:rsidR="00DD1DFA" w:rsidRPr="00DD1DFA">
        <w:rPr>
          <w:noProof/>
        </w:rPr>
        <w:t xml:space="preserve"> w</w:t>
      </w:r>
      <w:r w:rsidR="00DD1DFA">
        <w:rPr>
          <w:noProof/>
        </w:rPr>
        <w:t> </w:t>
      </w:r>
      <w:r w:rsidR="00DD1DFA" w:rsidRPr="00DD1DFA">
        <w:rPr>
          <w:noProof/>
        </w:rPr>
        <w:t>zak</w:t>
      </w:r>
      <w:r w:rsidR="00F836AB" w:rsidRPr="00DD1DFA">
        <w:rPr>
          <w:noProof/>
        </w:rPr>
        <w:t>resie egzekwowania przepisów, państwa członkowskie mogą, po konsultacji</w:t>
      </w:r>
      <w:r w:rsidR="00DD1DFA" w:rsidRPr="00DD1DFA">
        <w:rPr>
          <w:noProof/>
        </w:rPr>
        <w:t xml:space="preserve"> z</w:t>
      </w:r>
      <w:r w:rsidR="00DD1DFA">
        <w:rPr>
          <w:noProof/>
        </w:rPr>
        <w:t> </w:t>
      </w:r>
      <w:r w:rsidR="00DD1DFA" w:rsidRPr="00DD1DFA">
        <w:rPr>
          <w:noProof/>
        </w:rPr>
        <w:t>Kom</w:t>
      </w:r>
      <w:r w:rsidR="00F836AB" w:rsidRPr="00DD1DFA">
        <w:rPr>
          <w:noProof/>
        </w:rPr>
        <w:t>isją, skorzystać</w:t>
      </w:r>
      <w:r w:rsidR="00DD1DFA" w:rsidRPr="00DD1DFA">
        <w:rPr>
          <w:noProof/>
        </w:rPr>
        <w:t xml:space="preserve"> z</w:t>
      </w:r>
      <w:r w:rsidR="00DD1DFA">
        <w:rPr>
          <w:noProof/>
        </w:rPr>
        <w:t> </w:t>
      </w:r>
      <w:r w:rsidR="00DD1DFA" w:rsidRPr="00DD1DFA">
        <w:rPr>
          <w:noProof/>
        </w:rPr>
        <w:t>upr</w:t>
      </w:r>
      <w:r w:rsidR="00F836AB" w:rsidRPr="00DD1DFA">
        <w:rPr>
          <w:noProof/>
        </w:rPr>
        <w:t>awnień określonych</w:t>
      </w:r>
      <w:r w:rsidR="00DD1DFA" w:rsidRPr="00DD1DFA">
        <w:rPr>
          <w:noProof/>
        </w:rPr>
        <w:t xml:space="preserve"> w</w:t>
      </w:r>
      <w:r w:rsidR="00DD1DFA">
        <w:rPr>
          <w:noProof/>
        </w:rPr>
        <w:t> </w:t>
      </w:r>
      <w:r w:rsidR="00DD1DFA" w:rsidRPr="00DD1DFA">
        <w:rPr>
          <w:noProof/>
        </w:rPr>
        <w:t>roz</w:t>
      </w:r>
      <w:r w:rsidR="00F836AB" w:rsidRPr="00DD1DFA">
        <w:rPr>
          <w:noProof/>
        </w:rPr>
        <w:t>dziale VIII również do podejmowania działań przeciwko podmiotom gospodarczym prowadzącym działalność niezgodnie</w:t>
      </w:r>
      <w:r w:rsidR="00DD1DFA" w:rsidRPr="00DD1DFA">
        <w:rPr>
          <w:noProof/>
        </w:rPr>
        <w:t xml:space="preserve"> z</w:t>
      </w:r>
      <w:r w:rsidR="00DD1DFA">
        <w:rPr>
          <w:noProof/>
        </w:rPr>
        <w:t> </w:t>
      </w:r>
      <w:r w:rsidR="00DD1DFA" w:rsidRPr="00DD1DFA">
        <w:rPr>
          <w:noProof/>
        </w:rPr>
        <w:t>pra</w:t>
      </w:r>
      <w:r w:rsidR="00F836AB" w:rsidRPr="00DD1DFA">
        <w:rPr>
          <w:noProof/>
        </w:rPr>
        <w:t>wem</w:t>
      </w:r>
      <w:r w:rsidR="00DD1DFA" w:rsidRPr="00DD1DFA">
        <w:rPr>
          <w:noProof/>
        </w:rPr>
        <w:t xml:space="preserve"> w</w:t>
      </w:r>
      <w:r w:rsidR="00DD1DFA">
        <w:rPr>
          <w:noProof/>
        </w:rPr>
        <w:t> </w:t>
      </w:r>
      <w:r w:rsidR="00DD1DFA" w:rsidRPr="00DD1DFA">
        <w:rPr>
          <w:noProof/>
        </w:rPr>
        <w:t>pań</w:t>
      </w:r>
      <w:r w:rsidR="00F836AB" w:rsidRPr="00DD1DFA">
        <w:rPr>
          <w:noProof/>
        </w:rPr>
        <w:t>stwach trzecich lub</w:t>
      </w:r>
      <w:r w:rsidR="00DD1DFA" w:rsidRPr="00DD1DFA">
        <w:rPr>
          <w:noProof/>
        </w:rPr>
        <w:t xml:space="preserve"> w</w:t>
      </w:r>
      <w:r w:rsidR="00DD1DFA">
        <w:rPr>
          <w:noProof/>
        </w:rPr>
        <w:t> </w:t>
      </w:r>
      <w:r w:rsidR="00DD1DFA" w:rsidRPr="00DD1DFA">
        <w:rPr>
          <w:noProof/>
        </w:rPr>
        <w:t>odn</w:t>
      </w:r>
      <w:r w:rsidR="00F836AB" w:rsidRPr="00DD1DFA">
        <w:rPr>
          <w:noProof/>
        </w:rPr>
        <w:t>iesieniu do państw trzecich, pod warunkiem że państwa trzecie przestrzegają podstawowych wartości,</w:t>
      </w:r>
      <w:r w:rsidR="00DD1DFA" w:rsidRPr="00DD1DFA">
        <w:rPr>
          <w:noProof/>
        </w:rPr>
        <w:t xml:space="preserve"> o</w:t>
      </w:r>
      <w:r w:rsidR="00DD1DFA">
        <w:rPr>
          <w:noProof/>
        </w:rPr>
        <w:t> </w:t>
      </w:r>
      <w:r w:rsidR="00DD1DFA" w:rsidRPr="00DD1DFA">
        <w:rPr>
          <w:noProof/>
        </w:rPr>
        <w:t>któ</w:t>
      </w:r>
      <w:r w:rsidR="00F836AB" w:rsidRPr="00DD1DFA">
        <w:rPr>
          <w:noProof/>
        </w:rPr>
        <w:t>rych mowa</w:t>
      </w:r>
      <w:r w:rsidR="00DD1DFA" w:rsidRPr="00DD1DFA">
        <w:rPr>
          <w:noProof/>
        </w:rPr>
        <w:t xml:space="preserve"> w</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2 TUE,</w:t>
      </w:r>
      <w:r w:rsidR="00DD1DFA" w:rsidRPr="00DD1DFA">
        <w:rPr>
          <w:noProof/>
        </w:rPr>
        <w:t xml:space="preserve"> w</w:t>
      </w:r>
      <w:r w:rsidR="00DD1DFA">
        <w:rPr>
          <w:noProof/>
        </w:rPr>
        <w:t> </w:t>
      </w:r>
      <w:r w:rsidR="00DD1DFA" w:rsidRPr="00DD1DFA">
        <w:rPr>
          <w:noProof/>
        </w:rPr>
        <w:t>tym</w:t>
      </w:r>
      <w:r w:rsidR="00F836AB" w:rsidRPr="00DD1DFA">
        <w:rPr>
          <w:noProof/>
        </w:rPr>
        <w:t xml:space="preserve"> zasady państwa prawnego. Państwa członkowskie mogą występować za pośrednictwem Komisji do państw trzecich</w:t>
      </w:r>
      <w:r w:rsidR="00DD1DFA" w:rsidRPr="00DD1DFA">
        <w:rPr>
          <w:noProof/>
        </w:rPr>
        <w:t xml:space="preserve"> z</w:t>
      </w:r>
      <w:r w:rsidR="00DD1DFA">
        <w:rPr>
          <w:noProof/>
        </w:rPr>
        <w:t> </w:t>
      </w:r>
      <w:r w:rsidR="00DD1DFA" w:rsidRPr="00DD1DFA">
        <w:rPr>
          <w:noProof/>
        </w:rPr>
        <w:t>żąd</w:t>
      </w:r>
      <w:r w:rsidR="00F836AB" w:rsidRPr="00DD1DFA">
        <w:rPr>
          <w:noProof/>
        </w:rPr>
        <w:t>aniem egzekwowania środków przyjętych na podstawie rozdziału VIII. Żadna współpraca na podstawie niniejszego ustępu nie może mieć miejsca, jeśli nie istnieje wzajemność de facto lub jeśli Komisja zgłasza inne zastrzeżenia,</w:t>
      </w:r>
      <w:r w:rsidR="00DD1DFA" w:rsidRPr="00DD1DFA">
        <w:rPr>
          <w:noProof/>
        </w:rPr>
        <w:t xml:space="preserve"> a</w:t>
      </w:r>
      <w:r w:rsidR="00DD1DFA">
        <w:rPr>
          <w:noProof/>
        </w:rPr>
        <w:t> </w:t>
      </w:r>
      <w:r w:rsidR="00DD1DFA" w:rsidRPr="00DD1DFA">
        <w:rPr>
          <w:noProof/>
        </w:rPr>
        <w:t>mia</w:t>
      </w:r>
      <w:r w:rsidR="00F836AB" w:rsidRPr="00DD1DFA">
        <w:rPr>
          <w:noProof/>
        </w:rPr>
        <w:t>nowicie zastrzeżenia dotyczące warunków prawnych określonych</w:t>
      </w:r>
      <w:r w:rsidR="00DD1DFA" w:rsidRPr="00DD1DFA">
        <w:rPr>
          <w:noProof/>
        </w:rPr>
        <w:t xml:space="preserve"> w</w:t>
      </w:r>
      <w:r w:rsidR="00DD1DFA">
        <w:rPr>
          <w:noProof/>
        </w:rPr>
        <w:t> </w:t>
      </w:r>
      <w:r w:rsidR="00DD1DFA" w:rsidRPr="00DD1DFA">
        <w:rPr>
          <w:noProof/>
        </w:rPr>
        <w:t>nin</w:t>
      </w:r>
      <w:r w:rsidR="00F836AB" w:rsidRPr="00DD1DFA">
        <w:rPr>
          <w:noProof/>
        </w:rPr>
        <w:t>iejszym artykule lub poufności danych.</w:t>
      </w:r>
    </w:p>
    <w:p w14:paraId="45A0919B" w14:textId="0DDF2DD8" w:rsidR="00F836AB" w:rsidRPr="00DD1DFA" w:rsidRDefault="005F7EFA" w:rsidP="005F7EFA">
      <w:pPr>
        <w:pStyle w:val="ManualNumPar1"/>
        <w:rPr>
          <w:noProof/>
        </w:rPr>
      </w:pPr>
      <w:r w:rsidRPr="005F7EFA">
        <w:t>6.</w:t>
      </w:r>
      <w:r w:rsidRPr="005F7EFA">
        <w:tab/>
      </w:r>
      <w:r w:rsidR="00F836AB" w:rsidRPr="00DD1DFA">
        <w:rPr>
          <w:noProof/>
        </w:rPr>
        <w:t>Wszelka wymiana informacji na podstawie niniejszego artykułu –</w:t>
      </w:r>
      <w:r w:rsidR="00DD1DFA" w:rsidRPr="00DD1DFA">
        <w:rPr>
          <w:noProof/>
        </w:rPr>
        <w:t xml:space="preserve"> w</w:t>
      </w:r>
      <w:r w:rsidR="00DD1DFA">
        <w:rPr>
          <w:noProof/>
        </w:rPr>
        <w:t> </w:t>
      </w:r>
      <w:r w:rsidR="00DD1DFA" w:rsidRPr="00DD1DFA">
        <w:rPr>
          <w:noProof/>
        </w:rPr>
        <w:t>zak</w:t>
      </w:r>
      <w:r w:rsidR="00F836AB" w:rsidRPr="00DD1DFA">
        <w:rPr>
          <w:noProof/>
        </w:rPr>
        <w:t>resie,</w:t>
      </w:r>
      <w:r w:rsidR="00DD1DFA" w:rsidRPr="00DD1DFA">
        <w:rPr>
          <w:noProof/>
        </w:rPr>
        <w:t xml:space="preserve"> w</w:t>
      </w:r>
      <w:r w:rsidR="00DD1DFA">
        <w:rPr>
          <w:noProof/>
        </w:rPr>
        <w:t> </w:t>
      </w:r>
      <w:r w:rsidR="00DD1DFA" w:rsidRPr="00DD1DFA">
        <w:rPr>
          <w:noProof/>
        </w:rPr>
        <w:t>jak</w:t>
      </w:r>
      <w:r w:rsidR="00F836AB" w:rsidRPr="00DD1DFA">
        <w:rPr>
          <w:noProof/>
        </w:rPr>
        <w:t>im dotyczy ona danych osobowych – odbywa się zgodnie</w:t>
      </w:r>
      <w:r w:rsidR="00DD1DFA" w:rsidRPr="00DD1DFA">
        <w:rPr>
          <w:noProof/>
        </w:rPr>
        <w:t xml:space="preserve"> z</w:t>
      </w:r>
      <w:r w:rsidR="00DD1DFA">
        <w:rPr>
          <w:noProof/>
        </w:rPr>
        <w:t> </w:t>
      </w:r>
      <w:r w:rsidR="00DD1DFA" w:rsidRPr="00DD1DFA">
        <w:rPr>
          <w:noProof/>
        </w:rPr>
        <w:t>prz</w:t>
      </w:r>
      <w:r w:rsidR="00F836AB" w:rsidRPr="00DD1DFA">
        <w:rPr>
          <w:noProof/>
        </w:rPr>
        <w:t>episami UE</w:t>
      </w:r>
      <w:r w:rsidR="00DD1DFA" w:rsidRPr="00DD1DFA">
        <w:rPr>
          <w:noProof/>
        </w:rPr>
        <w:t xml:space="preserve"> o</w:t>
      </w:r>
      <w:r w:rsidR="00DD1DFA">
        <w:rPr>
          <w:noProof/>
        </w:rPr>
        <w:t> </w:t>
      </w:r>
      <w:r w:rsidR="00DD1DFA" w:rsidRPr="00DD1DFA">
        <w:rPr>
          <w:noProof/>
        </w:rPr>
        <w:t>och</w:t>
      </w:r>
      <w:r w:rsidR="00F836AB" w:rsidRPr="00DD1DFA">
        <w:rPr>
          <w:noProof/>
        </w:rPr>
        <w:t>ronie danych. Jeżeli</w:t>
      </w:r>
      <w:r w:rsidR="00DD1DFA" w:rsidRPr="00DD1DFA">
        <w:rPr>
          <w:noProof/>
        </w:rPr>
        <w:t xml:space="preserve"> w</w:t>
      </w:r>
      <w:r w:rsidR="00DD1DFA">
        <w:rPr>
          <w:noProof/>
        </w:rPr>
        <w:t> </w:t>
      </w:r>
      <w:r w:rsidR="00DD1DFA" w:rsidRPr="00DD1DFA">
        <w:rPr>
          <w:noProof/>
        </w:rPr>
        <w:t>odn</w:t>
      </w:r>
      <w:r w:rsidR="00F836AB" w:rsidRPr="00DD1DFA">
        <w:rPr>
          <w:noProof/>
        </w:rPr>
        <w:t>iesieniu do państwa trzeciego lub organizacji międzynarodowej Komisja nie przyjęła decyzji stwierdzającej odpowiedni stopień ochrony na podstawie art.</w:t>
      </w:r>
      <w:r w:rsidR="00DD1DFA" w:rsidRPr="00DD1DFA">
        <w:rPr>
          <w:noProof/>
        </w:rPr>
        <w:t> </w:t>
      </w:r>
      <w:r w:rsidR="00F836AB" w:rsidRPr="00DD1DFA">
        <w:rPr>
          <w:noProof/>
        </w:rPr>
        <w:t>45 rozporządzenia (UE) 2016/679, wymiana informacji nie obejmuje danych osobowych. Jeżeli</w:t>
      </w:r>
      <w:r w:rsidR="00DD1DFA" w:rsidRPr="00DD1DFA">
        <w:rPr>
          <w:noProof/>
        </w:rPr>
        <w:t xml:space="preserve"> w</w:t>
      </w:r>
      <w:r w:rsidR="00DD1DFA">
        <w:rPr>
          <w:noProof/>
        </w:rPr>
        <w:t> </w:t>
      </w:r>
      <w:r w:rsidR="00DD1DFA" w:rsidRPr="00DD1DFA">
        <w:rPr>
          <w:noProof/>
        </w:rPr>
        <w:t>odn</w:t>
      </w:r>
      <w:r w:rsidR="00F836AB" w:rsidRPr="00DD1DFA">
        <w:rPr>
          <w:noProof/>
        </w:rPr>
        <w:t>iesieniu do państwa trzeciego lub organizacji międzynarodowej przyjęto decyzję stwierdzającą odpowiedni stopień ochrony, wymiana informacji</w:t>
      </w:r>
      <w:r w:rsidR="00DD1DFA" w:rsidRPr="00DD1DFA">
        <w:rPr>
          <w:noProof/>
        </w:rPr>
        <w:t xml:space="preserve"> z</w:t>
      </w:r>
      <w:r w:rsidR="00DD1DFA">
        <w:rPr>
          <w:noProof/>
        </w:rPr>
        <w:t> </w:t>
      </w:r>
      <w:r w:rsidR="00DD1DFA" w:rsidRPr="00DD1DFA">
        <w:rPr>
          <w:noProof/>
        </w:rPr>
        <w:t>tym</w:t>
      </w:r>
      <w:r w:rsidR="00F836AB" w:rsidRPr="00DD1DFA">
        <w:rPr>
          <w:noProof/>
        </w:rPr>
        <w:t xml:space="preserve"> państwem trzecim lub z tą organizacją międzynarodową może obejmować dane osobowe objęte zakresem stosowania decyzji stwierdzającej odpowiedni stopień ochrony</w:t>
      </w:r>
      <w:r w:rsidR="00DD1DFA" w:rsidRPr="00DD1DFA">
        <w:rPr>
          <w:noProof/>
        </w:rPr>
        <w:t xml:space="preserve"> i</w:t>
      </w:r>
      <w:r w:rsidR="00DD1DFA">
        <w:rPr>
          <w:noProof/>
        </w:rPr>
        <w:t> </w:t>
      </w:r>
      <w:r w:rsidR="00DD1DFA" w:rsidRPr="00DD1DFA">
        <w:rPr>
          <w:noProof/>
        </w:rPr>
        <w:t>tyl</w:t>
      </w:r>
      <w:r w:rsidR="00F836AB" w:rsidRPr="00DD1DFA">
        <w:rPr>
          <w:noProof/>
        </w:rPr>
        <w:t>ko</w:t>
      </w:r>
      <w:r w:rsidR="00DD1DFA" w:rsidRPr="00DD1DFA">
        <w:rPr>
          <w:noProof/>
        </w:rPr>
        <w:t xml:space="preserve"> w</w:t>
      </w:r>
      <w:r w:rsidR="00DD1DFA">
        <w:rPr>
          <w:noProof/>
        </w:rPr>
        <w:t> </w:t>
      </w:r>
      <w:r w:rsidR="00DD1DFA" w:rsidRPr="00DD1DFA">
        <w:rPr>
          <w:noProof/>
        </w:rPr>
        <w:t>zak</w:t>
      </w:r>
      <w:r w:rsidR="00F836AB" w:rsidRPr="00DD1DFA">
        <w:rPr>
          <w:noProof/>
        </w:rPr>
        <w:t>resie,</w:t>
      </w:r>
      <w:r w:rsidR="00DD1DFA" w:rsidRPr="00DD1DFA">
        <w:rPr>
          <w:noProof/>
        </w:rPr>
        <w:t xml:space="preserve"> w</w:t>
      </w:r>
      <w:r w:rsidR="00DD1DFA">
        <w:rPr>
          <w:noProof/>
        </w:rPr>
        <w:t> </w:t>
      </w:r>
      <w:r w:rsidR="00DD1DFA" w:rsidRPr="00DD1DFA">
        <w:rPr>
          <w:noProof/>
        </w:rPr>
        <w:t>jak</w:t>
      </w:r>
      <w:r w:rsidR="00F836AB" w:rsidRPr="00DD1DFA">
        <w:rPr>
          <w:noProof/>
        </w:rPr>
        <w:t>im taka wymiana jest niezbędna wyłącznie</w:t>
      </w:r>
      <w:r w:rsidR="00DD1DFA" w:rsidRPr="00DD1DFA">
        <w:rPr>
          <w:noProof/>
        </w:rPr>
        <w:t xml:space="preserve"> w</w:t>
      </w:r>
      <w:r w:rsidR="00DD1DFA">
        <w:rPr>
          <w:noProof/>
        </w:rPr>
        <w:t> </w:t>
      </w:r>
      <w:r w:rsidR="00DD1DFA" w:rsidRPr="00DD1DFA">
        <w:rPr>
          <w:noProof/>
        </w:rPr>
        <w:t>cel</w:t>
      </w:r>
      <w:r w:rsidR="00F836AB" w:rsidRPr="00DD1DFA">
        <w:rPr>
          <w:noProof/>
        </w:rPr>
        <w:t>u ochrony zdrowia, bezpieczeństwa lub środowiska.</w:t>
      </w:r>
    </w:p>
    <w:p w14:paraId="3BFEC14C" w14:textId="1C9B5381" w:rsidR="00BC1E12" w:rsidRPr="00DD1DFA" w:rsidRDefault="005F7EFA" w:rsidP="005F7EFA">
      <w:pPr>
        <w:pStyle w:val="ManualNumPar1"/>
        <w:rPr>
          <w:rFonts w:eastAsia="Times New Roman"/>
          <w:bCs/>
          <w:noProof/>
          <w:color w:val="000000"/>
        </w:rPr>
      </w:pPr>
      <w:r w:rsidRPr="005F7EFA">
        <w:t>7.</w:t>
      </w:r>
      <w:r w:rsidRPr="005F7EFA">
        <w:tab/>
      </w:r>
      <w:r w:rsidR="00F836AB" w:rsidRPr="00DD1DFA">
        <w:rPr>
          <w:noProof/>
        </w:rPr>
        <w:t>Informacje wymieniane zgodnie</w:t>
      </w:r>
      <w:r w:rsidR="00DD1DFA" w:rsidRPr="00DD1DFA">
        <w:rPr>
          <w:noProof/>
        </w:rPr>
        <w:t xml:space="preserve"> z</w:t>
      </w:r>
      <w:r w:rsidR="00DD1DFA">
        <w:rPr>
          <w:noProof/>
        </w:rPr>
        <w:t> </w:t>
      </w:r>
      <w:r w:rsidR="00DD1DFA" w:rsidRPr="00DD1DFA">
        <w:rPr>
          <w:noProof/>
        </w:rPr>
        <w:t>nin</w:t>
      </w:r>
      <w:r w:rsidR="00F836AB" w:rsidRPr="00DD1DFA">
        <w:rPr>
          <w:noProof/>
        </w:rPr>
        <w:t>iejszym artykułem wykorzystuje się wyłącznie</w:t>
      </w:r>
      <w:r w:rsidR="00DD1DFA" w:rsidRPr="00DD1DFA">
        <w:rPr>
          <w:noProof/>
        </w:rPr>
        <w:t xml:space="preserve"> w</w:t>
      </w:r>
      <w:r w:rsidR="00DD1DFA">
        <w:rPr>
          <w:noProof/>
        </w:rPr>
        <w:t> </w:t>
      </w:r>
      <w:r w:rsidR="00DD1DFA" w:rsidRPr="00DD1DFA">
        <w:rPr>
          <w:noProof/>
        </w:rPr>
        <w:t>cel</w:t>
      </w:r>
      <w:r w:rsidR="00F836AB" w:rsidRPr="00DD1DFA">
        <w:rPr>
          <w:noProof/>
        </w:rPr>
        <w:t>u ochrony zdrowia, bezpieczeństwa lub środowiska</w:t>
      </w:r>
      <w:r w:rsidR="00DD1DFA" w:rsidRPr="00DD1DFA">
        <w:rPr>
          <w:noProof/>
        </w:rPr>
        <w:t xml:space="preserve"> i</w:t>
      </w:r>
      <w:r w:rsidR="00DD1DFA">
        <w:rPr>
          <w:noProof/>
        </w:rPr>
        <w:t> </w:t>
      </w:r>
      <w:r w:rsidR="00DD1DFA" w:rsidRPr="00DD1DFA">
        <w:rPr>
          <w:noProof/>
        </w:rPr>
        <w:t>z</w:t>
      </w:r>
      <w:r w:rsidR="00DD1DFA">
        <w:rPr>
          <w:noProof/>
        </w:rPr>
        <w:t> </w:t>
      </w:r>
      <w:r w:rsidR="00DD1DFA" w:rsidRPr="00DD1DFA">
        <w:rPr>
          <w:noProof/>
        </w:rPr>
        <w:t>pos</w:t>
      </w:r>
      <w:r w:rsidR="00F836AB" w:rsidRPr="00DD1DFA">
        <w:rPr>
          <w:noProof/>
        </w:rPr>
        <w:t>zanowaniem zasad poufności.</w:t>
      </w:r>
    </w:p>
    <w:p w14:paraId="374A6038" w14:textId="77777777" w:rsidR="00BC1E12" w:rsidRPr="00DD1DFA" w:rsidRDefault="00BC1E12" w:rsidP="00784EA6">
      <w:pPr>
        <w:pStyle w:val="ChapterTitle"/>
        <w:rPr>
          <w:noProof/>
          <w:sz w:val="24"/>
          <w:szCs w:val="24"/>
        </w:rPr>
      </w:pPr>
      <w:r w:rsidRPr="00DD1DFA">
        <w:rPr>
          <w:noProof/>
          <w:sz w:val="24"/>
          <w:szCs w:val="24"/>
        </w:rPr>
        <w:t>ROZDZIAŁ XI</w:t>
      </w:r>
    </w:p>
    <w:p w14:paraId="3B5A157E" w14:textId="77777777" w:rsidR="00BC1E12" w:rsidRPr="00DD1DFA" w:rsidRDefault="00F836AB" w:rsidP="00784EA6">
      <w:pPr>
        <w:pStyle w:val="ChapterTitle"/>
        <w:rPr>
          <w:noProof/>
          <w:sz w:val="24"/>
          <w:szCs w:val="24"/>
        </w:rPr>
      </w:pPr>
      <w:r w:rsidRPr="00DD1DFA">
        <w:rPr>
          <w:noProof/>
          <w:sz w:val="24"/>
          <w:szCs w:val="24"/>
        </w:rPr>
        <w:t>ZACHĘTY I UDZIELANIE ZAMÓWIEŃ PUBLICZNYCH</w:t>
      </w:r>
    </w:p>
    <w:p w14:paraId="09F751C0" w14:textId="77777777" w:rsidR="00BC1E12" w:rsidRPr="00DD1DFA" w:rsidRDefault="00F836AB" w:rsidP="00784EA6">
      <w:pPr>
        <w:pStyle w:val="Titrearticle"/>
        <w:rPr>
          <w:rFonts w:ascii="Calibri" w:eastAsia="Calibri" w:hAnsi="Calibri" w:cs="DejaVu Sans"/>
          <w:noProof/>
          <w:color w:val="00000A"/>
          <w:sz w:val="22"/>
        </w:rPr>
      </w:pPr>
      <w:r w:rsidRPr="00DD1DFA">
        <w:rPr>
          <w:noProof/>
        </w:rPr>
        <w:t>Artykuł 83</w:t>
      </w:r>
    </w:p>
    <w:p w14:paraId="7007F775" w14:textId="77777777" w:rsidR="00BC1E12" w:rsidRPr="00DD1DFA" w:rsidRDefault="00F836AB" w:rsidP="00784EA6">
      <w:pPr>
        <w:pStyle w:val="Titrearticle"/>
        <w:rPr>
          <w:rFonts w:eastAsia="Calibri"/>
          <w:b/>
          <w:noProof/>
        </w:rPr>
      </w:pPr>
      <w:r w:rsidRPr="00DD1DFA">
        <w:rPr>
          <w:b/>
          <w:bCs/>
          <w:noProof/>
        </w:rPr>
        <w:t>Zachęty stosowane przez państwa członkowskie</w:t>
      </w:r>
    </w:p>
    <w:p w14:paraId="7CAD32FE" w14:textId="6E7F16D1" w:rsidR="00F836AB" w:rsidRPr="00DD1DFA" w:rsidRDefault="005F7EFA" w:rsidP="005F7EFA">
      <w:pPr>
        <w:pStyle w:val="ManualNumPar1"/>
        <w:rPr>
          <w:noProof/>
          <w:color w:val="000000"/>
        </w:rPr>
      </w:pPr>
      <w:r w:rsidRPr="005F7EFA">
        <w:t>1.</w:t>
      </w:r>
      <w:r w:rsidRPr="005F7EFA">
        <w:tab/>
      </w:r>
      <w:r w:rsidR="00F836AB" w:rsidRPr="00DD1DFA">
        <w:rPr>
          <w:noProof/>
        </w:rPr>
        <w:t>Jeżeli państwa członkowskie zapewniają zachęty</w:t>
      </w:r>
      <w:r w:rsidR="00DD1DFA" w:rsidRPr="00DD1DFA">
        <w:rPr>
          <w:noProof/>
        </w:rPr>
        <w:t xml:space="preserve"> w</w:t>
      </w:r>
      <w:r w:rsidR="00DD1DFA">
        <w:rPr>
          <w:noProof/>
        </w:rPr>
        <w:t> </w:t>
      </w:r>
      <w:r w:rsidR="00DD1DFA" w:rsidRPr="00DD1DFA">
        <w:rPr>
          <w:noProof/>
        </w:rPr>
        <w:t>odn</w:t>
      </w:r>
      <w:r w:rsidR="00F836AB" w:rsidRPr="00DD1DFA">
        <w:rPr>
          <w:noProof/>
        </w:rPr>
        <w:t>iesieniu do kategorii wyrobów objętych aktem delegowanym ustanawiającym klasy właściwości użytkowych zgodnie</w:t>
      </w:r>
      <w:r w:rsidR="00DD1DFA" w:rsidRPr="00DD1DFA">
        <w:rPr>
          <w:noProof/>
        </w:rPr>
        <w:t xml:space="preserve"> z</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4 ust.</w:t>
      </w:r>
      <w:r w:rsidR="00DD1DFA" w:rsidRPr="00DD1DFA">
        <w:rPr>
          <w:noProof/>
        </w:rPr>
        <w:t> </w:t>
      </w:r>
      <w:r w:rsidR="00F836AB" w:rsidRPr="00DD1DFA">
        <w:rPr>
          <w:noProof/>
        </w:rPr>
        <w:t>4 lit.</w:t>
      </w:r>
      <w:r w:rsidR="00DD1DFA" w:rsidRPr="00DD1DFA">
        <w:rPr>
          <w:noProof/>
        </w:rPr>
        <w:t> </w:t>
      </w:r>
      <w:r w:rsidR="00F836AB" w:rsidRPr="00DD1DFA">
        <w:rPr>
          <w:noProof/>
        </w:rPr>
        <w:t>a) lub etykietowanie</w:t>
      </w:r>
      <w:r w:rsidR="00DD1DFA" w:rsidRPr="00DD1DFA">
        <w:rPr>
          <w:noProof/>
        </w:rPr>
        <w:t xml:space="preserve"> w</w:t>
      </w:r>
      <w:r w:rsidR="00DD1DFA">
        <w:rPr>
          <w:noProof/>
        </w:rPr>
        <w:t> </w:t>
      </w:r>
      <w:r w:rsidR="00DD1DFA" w:rsidRPr="00DD1DFA">
        <w:rPr>
          <w:noProof/>
        </w:rPr>
        <w:t>for</w:t>
      </w:r>
      <w:r w:rsidR="00F836AB" w:rsidRPr="00DD1DFA">
        <w:rPr>
          <w:noProof/>
        </w:rPr>
        <w:t>mie „sygnalizacji świetlnej” zgodnie</w:t>
      </w:r>
      <w:r w:rsidR="00DD1DFA" w:rsidRPr="00DD1DFA">
        <w:rPr>
          <w:noProof/>
        </w:rPr>
        <w:t xml:space="preserve"> z</w:t>
      </w:r>
      <w:r w:rsidR="00DD1DFA">
        <w:rPr>
          <w:noProof/>
        </w:rPr>
        <w:t> </w:t>
      </w:r>
      <w:r w:rsidR="00DD1DFA" w:rsidRPr="00DD1DFA">
        <w:rPr>
          <w:noProof/>
        </w:rPr>
        <w:t>art</w:t>
      </w:r>
      <w:r w:rsidR="00F836AB" w:rsidRPr="00DD1DFA">
        <w:rPr>
          <w:noProof/>
        </w:rPr>
        <w:t>.</w:t>
      </w:r>
      <w:r w:rsidR="00DD1DFA" w:rsidRPr="00DD1DFA">
        <w:rPr>
          <w:noProof/>
        </w:rPr>
        <w:t> </w:t>
      </w:r>
      <w:r w:rsidR="00F836AB" w:rsidRPr="00DD1DFA">
        <w:rPr>
          <w:noProof/>
        </w:rPr>
        <w:t>22 ust.</w:t>
      </w:r>
      <w:r w:rsidR="00DD1DFA" w:rsidRPr="00DD1DFA">
        <w:rPr>
          <w:noProof/>
        </w:rPr>
        <w:t> </w:t>
      </w:r>
      <w:r w:rsidR="00F836AB" w:rsidRPr="00DD1DFA">
        <w:rPr>
          <w:noProof/>
        </w:rPr>
        <w:t>5, zachęty te dotyczą dwóch klas/kodów barw</w:t>
      </w:r>
      <w:r w:rsidR="00DD1DFA" w:rsidRPr="00DD1DFA">
        <w:rPr>
          <w:noProof/>
        </w:rPr>
        <w:t xml:space="preserve">, </w:t>
      </w:r>
      <w:r w:rsidR="00F836AB" w:rsidRPr="00DD1DFA">
        <w:rPr>
          <w:noProof/>
        </w:rPr>
        <w:t>do których należy największa liczba wyrobów.</w:t>
      </w:r>
    </w:p>
    <w:p w14:paraId="1B8A4545" w14:textId="6FC87492" w:rsidR="00F836AB" w:rsidRPr="00DD1DFA" w:rsidRDefault="00F836AB" w:rsidP="00F836AB">
      <w:pPr>
        <w:pStyle w:val="Text1"/>
        <w:rPr>
          <w:noProof/>
        </w:rPr>
      </w:pPr>
      <w:r w:rsidRPr="00DD1DFA">
        <w:rPr>
          <w:noProof/>
        </w:rPr>
        <w:t>Jeżeli</w:t>
      </w:r>
      <w:r w:rsidR="00DD1DFA" w:rsidRPr="00DD1DFA">
        <w:rPr>
          <w:noProof/>
        </w:rPr>
        <w:t xml:space="preserve"> w</w:t>
      </w:r>
      <w:r w:rsidR="00DD1DFA">
        <w:rPr>
          <w:noProof/>
        </w:rPr>
        <w:t> </w:t>
      </w:r>
      <w:r w:rsidR="00DD1DFA" w:rsidRPr="00DD1DFA">
        <w:rPr>
          <w:noProof/>
        </w:rPr>
        <w:t>akc</w:t>
      </w:r>
      <w:r w:rsidRPr="00DD1DFA">
        <w:rPr>
          <w:noProof/>
        </w:rPr>
        <w:t>ie delegowanym określono klasy właściwości użytkowych</w:t>
      </w:r>
      <w:r w:rsidR="00DD1DFA" w:rsidRPr="00DD1DFA">
        <w:rPr>
          <w:noProof/>
        </w:rPr>
        <w:t xml:space="preserve"> w</w:t>
      </w:r>
      <w:r w:rsidR="00DD1DFA">
        <w:rPr>
          <w:noProof/>
        </w:rPr>
        <w:t> </w:t>
      </w:r>
      <w:r w:rsidR="00DD1DFA" w:rsidRPr="00DD1DFA">
        <w:rPr>
          <w:noProof/>
        </w:rPr>
        <w:t>odn</w:t>
      </w:r>
      <w:r w:rsidRPr="00DD1DFA">
        <w:rPr>
          <w:noProof/>
        </w:rPr>
        <w:t>iesieniu do więcej niż jednego parametru</w:t>
      </w:r>
      <w:r w:rsidR="00DD1DFA" w:rsidRPr="00DD1DFA">
        <w:rPr>
          <w:noProof/>
        </w:rPr>
        <w:t xml:space="preserve"> w</w:t>
      </w:r>
      <w:r w:rsidR="00DD1DFA">
        <w:rPr>
          <w:noProof/>
        </w:rPr>
        <w:t> </w:t>
      </w:r>
      <w:r w:rsidR="00DD1DFA" w:rsidRPr="00DD1DFA">
        <w:rPr>
          <w:noProof/>
        </w:rPr>
        <w:t>zak</w:t>
      </w:r>
      <w:r w:rsidRPr="00DD1DFA">
        <w:rPr>
          <w:noProof/>
        </w:rPr>
        <w:t>resie zrównoważonego rozwoju, wskazuje się</w:t>
      </w:r>
      <w:r w:rsidR="00DD1DFA" w:rsidRPr="00DD1DFA">
        <w:rPr>
          <w:noProof/>
        </w:rPr>
        <w:t xml:space="preserve"> w</w:t>
      </w:r>
      <w:r w:rsidR="00DD1DFA">
        <w:rPr>
          <w:noProof/>
        </w:rPr>
        <w:t> </w:t>
      </w:r>
      <w:r w:rsidR="00DD1DFA" w:rsidRPr="00DD1DFA">
        <w:rPr>
          <w:noProof/>
        </w:rPr>
        <w:t>nim</w:t>
      </w:r>
      <w:r w:rsidRPr="00DD1DFA">
        <w:rPr>
          <w:noProof/>
        </w:rPr>
        <w:t>,</w:t>
      </w:r>
      <w:r w:rsidR="00DD1DFA" w:rsidRPr="00DD1DFA">
        <w:rPr>
          <w:noProof/>
        </w:rPr>
        <w:t xml:space="preserve"> w</w:t>
      </w:r>
      <w:r w:rsidR="00DD1DFA">
        <w:rPr>
          <w:noProof/>
        </w:rPr>
        <w:t> </w:t>
      </w:r>
      <w:r w:rsidR="00DD1DFA" w:rsidRPr="00DD1DFA">
        <w:rPr>
          <w:noProof/>
        </w:rPr>
        <w:t>odn</w:t>
      </w:r>
      <w:r w:rsidRPr="00DD1DFA">
        <w:rPr>
          <w:noProof/>
        </w:rPr>
        <w:t>iesieniu do którego parametru należy wdrożyć niniejszy artykuł.</w:t>
      </w:r>
    </w:p>
    <w:p w14:paraId="22901972" w14:textId="1BCEFAFA" w:rsidR="00F836AB" w:rsidRPr="00DD1DFA" w:rsidRDefault="005F7EFA" w:rsidP="005F7EFA">
      <w:pPr>
        <w:pStyle w:val="ManualNumPar1"/>
        <w:rPr>
          <w:noProof/>
        </w:rPr>
      </w:pPr>
      <w:r w:rsidRPr="005F7EFA">
        <w:t>2.</w:t>
      </w:r>
      <w:r w:rsidRPr="005F7EFA">
        <w:tab/>
      </w:r>
      <w:r w:rsidR="00F836AB" w:rsidRPr="00DD1DFA">
        <w:rPr>
          <w:noProof/>
        </w:rPr>
        <w:t>Jeżeli na podstawie art.</w:t>
      </w:r>
      <w:r w:rsidR="00DD1DFA" w:rsidRPr="00DD1DFA">
        <w:rPr>
          <w:noProof/>
        </w:rPr>
        <w:t> </w:t>
      </w:r>
      <w:r w:rsidR="00F836AB" w:rsidRPr="00DD1DFA">
        <w:rPr>
          <w:noProof/>
        </w:rPr>
        <w:t>4 ust.</w:t>
      </w:r>
      <w:r w:rsidR="00DD1DFA" w:rsidRPr="00DD1DFA">
        <w:rPr>
          <w:noProof/>
        </w:rPr>
        <w:t> </w:t>
      </w:r>
      <w:r w:rsidR="00F836AB" w:rsidRPr="00DD1DFA">
        <w:rPr>
          <w:noProof/>
        </w:rPr>
        <w:t>4 nie zostanie przyjęty żaden akt delegowany, Komisja może określić</w:t>
      </w:r>
      <w:r w:rsidR="00DD1DFA" w:rsidRPr="00DD1DFA">
        <w:rPr>
          <w:noProof/>
        </w:rPr>
        <w:t xml:space="preserve"> w</w:t>
      </w:r>
      <w:r w:rsidR="00DD1DFA">
        <w:rPr>
          <w:noProof/>
        </w:rPr>
        <w:t> </w:t>
      </w:r>
      <w:r w:rsidR="00DD1DFA" w:rsidRPr="00DD1DFA">
        <w:rPr>
          <w:noProof/>
        </w:rPr>
        <w:t>akt</w:t>
      </w:r>
      <w:r w:rsidR="00F836AB" w:rsidRPr="00DD1DFA">
        <w:rPr>
          <w:noProof/>
        </w:rPr>
        <w:t>ach delegowanych przyjętych na podstawie art.</w:t>
      </w:r>
      <w:r w:rsidR="00DD1DFA" w:rsidRPr="00DD1DFA">
        <w:rPr>
          <w:noProof/>
        </w:rPr>
        <w:t> </w:t>
      </w:r>
      <w:r w:rsidR="00F836AB" w:rsidRPr="00DD1DFA">
        <w:rPr>
          <w:noProof/>
        </w:rPr>
        <w:t>4 ust.</w:t>
      </w:r>
      <w:r w:rsidR="00DD1DFA" w:rsidRPr="00DD1DFA">
        <w:rPr>
          <w:noProof/>
        </w:rPr>
        <w:t> </w:t>
      </w:r>
      <w:r w:rsidR="00F836AB" w:rsidRPr="00DD1DFA">
        <w:rPr>
          <w:noProof/>
        </w:rPr>
        <w:t>3, jakich poziomów właściwości użytkowych związanych</w:t>
      </w:r>
      <w:r w:rsidR="00DD1DFA" w:rsidRPr="00DD1DFA">
        <w:rPr>
          <w:noProof/>
        </w:rPr>
        <w:t xml:space="preserve"> z</w:t>
      </w:r>
      <w:r w:rsidR="00DD1DFA">
        <w:rPr>
          <w:noProof/>
        </w:rPr>
        <w:t> </w:t>
      </w:r>
      <w:r w:rsidR="00DD1DFA" w:rsidRPr="00DD1DFA">
        <w:rPr>
          <w:noProof/>
        </w:rPr>
        <w:t>par</w:t>
      </w:r>
      <w:r w:rsidR="00F836AB" w:rsidRPr="00DD1DFA">
        <w:rPr>
          <w:noProof/>
        </w:rPr>
        <w:t>ametrami wyrobu muszą dotyczyć zachęty stosowane przez państwa członkowskie.</w:t>
      </w:r>
    </w:p>
    <w:p w14:paraId="0D2CF8CB" w14:textId="77777777" w:rsidR="00F836AB" w:rsidRPr="00DD1DFA" w:rsidRDefault="00F836AB" w:rsidP="00F836AB">
      <w:pPr>
        <w:pStyle w:val="Text1"/>
        <w:rPr>
          <w:noProof/>
        </w:rPr>
      </w:pPr>
      <w:r w:rsidRPr="00DD1DFA">
        <w:rPr>
          <w:noProof/>
        </w:rPr>
        <w:t xml:space="preserve">W takim przypadku Komisja bierze pod uwagę następujące kryteria: </w:t>
      </w:r>
    </w:p>
    <w:p w14:paraId="11513713" w14:textId="1CAB54E6" w:rsidR="00F836AB" w:rsidRPr="00DD1DFA" w:rsidRDefault="003C1401" w:rsidP="003C1401">
      <w:pPr>
        <w:pStyle w:val="Point1"/>
        <w:rPr>
          <w:noProof/>
        </w:rPr>
      </w:pPr>
      <w:r w:rsidRPr="003C1401">
        <w:rPr>
          <w:noProof/>
        </w:rPr>
        <w:t>a)</w:t>
      </w:r>
      <w:r w:rsidRPr="003C1401">
        <w:rPr>
          <w:noProof/>
        </w:rPr>
        <w:tab/>
      </w:r>
      <w:r w:rsidR="00F836AB" w:rsidRPr="00DD1DFA">
        <w:rPr>
          <w:noProof/>
        </w:rPr>
        <w:t>względną przystępność cenową wyrobów zależną od poziomu ich właściwości użytkowych;</w:t>
      </w:r>
    </w:p>
    <w:p w14:paraId="73BA97A2" w14:textId="083C3858" w:rsidR="00BC1E12" w:rsidRPr="00DD1DFA" w:rsidRDefault="003C1401" w:rsidP="003C1401">
      <w:pPr>
        <w:pStyle w:val="Point1"/>
        <w:rPr>
          <w:noProof/>
        </w:rPr>
      </w:pPr>
      <w:r w:rsidRPr="003C1401">
        <w:rPr>
          <w:noProof/>
        </w:rPr>
        <w:t>b)</w:t>
      </w:r>
      <w:r w:rsidRPr="003C1401">
        <w:rPr>
          <w:noProof/>
        </w:rPr>
        <w:tab/>
      </w:r>
      <w:r w:rsidR="00F836AB" w:rsidRPr="00DD1DFA">
        <w:rPr>
          <w:noProof/>
        </w:rPr>
        <w:tab/>
        <w:t>konieczność zapewnienia wystarczającego popytu na wyroby bardziej zrównoważone pod względem środowiskowym.</w:t>
      </w:r>
    </w:p>
    <w:p w14:paraId="585829D8" w14:textId="77777777" w:rsidR="00181491" w:rsidRPr="00DD1DFA" w:rsidRDefault="00181491" w:rsidP="00181491">
      <w:pPr>
        <w:pStyle w:val="Titrearticle"/>
        <w:rPr>
          <w:noProof/>
        </w:rPr>
      </w:pPr>
      <w:r w:rsidRPr="00DD1DFA">
        <w:rPr>
          <w:noProof/>
        </w:rPr>
        <w:t>Artykuł 84</w:t>
      </w:r>
    </w:p>
    <w:p w14:paraId="494A3762" w14:textId="77777777" w:rsidR="00181491" w:rsidRPr="00DD1DFA" w:rsidRDefault="00181491" w:rsidP="00181491">
      <w:pPr>
        <w:pStyle w:val="Titrearticle"/>
        <w:rPr>
          <w:b/>
          <w:bCs/>
          <w:noProof/>
        </w:rPr>
      </w:pPr>
      <w:r w:rsidRPr="00DD1DFA">
        <w:rPr>
          <w:b/>
          <w:bCs/>
          <w:noProof/>
        </w:rPr>
        <w:t>Zielone zamówienia publiczne</w:t>
      </w:r>
    </w:p>
    <w:p w14:paraId="3F3B845E" w14:textId="0E20CFC2" w:rsidR="00181491" w:rsidRPr="00DD1DFA" w:rsidRDefault="005F7EFA" w:rsidP="005F7EFA">
      <w:pPr>
        <w:pStyle w:val="ManualNumPar1"/>
        <w:rPr>
          <w:noProof/>
        </w:rPr>
      </w:pPr>
      <w:r w:rsidRPr="005F7EFA">
        <w:t>1.</w:t>
      </w:r>
      <w:r w:rsidRPr="005F7EFA">
        <w:tab/>
      </w:r>
      <w:r w:rsidR="00181491" w:rsidRPr="00DD1DFA">
        <w:rPr>
          <w:noProof/>
        </w:rPr>
        <w:t>Komisja jest uprawniona do uzupełnienia niniejszego rozporządzenia</w:t>
      </w:r>
      <w:r w:rsidR="00DD1DFA" w:rsidRPr="00DD1DFA">
        <w:rPr>
          <w:noProof/>
        </w:rPr>
        <w:t xml:space="preserve"> w</w:t>
      </w:r>
      <w:r w:rsidR="00DD1DFA">
        <w:rPr>
          <w:noProof/>
        </w:rPr>
        <w:t> </w:t>
      </w:r>
      <w:r w:rsidR="00DD1DFA" w:rsidRPr="00DD1DFA">
        <w:rPr>
          <w:noProof/>
        </w:rPr>
        <w:t>dro</w:t>
      </w:r>
      <w:r w:rsidR="00181491" w:rsidRPr="00DD1DFA">
        <w:rPr>
          <w:noProof/>
        </w:rPr>
        <w:t>dze aktów delegowanych zgodnie</w:t>
      </w:r>
      <w:r w:rsidR="00DD1DFA" w:rsidRPr="00DD1DFA">
        <w:rPr>
          <w:noProof/>
        </w:rPr>
        <w:t xml:space="preserve"> z</w:t>
      </w:r>
      <w:r w:rsidR="00DD1DFA">
        <w:rPr>
          <w:noProof/>
        </w:rPr>
        <w:t> </w:t>
      </w:r>
      <w:r w:rsidR="00DD1DFA" w:rsidRPr="00DD1DFA">
        <w:rPr>
          <w:noProof/>
        </w:rPr>
        <w:t>art</w:t>
      </w:r>
      <w:r w:rsidR="00181491" w:rsidRPr="00DD1DFA">
        <w:rPr>
          <w:noProof/>
        </w:rPr>
        <w:t>.</w:t>
      </w:r>
      <w:r w:rsidR="00DD1DFA" w:rsidRPr="00DD1DFA">
        <w:rPr>
          <w:noProof/>
        </w:rPr>
        <w:t> </w:t>
      </w:r>
      <w:r w:rsidR="00181491" w:rsidRPr="00DD1DFA">
        <w:rPr>
          <w:noProof/>
        </w:rPr>
        <w:t>87 poprzez ustanowienie wymogów</w:t>
      </w:r>
      <w:r w:rsidR="00DD1DFA" w:rsidRPr="00DD1DFA">
        <w:rPr>
          <w:noProof/>
        </w:rPr>
        <w:t xml:space="preserve"> w</w:t>
      </w:r>
      <w:r w:rsidR="00DD1DFA">
        <w:rPr>
          <w:noProof/>
        </w:rPr>
        <w:t> </w:t>
      </w:r>
      <w:r w:rsidR="00DD1DFA" w:rsidRPr="00DD1DFA">
        <w:rPr>
          <w:noProof/>
        </w:rPr>
        <w:t>zak</w:t>
      </w:r>
      <w:r w:rsidR="00181491" w:rsidRPr="00DD1DFA">
        <w:rPr>
          <w:noProof/>
        </w:rPr>
        <w:t>resie zrównoważonego rozwoju mających zastosowanie do zamówień publicznych,</w:t>
      </w:r>
      <w:r w:rsidR="00DD1DFA" w:rsidRPr="00DD1DFA">
        <w:rPr>
          <w:noProof/>
        </w:rPr>
        <w:t xml:space="preserve"> w</w:t>
      </w:r>
      <w:r w:rsidR="00DD1DFA">
        <w:rPr>
          <w:noProof/>
        </w:rPr>
        <w:t> </w:t>
      </w:r>
      <w:r w:rsidR="00DD1DFA" w:rsidRPr="00DD1DFA">
        <w:rPr>
          <w:noProof/>
        </w:rPr>
        <w:t>tym</w:t>
      </w:r>
      <w:r w:rsidR="00181491" w:rsidRPr="00DD1DFA">
        <w:rPr>
          <w:noProof/>
        </w:rPr>
        <w:t xml:space="preserve"> do wdrażania, monitorowania</w:t>
      </w:r>
      <w:r w:rsidR="00DD1DFA" w:rsidRPr="00DD1DFA">
        <w:rPr>
          <w:noProof/>
        </w:rPr>
        <w:t xml:space="preserve"> i</w:t>
      </w:r>
      <w:r w:rsidR="00DD1DFA">
        <w:rPr>
          <w:noProof/>
        </w:rPr>
        <w:t> </w:t>
      </w:r>
      <w:r w:rsidR="00DD1DFA" w:rsidRPr="00DD1DFA">
        <w:rPr>
          <w:noProof/>
        </w:rPr>
        <w:t>spr</w:t>
      </w:r>
      <w:r w:rsidR="00181491" w:rsidRPr="00DD1DFA">
        <w:rPr>
          <w:noProof/>
        </w:rPr>
        <w:t>awozdawczości</w:t>
      </w:r>
      <w:r w:rsidR="00DD1DFA" w:rsidRPr="00DD1DFA">
        <w:rPr>
          <w:noProof/>
        </w:rPr>
        <w:t xml:space="preserve"> w</w:t>
      </w:r>
      <w:r w:rsidR="00DD1DFA">
        <w:rPr>
          <w:noProof/>
        </w:rPr>
        <w:t> </w:t>
      </w:r>
      <w:r w:rsidR="00DD1DFA" w:rsidRPr="00DD1DFA">
        <w:rPr>
          <w:noProof/>
        </w:rPr>
        <w:t>zak</w:t>
      </w:r>
      <w:r w:rsidR="00181491" w:rsidRPr="00DD1DFA">
        <w:rPr>
          <w:noProof/>
        </w:rPr>
        <w:t>resie tych wymogów przez państwa członkowskie.</w:t>
      </w:r>
    </w:p>
    <w:p w14:paraId="6951D4DA" w14:textId="0C5759E8" w:rsidR="00181491" w:rsidRPr="00DD1DFA" w:rsidRDefault="005F7EFA" w:rsidP="005F7EFA">
      <w:pPr>
        <w:pStyle w:val="ManualNumPar1"/>
        <w:rPr>
          <w:noProof/>
        </w:rPr>
      </w:pPr>
      <w:r w:rsidRPr="005F7EFA">
        <w:t>2.</w:t>
      </w:r>
      <w:r w:rsidRPr="005F7EFA">
        <w:tab/>
      </w:r>
      <w:r w:rsidR="00181491" w:rsidRPr="00DD1DFA">
        <w:rPr>
          <w:noProof/>
        </w:rPr>
        <w:t>Wymogi przyjęte na podstawie ust.</w:t>
      </w:r>
      <w:r w:rsidR="00DD1DFA" w:rsidRPr="00DD1DFA">
        <w:rPr>
          <w:noProof/>
        </w:rPr>
        <w:t> </w:t>
      </w:r>
      <w:r w:rsidR="00181491" w:rsidRPr="00DD1DFA">
        <w:rPr>
          <w:noProof/>
        </w:rPr>
        <w:t>1 dotyczące zamówień publicznych udzielanych przez instytucje zamawiające, zdefiniowane</w:t>
      </w:r>
      <w:r w:rsidR="00DD1DFA" w:rsidRPr="00DD1DFA">
        <w:rPr>
          <w:noProof/>
        </w:rPr>
        <w:t xml:space="preserve"> w</w:t>
      </w:r>
      <w:r w:rsidR="00DD1DFA">
        <w:rPr>
          <w:noProof/>
        </w:rPr>
        <w:t> </w:t>
      </w:r>
      <w:r w:rsidR="00DD1DFA" w:rsidRPr="00DD1DFA">
        <w:rPr>
          <w:noProof/>
        </w:rPr>
        <w:t>art</w:t>
      </w:r>
      <w:r w:rsidR="00181491" w:rsidRPr="00DD1DFA">
        <w:rPr>
          <w:noProof/>
        </w:rPr>
        <w:t>.</w:t>
      </w:r>
      <w:r w:rsidR="00DD1DFA" w:rsidRPr="00DD1DFA">
        <w:rPr>
          <w:noProof/>
        </w:rPr>
        <w:t> </w:t>
      </w:r>
      <w:r w:rsidR="00181491" w:rsidRPr="00DD1DFA">
        <w:rPr>
          <w:noProof/>
        </w:rPr>
        <w:t>2 ust.</w:t>
      </w:r>
      <w:r w:rsidR="00DD1DFA" w:rsidRPr="00DD1DFA">
        <w:rPr>
          <w:noProof/>
        </w:rPr>
        <w:t> </w:t>
      </w:r>
      <w:r w:rsidR="00181491" w:rsidRPr="00DD1DFA">
        <w:rPr>
          <w:noProof/>
        </w:rPr>
        <w:t>1 dyrektywy 2014/24/UE lub art.</w:t>
      </w:r>
      <w:r w:rsidR="00DD1DFA" w:rsidRPr="00DD1DFA">
        <w:rPr>
          <w:noProof/>
        </w:rPr>
        <w:t> </w:t>
      </w:r>
      <w:r w:rsidR="00181491" w:rsidRPr="00DD1DFA">
        <w:rPr>
          <w:noProof/>
        </w:rPr>
        <w:t>3 ust.</w:t>
      </w:r>
      <w:r w:rsidR="00DD1DFA" w:rsidRPr="00DD1DFA">
        <w:rPr>
          <w:noProof/>
        </w:rPr>
        <w:t> </w:t>
      </w:r>
      <w:r w:rsidR="00181491" w:rsidRPr="00DD1DFA">
        <w:rPr>
          <w:noProof/>
        </w:rPr>
        <w:t>1 dyrektywy 2014/25/UE, lub podmioty zamawiające, zdefiniowane</w:t>
      </w:r>
      <w:r w:rsidR="00DD1DFA" w:rsidRPr="00DD1DFA">
        <w:rPr>
          <w:noProof/>
        </w:rPr>
        <w:t xml:space="preserve"> w</w:t>
      </w:r>
      <w:r w:rsidR="00DD1DFA">
        <w:rPr>
          <w:noProof/>
        </w:rPr>
        <w:t> </w:t>
      </w:r>
      <w:r w:rsidR="00DD1DFA" w:rsidRPr="00DD1DFA">
        <w:rPr>
          <w:noProof/>
        </w:rPr>
        <w:t>art</w:t>
      </w:r>
      <w:r w:rsidR="00181491" w:rsidRPr="00DD1DFA">
        <w:rPr>
          <w:noProof/>
        </w:rPr>
        <w:t>.</w:t>
      </w:r>
      <w:r w:rsidR="00DD1DFA" w:rsidRPr="00DD1DFA">
        <w:rPr>
          <w:noProof/>
        </w:rPr>
        <w:t> </w:t>
      </w:r>
      <w:r w:rsidR="00181491" w:rsidRPr="00DD1DFA">
        <w:rPr>
          <w:noProof/>
        </w:rPr>
        <w:t>4 ust.</w:t>
      </w:r>
      <w:r w:rsidR="00DD1DFA" w:rsidRPr="00DD1DFA">
        <w:rPr>
          <w:noProof/>
        </w:rPr>
        <w:t> </w:t>
      </w:r>
      <w:r w:rsidR="00181491" w:rsidRPr="00DD1DFA">
        <w:rPr>
          <w:noProof/>
        </w:rPr>
        <w:t>1 dyrektywy 2014/25/UE, mogą,</w:t>
      </w:r>
      <w:r w:rsidR="00DD1DFA" w:rsidRPr="00DD1DFA">
        <w:rPr>
          <w:noProof/>
        </w:rPr>
        <w:t xml:space="preserve"> w</w:t>
      </w:r>
      <w:r w:rsidR="00DD1DFA">
        <w:rPr>
          <w:noProof/>
        </w:rPr>
        <w:t> </w:t>
      </w:r>
      <w:r w:rsidR="00DD1DFA" w:rsidRPr="00DD1DFA">
        <w:rPr>
          <w:noProof/>
        </w:rPr>
        <w:t>sto</w:t>
      </w:r>
      <w:r w:rsidR="00181491" w:rsidRPr="00DD1DFA">
        <w:rPr>
          <w:noProof/>
        </w:rPr>
        <w:t xml:space="preserve">sownych przypadkach, przybrać formę obowiązkowych specyfikacji technicznych, kryteriów kwalifikacji, kryteriów wyboru, klauzul dotyczących realizacji zamówienia lub celów. </w:t>
      </w:r>
    </w:p>
    <w:p w14:paraId="035F8CB6" w14:textId="72539A67" w:rsidR="00181491" w:rsidRPr="00DD1DFA" w:rsidRDefault="005F7EFA" w:rsidP="005F7EFA">
      <w:pPr>
        <w:pStyle w:val="ManualNumPar1"/>
        <w:rPr>
          <w:noProof/>
        </w:rPr>
      </w:pPr>
      <w:r w:rsidRPr="005F7EFA">
        <w:t>3.</w:t>
      </w:r>
      <w:r w:rsidRPr="005F7EFA">
        <w:tab/>
      </w:r>
      <w:r w:rsidR="00181491" w:rsidRPr="00DD1DFA">
        <w:rPr>
          <w:noProof/>
        </w:rPr>
        <w:t>Ustanawiając wymogi dotyczące zamówień publicznych na podstawie ust.</w:t>
      </w:r>
      <w:r w:rsidR="00DD1DFA" w:rsidRPr="00DD1DFA">
        <w:rPr>
          <w:noProof/>
        </w:rPr>
        <w:t> </w:t>
      </w:r>
      <w:r w:rsidR="00181491" w:rsidRPr="00DD1DFA">
        <w:rPr>
          <w:noProof/>
        </w:rPr>
        <w:t>1, Komisja bierze pod uwagę następujące kryteria:</w:t>
      </w:r>
    </w:p>
    <w:p w14:paraId="03A5C99C" w14:textId="4841A2C8" w:rsidR="00181491" w:rsidRPr="00DD1DFA" w:rsidRDefault="003C1401" w:rsidP="003C1401">
      <w:pPr>
        <w:pStyle w:val="Point1"/>
        <w:rPr>
          <w:noProof/>
        </w:rPr>
      </w:pPr>
      <w:r w:rsidRPr="003C1401">
        <w:rPr>
          <w:noProof/>
        </w:rPr>
        <w:t>a)</w:t>
      </w:r>
      <w:r w:rsidRPr="003C1401">
        <w:rPr>
          <w:noProof/>
        </w:rPr>
        <w:tab/>
      </w:r>
      <w:r w:rsidR="00181491" w:rsidRPr="00DD1DFA">
        <w:rPr>
          <w:noProof/>
        </w:rPr>
        <w:t>wartość</w:t>
      </w:r>
      <w:r w:rsidR="00DD1DFA" w:rsidRPr="00DD1DFA">
        <w:rPr>
          <w:noProof/>
        </w:rPr>
        <w:t xml:space="preserve"> i</w:t>
      </w:r>
      <w:r w:rsidR="00DD1DFA">
        <w:rPr>
          <w:noProof/>
        </w:rPr>
        <w:t> </w:t>
      </w:r>
      <w:r w:rsidR="00DD1DFA" w:rsidRPr="00DD1DFA">
        <w:rPr>
          <w:noProof/>
        </w:rPr>
        <w:t>lic</w:t>
      </w:r>
      <w:r w:rsidR="00181491" w:rsidRPr="00DD1DFA">
        <w:rPr>
          <w:noProof/>
        </w:rPr>
        <w:t>zbę zamówień publicznych udzielonych na daną rodzinę lub kategorię wyrobów lub na usługi lub roboty budowlane,</w:t>
      </w:r>
      <w:r w:rsidR="00DD1DFA" w:rsidRPr="00DD1DFA">
        <w:rPr>
          <w:noProof/>
        </w:rPr>
        <w:t xml:space="preserve"> w</w:t>
      </w:r>
      <w:r w:rsidR="00DD1DFA">
        <w:rPr>
          <w:noProof/>
        </w:rPr>
        <w:t> </w:t>
      </w:r>
      <w:r w:rsidR="00DD1DFA" w:rsidRPr="00DD1DFA">
        <w:rPr>
          <w:noProof/>
        </w:rPr>
        <w:t>ram</w:t>
      </w:r>
      <w:r w:rsidR="00181491" w:rsidRPr="00DD1DFA">
        <w:rPr>
          <w:noProof/>
        </w:rPr>
        <w:t xml:space="preserve">ach których wykorzystano daną rodzinę lub kategorię wyrobów; </w:t>
      </w:r>
    </w:p>
    <w:p w14:paraId="0A340E96" w14:textId="1EE064C2" w:rsidR="00181491" w:rsidRPr="00DD1DFA" w:rsidRDefault="003C1401" w:rsidP="003C1401">
      <w:pPr>
        <w:pStyle w:val="Point1"/>
        <w:rPr>
          <w:noProof/>
        </w:rPr>
      </w:pPr>
      <w:r w:rsidRPr="003C1401">
        <w:rPr>
          <w:noProof/>
        </w:rPr>
        <w:t>b)</w:t>
      </w:r>
      <w:r w:rsidRPr="003C1401">
        <w:rPr>
          <w:noProof/>
        </w:rPr>
        <w:tab/>
      </w:r>
      <w:r w:rsidR="00181491" w:rsidRPr="00DD1DFA">
        <w:rPr>
          <w:noProof/>
        </w:rPr>
        <w:t xml:space="preserve">konieczność zapewnienia wystarczającego popytu na wyroby bardziej zrównoważone pod względem środowiskowym; </w:t>
      </w:r>
    </w:p>
    <w:p w14:paraId="0A204AB7" w14:textId="295806AD" w:rsidR="00181491" w:rsidRPr="00DD1DFA" w:rsidRDefault="003C1401" w:rsidP="003C1401">
      <w:pPr>
        <w:pStyle w:val="Point1"/>
        <w:rPr>
          <w:noProof/>
        </w:rPr>
      </w:pPr>
      <w:r w:rsidRPr="003C1401">
        <w:rPr>
          <w:noProof/>
        </w:rPr>
        <w:t>c)</w:t>
      </w:r>
      <w:r w:rsidRPr="003C1401">
        <w:rPr>
          <w:noProof/>
        </w:rPr>
        <w:tab/>
      </w:r>
      <w:r w:rsidR="00181491" w:rsidRPr="00DD1DFA">
        <w:rPr>
          <w:noProof/>
        </w:rPr>
        <w:t>ekonomiczną wykonalność zakupu przez instytucje zamawiające lub podmioty zamawiające wyrobów bardziej zrównoważonych pod względem środowiskowym bez pociągania za sobą nieproporcjonalnych kosztów.</w:t>
      </w:r>
    </w:p>
    <w:p w14:paraId="13DF0721" w14:textId="77777777" w:rsidR="00BC1E12" w:rsidRPr="00DD1DFA" w:rsidRDefault="00BC1E12" w:rsidP="00C60A49">
      <w:pPr>
        <w:pStyle w:val="ChapterTitle"/>
        <w:rPr>
          <w:noProof/>
          <w:sz w:val="24"/>
          <w:szCs w:val="24"/>
        </w:rPr>
      </w:pPr>
      <w:r w:rsidRPr="00DD1DFA">
        <w:rPr>
          <w:noProof/>
          <w:sz w:val="24"/>
          <w:szCs w:val="24"/>
        </w:rPr>
        <w:t>ROZDZIAŁ XII</w:t>
      </w:r>
    </w:p>
    <w:p w14:paraId="6E213CC0" w14:textId="77777777" w:rsidR="00BC1E12" w:rsidRPr="00DD1DFA" w:rsidRDefault="002256D5" w:rsidP="00C60A49">
      <w:pPr>
        <w:pStyle w:val="ChapterTitle"/>
        <w:rPr>
          <w:noProof/>
          <w:sz w:val="24"/>
          <w:szCs w:val="24"/>
        </w:rPr>
      </w:pPr>
      <w:r w:rsidRPr="00DD1DFA">
        <w:rPr>
          <w:noProof/>
          <w:sz w:val="24"/>
          <w:szCs w:val="24"/>
        </w:rPr>
        <w:t>STATUS PRAWNY WYROBÓW</w:t>
      </w:r>
    </w:p>
    <w:p w14:paraId="0C2481B2" w14:textId="77777777" w:rsidR="00BC1E12" w:rsidRPr="00DD1DFA" w:rsidRDefault="002256D5" w:rsidP="00C60A49">
      <w:pPr>
        <w:pStyle w:val="Titrearticle"/>
        <w:rPr>
          <w:noProof/>
        </w:rPr>
      </w:pPr>
      <w:r w:rsidRPr="00DD1DFA">
        <w:rPr>
          <w:noProof/>
        </w:rPr>
        <w:t>Artykuł 85</w:t>
      </w:r>
    </w:p>
    <w:p w14:paraId="6F904B86" w14:textId="77777777" w:rsidR="00BC1E12" w:rsidRPr="00DD1DFA" w:rsidRDefault="002256D5" w:rsidP="00C60A49">
      <w:pPr>
        <w:pStyle w:val="Titrearticle"/>
        <w:rPr>
          <w:b/>
          <w:bCs/>
          <w:noProof/>
        </w:rPr>
      </w:pPr>
      <w:r w:rsidRPr="00DD1DFA">
        <w:rPr>
          <w:b/>
          <w:noProof/>
        </w:rPr>
        <w:t>Status prawny wyrobów</w:t>
      </w:r>
    </w:p>
    <w:p w14:paraId="0DAE46EC" w14:textId="5D293013" w:rsidR="005D2426" w:rsidRPr="00DD1DFA" w:rsidRDefault="005D2426" w:rsidP="004F4D3E">
      <w:pPr>
        <w:rPr>
          <w:noProof/>
        </w:rPr>
      </w:pPr>
      <w:r w:rsidRPr="00DD1DFA">
        <w:rPr>
          <w:noProof/>
        </w:rPr>
        <w:t>Na należycie uzasadniony wniosek państwa członkowskiego lub</w:t>
      </w:r>
      <w:r w:rsidR="00DD1DFA" w:rsidRPr="00DD1DFA">
        <w:rPr>
          <w:noProof/>
        </w:rPr>
        <w:t xml:space="preserve"> z</w:t>
      </w:r>
      <w:r w:rsidR="00DD1DFA">
        <w:rPr>
          <w:noProof/>
        </w:rPr>
        <w:t> </w:t>
      </w:r>
      <w:r w:rsidR="00DD1DFA" w:rsidRPr="00DD1DFA">
        <w:rPr>
          <w:noProof/>
        </w:rPr>
        <w:t>wła</w:t>
      </w:r>
      <w:r w:rsidRPr="00DD1DFA">
        <w:rPr>
          <w:noProof/>
        </w:rPr>
        <w:t>snej inicjatywy Komisja może –</w:t>
      </w:r>
      <w:r w:rsidR="00DD1DFA" w:rsidRPr="00DD1DFA">
        <w:rPr>
          <w:noProof/>
        </w:rPr>
        <w:t xml:space="preserve"> w</w:t>
      </w:r>
      <w:r w:rsidR="00DD1DFA">
        <w:rPr>
          <w:noProof/>
        </w:rPr>
        <w:t> </w:t>
      </w:r>
      <w:r w:rsidR="00DD1DFA" w:rsidRPr="00DD1DFA">
        <w:rPr>
          <w:noProof/>
        </w:rPr>
        <w:t>dro</w:t>
      </w:r>
      <w:r w:rsidRPr="00DD1DFA">
        <w:rPr>
          <w:noProof/>
        </w:rPr>
        <w:t>dze aktów wykonawczych – określić, czy dany element lub kategoria elementów są objęte zakresem definicji „wyrobu budowlanego” lub stanowią element,</w:t>
      </w:r>
      <w:r w:rsidR="00DD1DFA" w:rsidRPr="00DD1DFA">
        <w:rPr>
          <w:noProof/>
        </w:rPr>
        <w:t xml:space="preserve"> o</w:t>
      </w:r>
      <w:r w:rsidR="00DD1DFA">
        <w:rPr>
          <w:noProof/>
        </w:rPr>
        <w:t> </w:t>
      </w:r>
      <w:r w:rsidR="00DD1DFA" w:rsidRPr="00DD1DFA">
        <w:rPr>
          <w:noProof/>
        </w:rPr>
        <w:t>któ</w:t>
      </w:r>
      <w:r w:rsidRPr="00DD1DFA">
        <w:rPr>
          <w:noProof/>
        </w:rPr>
        <w:t>rym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2 ust.</w:t>
      </w:r>
      <w:r w:rsidR="00DD1DFA" w:rsidRPr="00DD1DFA">
        <w:rPr>
          <w:noProof/>
        </w:rPr>
        <w:t> </w:t>
      </w:r>
      <w:r w:rsidRPr="00DD1DFA">
        <w:rPr>
          <w:noProof/>
        </w:rPr>
        <w:t>1. Te akty wykonawcze przyjmuje się zgodnie</w:t>
      </w:r>
      <w:r w:rsidR="00DD1DFA" w:rsidRPr="00DD1DFA">
        <w:rPr>
          <w:noProof/>
        </w:rPr>
        <w:t xml:space="preserve"> z</w:t>
      </w:r>
      <w:r w:rsidR="00DD1DFA">
        <w:rPr>
          <w:noProof/>
        </w:rPr>
        <w:t> </w:t>
      </w:r>
      <w:r w:rsidR="00DD1DFA" w:rsidRPr="00DD1DFA">
        <w:rPr>
          <w:noProof/>
        </w:rPr>
        <w:t>pro</w:t>
      </w:r>
      <w:r w:rsidRPr="00DD1DFA">
        <w:rPr>
          <w:noProof/>
        </w:rPr>
        <w:t>cedurą sprawdzającą,</w:t>
      </w:r>
      <w:r w:rsidR="00DD1DFA" w:rsidRPr="00DD1DFA">
        <w:rPr>
          <w:noProof/>
        </w:rPr>
        <w:t xml:space="preserve"> o</w:t>
      </w:r>
      <w:r w:rsidR="00DD1DFA">
        <w:rPr>
          <w:noProof/>
        </w:rPr>
        <w:t> </w:t>
      </w:r>
      <w:r w:rsidR="00DD1DFA" w:rsidRPr="00DD1DFA">
        <w:rPr>
          <w:noProof/>
        </w:rPr>
        <w:t>któ</w:t>
      </w:r>
      <w:r w:rsidRPr="00DD1DFA">
        <w:rPr>
          <w:noProof/>
        </w:rPr>
        <w:t>rej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88 ust.</w:t>
      </w:r>
      <w:r w:rsidR="00DD1DFA" w:rsidRPr="00DD1DFA">
        <w:rPr>
          <w:noProof/>
        </w:rPr>
        <w:t> </w:t>
      </w:r>
      <w:r w:rsidRPr="00DD1DFA">
        <w:rPr>
          <w:noProof/>
        </w:rPr>
        <w:t>2 niniejszego rozporządzenia.</w:t>
      </w:r>
    </w:p>
    <w:p w14:paraId="71E38D4B" w14:textId="23109F32" w:rsidR="00F13919" w:rsidRPr="00DD1DFA" w:rsidRDefault="00F13919" w:rsidP="00C60A49">
      <w:pPr>
        <w:pStyle w:val="ChapterTitle"/>
        <w:rPr>
          <w:noProof/>
          <w:sz w:val="24"/>
          <w:szCs w:val="24"/>
        </w:rPr>
      </w:pPr>
      <w:r w:rsidRPr="00DD1DFA">
        <w:rPr>
          <w:noProof/>
          <w:sz w:val="24"/>
          <w:szCs w:val="24"/>
        </w:rPr>
        <w:t>ROZDZIAŁ XIII</w:t>
      </w:r>
    </w:p>
    <w:p w14:paraId="3DBFFFBB" w14:textId="77777777" w:rsidR="000604B7" w:rsidRPr="00DD1DFA" w:rsidRDefault="000604B7" w:rsidP="000604B7">
      <w:pPr>
        <w:pStyle w:val="ChapterTitle"/>
        <w:rPr>
          <w:noProof/>
          <w:sz w:val="24"/>
          <w:szCs w:val="24"/>
        </w:rPr>
      </w:pPr>
      <w:r w:rsidRPr="00DD1DFA">
        <w:rPr>
          <w:noProof/>
          <w:sz w:val="24"/>
          <w:szCs w:val="24"/>
        </w:rPr>
        <w:t xml:space="preserve">ZMIANY </w:t>
      </w:r>
    </w:p>
    <w:p w14:paraId="0785AFD4" w14:textId="77777777" w:rsidR="000604B7" w:rsidRPr="00DD1DFA" w:rsidRDefault="000604B7" w:rsidP="000604B7">
      <w:pPr>
        <w:pStyle w:val="Titrearticle"/>
        <w:rPr>
          <w:noProof/>
        </w:rPr>
      </w:pPr>
      <w:r w:rsidRPr="00DD1DFA">
        <w:rPr>
          <w:noProof/>
        </w:rPr>
        <w:t>Artykuł 86</w:t>
      </w:r>
    </w:p>
    <w:p w14:paraId="60A88910" w14:textId="316ACBDF" w:rsidR="000604B7" w:rsidRPr="00DD1DFA" w:rsidRDefault="000604B7" w:rsidP="000604B7">
      <w:pPr>
        <w:pStyle w:val="Titrearticle"/>
        <w:rPr>
          <w:b/>
          <w:bCs/>
          <w:noProof/>
        </w:rPr>
      </w:pPr>
      <w:r w:rsidRPr="00DD1DFA">
        <w:rPr>
          <w:b/>
          <w:bCs/>
          <w:noProof/>
        </w:rPr>
        <w:t>Zmiany</w:t>
      </w:r>
      <w:r w:rsidR="00DD1DFA" w:rsidRPr="00DD1DFA">
        <w:rPr>
          <w:b/>
          <w:bCs/>
          <w:noProof/>
        </w:rPr>
        <w:t xml:space="preserve"> w</w:t>
      </w:r>
      <w:r w:rsidR="00DD1DFA">
        <w:rPr>
          <w:b/>
          <w:bCs/>
          <w:noProof/>
        </w:rPr>
        <w:t> </w:t>
      </w:r>
      <w:r w:rsidR="00DD1DFA" w:rsidRPr="00DD1DFA">
        <w:rPr>
          <w:b/>
          <w:bCs/>
          <w:noProof/>
        </w:rPr>
        <w:t>roz</w:t>
      </w:r>
      <w:r w:rsidRPr="00DD1DFA">
        <w:rPr>
          <w:b/>
          <w:bCs/>
          <w:noProof/>
        </w:rPr>
        <w:t>porządzeniu (UE) 2019/1020</w:t>
      </w:r>
      <w:r w:rsidR="00DD1DFA" w:rsidRPr="00DD1DFA">
        <w:rPr>
          <w:bCs/>
          <w:i w:val="0"/>
          <w:noProof/>
        </w:rPr>
        <w:t xml:space="preserve"> </w:t>
      </w:r>
    </w:p>
    <w:p w14:paraId="3C9F12AA" w14:textId="77777777" w:rsidR="000604B7" w:rsidRPr="00DD1DFA" w:rsidRDefault="000604B7" w:rsidP="00583D92">
      <w:pPr>
        <w:rPr>
          <w:noProof/>
        </w:rPr>
      </w:pPr>
      <w:r w:rsidRPr="00DD1DFA">
        <w:rPr>
          <w:noProof/>
        </w:rPr>
        <w:t xml:space="preserve">W rozporządzeniu (UE) 2019/1020 wprowadza się następujące zmiany: </w:t>
      </w:r>
    </w:p>
    <w:p w14:paraId="3D9BD428" w14:textId="31C1F97E" w:rsidR="000604B7" w:rsidRPr="00DD1DFA" w:rsidRDefault="003C1401" w:rsidP="003C1401">
      <w:pPr>
        <w:pStyle w:val="Point0"/>
        <w:rPr>
          <w:noProof/>
        </w:rPr>
      </w:pPr>
      <w:r w:rsidRPr="003C1401">
        <w:rPr>
          <w:noProof/>
        </w:rPr>
        <w:t>1)</w:t>
      </w:r>
      <w:r w:rsidRPr="003C1401">
        <w:rPr>
          <w:noProof/>
        </w:rPr>
        <w:tab/>
      </w:r>
      <w:r w:rsidR="000604B7" w:rsidRPr="00DD1DFA">
        <w:rPr>
          <w:noProof/>
        </w:rPr>
        <w:t>w art.</w:t>
      </w:r>
      <w:r w:rsidR="00DD1DFA" w:rsidRPr="00DD1DFA">
        <w:rPr>
          <w:noProof/>
        </w:rPr>
        <w:t> </w:t>
      </w:r>
      <w:r w:rsidR="000604B7" w:rsidRPr="00DD1DFA">
        <w:rPr>
          <w:noProof/>
        </w:rPr>
        <w:t>4 ust.</w:t>
      </w:r>
      <w:r w:rsidR="00DD1DFA" w:rsidRPr="00DD1DFA">
        <w:rPr>
          <w:noProof/>
        </w:rPr>
        <w:t> </w:t>
      </w:r>
      <w:r w:rsidR="000604B7" w:rsidRPr="00DD1DFA">
        <w:rPr>
          <w:noProof/>
        </w:rPr>
        <w:t>5 dodaje się tekst</w:t>
      </w:r>
      <w:r w:rsidR="00DD1DFA" w:rsidRPr="00DD1DFA">
        <w:rPr>
          <w:noProof/>
        </w:rPr>
        <w:t xml:space="preserve"> w</w:t>
      </w:r>
      <w:r w:rsidR="00DD1DFA">
        <w:rPr>
          <w:noProof/>
        </w:rPr>
        <w:t> </w:t>
      </w:r>
      <w:r w:rsidR="00DD1DFA" w:rsidRPr="00DD1DFA">
        <w:rPr>
          <w:noProof/>
        </w:rPr>
        <w:t>brz</w:t>
      </w:r>
      <w:r w:rsidR="000604B7" w:rsidRPr="00DD1DFA">
        <w:rPr>
          <w:noProof/>
        </w:rPr>
        <w:t>mieniu: „[(UE) 2020/…(*</w:t>
      </w:r>
      <w:r w:rsidR="000604B7" w:rsidRPr="00DD1DFA">
        <w:rPr>
          <w:rStyle w:val="Odwoanieprzypisudolnego"/>
          <w:noProof/>
          <w:lang w:eastAsia="en-GB"/>
        </w:rPr>
        <w:footnoteReference w:id="51"/>
      </w:r>
      <w:r w:rsidR="000604B7" w:rsidRPr="00DD1DFA">
        <w:rPr>
          <w:noProof/>
        </w:rPr>
        <w:t>)]”</w:t>
      </w:r>
      <w:r w:rsidR="00F7253B" w:rsidRPr="00DD1DFA">
        <w:rPr>
          <w:noProof/>
        </w:rPr>
        <w:t>;</w:t>
      </w:r>
    </w:p>
    <w:p w14:paraId="1E26D88D" w14:textId="5BA92D98" w:rsidR="000604B7" w:rsidRPr="00DD1DFA" w:rsidRDefault="003C1401" w:rsidP="003C1401">
      <w:pPr>
        <w:pStyle w:val="Point0"/>
        <w:rPr>
          <w:noProof/>
        </w:rPr>
      </w:pPr>
      <w:r w:rsidRPr="003C1401">
        <w:rPr>
          <w:noProof/>
        </w:rPr>
        <w:t>2)</w:t>
      </w:r>
      <w:r w:rsidRPr="003C1401">
        <w:rPr>
          <w:noProof/>
        </w:rPr>
        <w:tab/>
      </w:r>
      <w:r w:rsidR="000604B7" w:rsidRPr="00DD1DFA">
        <w:rPr>
          <w:noProof/>
        </w:rPr>
        <w:t>w załączniku I do wykazu unijnych przepisów</w:t>
      </w:r>
      <w:r w:rsidR="00DD1DFA" w:rsidRPr="00DD1DFA">
        <w:rPr>
          <w:noProof/>
        </w:rPr>
        <w:t xml:space="preserve"> w</w:t>
      </w:r>
      <w:r w:rsidR="00DD1DFA">
        <w:rPr>
          <w:noProof/>
        </w:rPr>
        <w:t> </w:t>
      </w:r>
      <w:r w:rsidR="00DD1DFA" w:rsidRPr="00DD1DFA">
        <w:rPr>
          <w:noProof/>
        </w:rPr>
        <w:t>spr</w:t>
      </w:r>
      <w:r w:rsidR="000604B7" w:rsidRPr="00DD1DFA">
        <w:rPr>
          <w:noProof/>
        </w:rPr>
        <w:t>awie harmonizacji dodaje się pkt</w:t>
      </w:r>
      <w:r w:rsidR="00DD1DFA" w:rsidRPr="00DD1DFA">
        <w:rPr>
          <w:noProof/>
        </w:rPr>
        <w:t> </w:t>
      </w:r>
      <w:r w:rsidR="000604B7" w:rsidRPr="00DD1DFA">
        <w:rPr>
          <w:noProof/>
        </w:rPr>
        <w:t>72</w:t>
      </w:r>
      <w:r w:rsidR="00DD1DFA" w:rsidRPr="00DD1DFA">
        <w:rPr>
          <w:noProof/>
        </w:rPr>
        <w:t xml:space="preserve"> w</w:t>
      </w:r>
      <w:r w:rsidR="00DD1DFA">
        <w:rPr>
          <w:noProof/>
        </w:rPr>
        <w:t> </w:t>
      </w:r>
      <w:r w:rsidR="00DD1DFA" w:rsidRPr="00DD1DFA">
        <w:rPr>
          <w:noProof/>
        </w:rPr>
        <w:t>brz</w:t>
      </w:r>
      <w:r w:rsidR="000604B7" w:rsidRPr="00DD1DFA">
        <w:rPr>
          <w:noProof/>
        </w:rPr>
        <w:t>mieniu:</w:t>
      </w:r>
    </w:p>
    <w:p w14:paraId="29C71215" w14:textId="2D65A4BA" w:rsidR="000604B7" w:rsidRPr="00DD1DFA" w:rsidRDefault="00F7253B" w:rsidP="000604B7">
      <w:pPr>
        <w:rPr>
          <w:noProof/>
        </w:rPr>
      </w:pPr>
      <w:r w:rsidRPr="00DD1DFA">
        <w:rPr>
          <w:noProof/>
        </w:rPr>
        <w:t>„</w:t>
      </w:r>
      <w:r w:rsidR="000604B7" w:rsidRPr="00DD1DFA">
        <w:rPr>
          <w:noProof/>
        </w:rPr>
        <w:t>72. Rozporządzenie Parlamentu Europejskiego</w:t>
      </w:r>
      <w:r w:rsidR="00DD1DFA" w:rsidRPr="00DD1DFA">
        <w:rPr>
          <w:noProof/>
        </w:rPr>
        <w:t xml:space="preserve"> i</w:t>
      </w:r>
      <w:r w:rsidR="00DD1DFA">
        <w:rPr>
          <w:noProof/>
        </w:rPr>
        <w:t> </w:t>
      </w:r>
      <w:r w:rsidR="00DD1DFA" w:rsidRPr="00DD1DFA">
        <w:rPr>
          <w:noProof/>
        </w:rPr>
        <w:t>Rad</w:t>
      </w:r>
      <w:r w:rsidR="000604B7" w:rsidRPr="00DD1DFA">
        <w:rPr>
          <w:noProof/>
        </w:rPr>
        <w:t>y ustanawiające zharmonizowane warunki wprowadzania do obrotu wyrobów budowlanych, zmieniające rozporządzenie (UE) 2019/1020</w:t>
      </w:r>
      <w:r w:rsidR="00DD1DFA" w:rsidRPr="00DD1DFA">
        <w:rPr>
          <w:noProof/>
        </w:rPr>
        <w:t xml:space="preserve"> i</w:t>
      </w:r>
      <w:r w:rsidR="00DD1DFA">
        <w:rPr>
          <w:noProof/>
        </w:rPr>
        <w:t> </w:t>
      </w:r>
      <w:r w:rsidR="00DD1DFA" w:rsidRPr="00DD1DFA">
        <w:rPr>
          <w:noProof/>
        </w:rPr>
        <w:t>uch</w:t>
      </w:r>
      <w:r w:rsidR="000604B7" w:rsidRPr="00DD1DFA">
        <w:rPr>
          <w:noProof/>
        </w:rPr>
        <w:t>ylające rozporządzenie (UE) nr</w:t>
      </w:r>
      <w:r w:rsidR="00DD1DFA" w:rsidRPr="00DD1DFA">
        <w:rPr>
          <w:noProof/>
        </w:rPr>
        <w:t> </w:t>
      </w:r>
      <w:r w:rsidR="000604B7" w:rsidRPr="00DD1DFA">
        <w:rPr>
          <w:noProof/>
        </w:rPr>
        <w:t>305/2011 (Urząd Publikacji uzupełnia dane dotyczące publikacji w Dz.U.);”.</w:t>
      </w:r>
    </w:p>
    <w:p w14:paraId="2A436AA9" w14:textId="2FE0B3B5" w:rsidR="000604B7" w:rsidRPr="00DD1DFA" w:rsidRDefault="000604B7" w:rsidP="000604B7">
      <w:pPr>
        <w:pStyle w:val="ChapterTitle"/>
        <w:rPr>
          <w:rFonts w:ascii="Calibri" w:eastAsia="Calibri" w:hAnsi="Calibri" w:cs="DejaVu Sans"/>
          <w:noProof/>
          <w:color w:val="00000A"/>
          <w:sz w:val="24"/>
          <w:szCs w:val="24"/>
        </w:rPr>
      </w:pPr>
      <w:r w:rsidRPr="00DD1DFA">
        <w:rPr>
          <w:noProof/>
          <w:sz w:val="24"/>
          <w:szCs w:val="24"/>
        </w:rPr>
        <w:t>ROZDZIAŁ XIV</w:t>
      </w:r>
    </w:p>
    <w:p w14:paraId="41B073FA" w14:textId="77777777" w:rsidR="00F13919" w:rsidRPr="00DD1DFA" w:rsidRDefault="00F13919" w:rsidP="00C60A49">
      <w:pPr>
        <w:pStyle w:val="ChapterTitle"/>
        <w:rPr>
          <w:noProof/>
          <w:sz w:val="24"/>
          <w:szCs w:val="24"/>
        </w:rPr>
      </w:pPr>
      <w:r w:rsidRPr="00DD1DFA">
        <w:rPr>
          <w:noProof/>
          <w:sz w:val="24"/>
          <w:szCs w:val="24"/>
        </w:rPr>
        <w:t xml:space="preserve">PRZEPISY KOŃCOWE </w:t>
      </w:r>
    </w:p>
    <w:p w14:paraId="295E0FDE" w14:textId="7F7412F5" w:rsidR="00F13919" w:rsidRPr="00DD1DFA" w:rsidRDefault="00503590" w:rsidP="00C60A49">
      <w:pPr>
        <w:pStyle w:val="Titrearticle"/>
        <w:rPr>
          <w:noProof/>
        </w:rPr>
      </w:pPr>
      <w:r w:rsidRPr="00DD1DFA">
        <w:rPr>
          <w:noProof/>
        </w:rPr>
        <w:t>Artykuł 87</w:t>
      </w:r>
    </w:p>
    <w:p w14:paraId="18938D85" w14:textId="77777777" w:rsidR="00F13919" w:rsidRPr="00DD1DFA" w:rsidRDefault="009E144F" w:rsidP="00C60A49">
      <w:pPr>
        <w:pStyle w:val="Titrearticle"/>
        <w:rPr>
          <w:rFonts w:ascii="Calibri" w:eastAsia="Calibri" w:hAnsi="Calibri" w:cs="DejaVu Sans"/>
          <w:noProof/>
          <w:color w:val="00000A"/>
          <w:sz w:val="22"/>
        </w:rPr>
      </w:pPr>
      <w:r w:rsidRPr="00DD1DFA">
        <w:rPr>
          <w:b/>
          <w:bCs/>
          <w:noProof/>
        </w:rPr>
        <w:t>Akty delegowane</w:t>
      </w:r>
    </w:p>
    <w:p w14:paraId="6FA8E0EF" w14:textId="30601D5F" w:rsidR="00503590" w:rsidRPr="00DD1DFA" w:rsidRDefault="005F7EFA" w:rsidP="005F7EFA">
      <w:pPr>
        <w:pStyle w:val="ManualNumPar1"/>
        <w:rPr>
          <w:noProof/>
        </w:rPr>
      </w:pPr>
      <w:r w:rsidRPr="005F7EFA">
        <w:t>1.</w:t>
      </w:r>
      <w:r w:rsidRPr="005F7EFA">
        <w:tab/>
      </w:r>
      <w:r w:rsidR="00503590" w:rsidRPr="00DD1DFA">
        <w:rPr>
          <w:noProof/>
        </w:rPr>
        <w:t>Powierzenie Komisji uprawnień do przyjęcia aktów delegowanych podlega warunkom określonym</w:t>
      </w:r>
      <w:r w:rsidR="00DD1DFA" w:rsidRPr="00DD1DFA">
        <w:rPr>
          <w:noProof/>
        </w:rPr>
        <w:t xml:space="preserve"> w</w:t>
      </w:r>
      <w:r w:rsidR="00DD1DFA">
        <w:rPr>
          <w:noProof/>
        </w:rPr>
        <w:t> </w:t>
      </w:r>
      <w:r w:rsidR="00DD1DFA" w:rsidRPr="00DD1DFA">
        <w:rPr>
          <w:noProof/>
        </w:rPr>
        <w:t>nin</w:t>
      </w:r>
      <w:r w:rsidR="00503590" w:rsidRPr="00DD1DFA">
        <w:rPr>
          <w:noProof/>
        </w:rPr>
        <w:t>iejszym artykule.</w:t>
      </w:r>
    </w:p>
    <w:p w14:paraId="3CCA24D0" w14:textId="248F814D" w:rsidR="00503590" w:rsidRPr="00DD1DFA" w:rsidRDefault="005F7EFA" w:rsidP="005F7EFA">
      <w:pPr>
        <w:pStyle w:val="ManualNumPar1"/>
        <w:rPr>
          <w:noProof/>
        </w:rPr>
      </w:pPr>
      <w:r w:rsidRPr="005F7EFA">
        <w:t>2.</w:t>
      </w:r>
      <w:r w:rsidRPr="005F7EFA">
        <w:tab/>
      </w:r>
      <w:r w:rsidR="00503590" w:rsidRPr="00DD1DFA">
        <w:rPr>
          <w:noProof/>
        </w:rPr>
        <w:t>Uprawnienia do przyjęcia aktów delegowanych,</w:t>
      </w:r>
      <w:r w:rsidR="00DD1DFA" w:rsidRPr="00DD1DFA">
        <w:rPr>
          <w:noProof/>
        </w:rPr>
        <w:t xml:space="preserve"> o</w:t>
      </w:r>
      <w:r w:rsidR="00DD1DFA">
        <w:rPr>
          <w:noProof/>
        </w:rPr>
        <w:t> </w:t>
      </w:r>
      <w:r w:rsidR="00DD1DFA" w:rsidRPr="00DD1DFA">
        <w:rPr>
          <w:noProof/>
        </w:rPr>
        <w:t>któ</w:t>
      </w:r>
      <w:r w:rsidR="00503590" w:rsidRPr="00DD1DFA">
        <w:rPr>
          <w:noProof/>
        </w:rPr>
        <w:t>rych mowa</w:t>
      </w:r>
      <w:r w:rsidR="00DD1DFA" w:rsidRPr="00DD1DFA">
        <w:rPr>
          <w:noProof/>
        </w:rPr>
        <w:t xml:space="preserve"> w</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4 ust.</w:t>
      </w:r>
      <w:r w:rsidR="00DD1DFA" w:rsidRPr="00DD1DFA">
        <w:rPr>
          <w:noProof/>
        </w:rPr>
        <w:t> </w:t>
      </w:r>
      <w:r w:rsidR="00503590" w:rsidRPr="00DD1DFA">
        <w:rPr>
          <w:noProof/>
        </w:rPr>
        <w:t>3, 4</w:t>
      </w:r>
      <w:r w:rsidR="00DD1DFA" w:rsidRPr="00DD1DFA">
        <w:rPr>
          <w:noProof/>
        </w:rPr>
        <w:t xml:space="preserve"> i</w:t>
      </w:r>
      <w:r w:rsidR="00DD1DFA">
        <w:rPr>
          <w:noProof/>
        </w:rPr>
        <w:t> </w:t>
      </w:r>
      <w:r w:rsidR="00DD1DFA" w:rsidRPr="00DD1DFA">
        <w:rPr>
          <w:noProof/>
        </w:rPr>
        <w:t>5</w:t>
      </w:r>
      <w:r w:rsidR="00503590" w:rsidRPr="00DD1DFA">
        <w:rPr>
          <w:noProof/>
        </w:rPr>
        <w:t>, art.</w:t>
      </w:r>
      <w:r w:rsidR="00DD1DFA" w:rsidRPr="00DD1DFA">
        <w:rPr>
          <w:noProof/>
        </w:rPr>
        <w:t> </w:t>
      </w:r>
      <w:r w:rsidR="00503590" w:rsidRPr="00DD1DFA">
        <w:rPr>
          <w:noProof/>
        </w:rPr>
        <w:t>5 ust.</w:t>
      </w:r>
      <w:r w:rsidR="00DD1DFA" w:rsidRPr="00DD1DFA">
        <w:rPr>
          <w:noProof/>
        </w:rPr>
        <w:t> </w:t>
      </w:r>
      <w:r w:rsidR="00503590" w:rsidRPr="00DD1DFA">
        <w:rPr>
          <w:noProof/>
        </w:rPr>
        <w:t>2</w:t>
      </w:r>
      <w:r w:rsidR="00DD1DFA" w:rsidRPr="00DD1DFA">
        <w:rPr>
          <w:noProof/>
        </w:rPr>
        <w:t xml:space="preserve"> i</w:t>
      </w:r>
      <w:r w:rsidR="00DD1DFA">
        <w:rPr>
          <w:noProof/>
        </w:rPr>
        <w:t> </w:t>
      </w:r>
      <w:r w:rsidR="00DD1DFA" w:rsidRPr="00DD1DFA">
        <w:rPr>
          <w:noProof/>
        </w:rPr>
        <w:t>3</w:t>
      </w:r>
      <w:r w:rsidR="00503590" w:rsidRPr="00DD1DFA">
        <w:rPr>
          <w:noProof/>
        </w:rPr>
        <w:t>, art.</w:t>
      </w:r>
      <w:r w:rsidR="00DD1DFA" w:rsidRPr="00DD1DFA">
        <w:rPr>
          <w:noProof/>
        </w:rPr>
        <w:t> </w:t>
      </w:r>
      <w:r w:rsidR="00503590" w:rsidRPr="00DD1DFA">
        <w:rPr>
          <w:noProof/>
        </w:rPr>
        <w:t>6 ust.</w:t>
      </w:r>
      <w:r w:rsidR="00DD1DFA" w:rsidRPr="00DD1DFA">
        <w:rPr>
          <w:noProof/>
        </w:rPr>
        <w:t> </w:t>
      </w:r>
      <w:r w:rsidR="00503590" w:rsidRPr="00DD1DFA">
        <w:rPr>
          <w:noProof/>
        </w:rPr>
        <w:t>1–3, art.</w:t>
      </w:r>
      <w:r w:rsidR="00DD1DFA" w:rsidRPr="00DD1DFA">
        <w:rPr>
          <w:noProof/>
        </w:rPr>
        <w:t> </w:t>
      </w:r>
      <w:r w:rsidR="00503590" w:rsidRPr="00DD1DFA">
        <w:rPr>
          <w:noProof/>
        </w:rPr>
        <w:t>8, art.</w:t>
      </w:r>
      <w:r w:rsidR="00DD1DFA" w:rsidRPr="00DD1DFA">
        <w:rPr>
          <w:noProof/>
        </w:rPr>
        <w:t> </w:t>
      </w:r>
      <w:r w:rsidR="00503590" w:rsidRPr="00DD1DFA">
        <w:rPr>
          <w:noProof/>
        </w:rPr>
        <w:t>11 ust.</w:t>
      </w:r>
      <w:r w:rsidR="00DD1DFA" w:rsidRPr="00DD1DFA">
        <w:rPr>
          <w:noProof/>
        </w:rPr>
        <w:t> </w:t>
      </w:r>
      <w:r w:rsidR="00503590" w:rsidRPr="00DD1DFA">
        <w:rPr>
          <w:noProof/>
        </w:rPr>
        <w:t>3, art.</w:t>
      </w:r>
      <w:r w:rsidR="00DD1DFA" w:rsidRPr="00DD1DFA">
        <w:rPr>
          <w:noProof/>
        </w:rPr>
        <w:t> </w:t>
      </w:r>
      <w:r w:rsidR="00503590" w:rsidRPr="00DD1DFA">
        <w:rPr>
          <w:noProof/>
        </w:rPr>
        <w:t>22 ust.</w:t>
      </w:r>
      <w:r w:rsidR="00DD1DFA" w:rsidRPr="00DD1DFA">
        <w:rPr>
          <w:noProof/>
        </w:rPr>
        <w:t> </w:t>
      </w:r>
      <w:r w:rsidR="00503590" w:rsidRPr="00DD1DFA">
        <w:rPr>
          <w:noProof/>
        </w:rPr>
        <w:t>4</w:t>
      </w:r>
      <w:r w:rsidR="00DD1DFA" w:rsidRPr="00DD1DFA">
        <w:rPr>
          <w:noProof/>
        </w:rPr>
        <w:t xml:space="preserve"> i</w:t>
      </w:r>
      <w:r w:rsidR="00DD1DFA">
        <w:rPr>
          <w:noProof/>
        </w:rPr>
        <w:t> </w:t>
      </w:r>
      <w:r w:rsidR="00DD1DFA" w:rsidRPr="00DD1DFA">
        <w:rPr>
          <w:noProof/>
        </w:rPr>
        <w:t>5</w:t>
      </w:r>
      <w:r w:rsidR="00503590" w:rsidRPr="00DD1DFA">
        <w:rPr>
          <w:noProof/>
        </w:rPr>
        <w:t>, art.</w:t>
      </w:r>
      <w:r w:rsidR="00DD1DFA" w:rsidRPr="00DD1DFA">
        <w:rPr>
          <w:noProof/>
        </w:rPr>
        <w:t> </w:t>
      </w:r>
      <w:r w:rsidR="00503590" w:rsidRPr="00DD1DFA">
        <w:rPr>
          <w:noProof/>
        </w:rPr>
        <w:t>35 ust.</w:t>
      </w:r>
      <w:r w:rsidR="00DD1DFA" w:rsidRPr="00DD1DFA">
        <w:rPr>
          <w:noProof/>
        </w:rPr>
        <w:t> </w:t>
      </w:r>
      <w:r w:rsidR="00503590" w:rsidRPr="00DD1DFA">
        <w:rPr>
          <w:noProof/>
        </w:rPr>
        <w:t>4, art.</w:t>
      </w:r>
      <w:r w:rsidR="00DD1DFA" w:rsidRPr="00DD1DFA">
        <w:rPr>
          <w:noProof/>
        </w:rPr>
        <w:t> </w:t>
      </w:r>
      <w:r w:rsidR="00503590" w:rsidRPr="00DD1DFA">
        <w:rPr>
          <w:noProof/>
        </w:rPr>
        <w:t>44 ust.</w:t>
      </w:r>
      <w:r w:rsidR="00DD1DFA" w:rsidRPr="00DD1DFA">
        <w:rPr>
          <w:noProof/>
        </w:rPr>
        <w:t> </w:t>
      </w:r>
      <w:r w:rsidR="00503590" w:rsidRPr="00DD1DFA">
        <w:rPr>
          <w:noProof/>
        </w:rPr>
        <w:t>1, art.</w:t>
      </w:r>
      <w:r w:rsidR="00DD1DFA" w:rsidRPr="00DD1DFA">
        <w:rPr>
          <w:noProof/>
        </w:rPr>
        <w:t> </w:t>
      </w:r>
      <w:r w:rsidR="00503590" w:rsidRPr="00DD1DFA">
        <w:rPr>
          <w:noProof/>
        </w:rPr>
        <w:t>73 ust.</w:t>
      </w:r>
      <w:r w:rsidR="00DD1DFA" w:rsidRPr="00DD1DFA">
        <w:rPr>
          <w:noProof/>
        </w:rPr>
        <w:t> </w:t>
      </w:r>
      <w:r w:rsidR="00503590" w:rsidRPr="00DD1DFA">
        <w:rPr>
          <w:noProof/>
        </w:rPr>
        <w:t>1</w:t>
      </w:r>
      <w:r w:rsidR="00DD1DFA" w:rsidRPr="00DD1DFA">
        <w:rPr>
          <w:noProof/>
        </w:rPr>
        <w:t xml:space="preserve"> i</w:t>
      </w:r>
      <w:r w:rsidR="00DD1DFA">
        <w:rPr>
          <w:noProof/>
        </w:rPr>
        <w:t> </w:t>
      </w:r>
      <w:r w:rsidR="00DD1DFA" w:rsidRPr="00DD1DFA">
        <w:rPr>
          <w:noProof/>
        </w:rPr>
        <w:t>2</w:t>
      </w:r>
      <w:r w:rsidR="00503590" w:rsidRPr="00DD1DFA">
        <w:rPr>
          <w:noProof/>
        </w:rPr>
        <w:t>, art.</w:t>
      </w:r>
      <w:r w:rsidR="00DD1DFA" w:rsidRPr="00DD1DFA">
        <w:rPr>
          <w:noProof/>
        </w:rPr>
        <w:t> </w:t>
      </w:r>
      <w:r w:rsidR="00503590" w:rsidRPr="00DD1DFA">
        <w:rPr>
          <w:noProof/>
        </w:rPr>
        <w:t>78 ust.</w:t>
      </w:r>
      <w:r w:rsidR="00DD1DFA" w:rsidRPr="00DD1DFA">
        <w:rPr>
          <w:noProof/>
        </w:rPr>
        <w:t> </w:t>
      </w:r>
      <w:r w:rsidR="00503590" w:rsidRPr="00DD1DFA">
        <w:rPr>
          <w:noProof/>
        </w:rPr>
        <w:t>1, art.</w:t>
      </w:r>
      <w:r w:rsidR="00DD1DFA" w:rsidRPr="00DD1DFA">
        <w:rPr>
          <w:noProof/>
        </w:rPr>
        <w:t> </w:t>
      </w:r>
      <w:r w:rsidR="00503590" w:rsidRPr="00DD1DFA">
        <w:rPr>
          <w:noProof/>
        </w:rPr>
        <w:t>84 ust.</w:t>
      </w:r>
      <w:r w:rsidR="00DD1DFA" w:rsidRPr="00DD1DFA">
        <w:rPr>
          <w:noProof/>
        </w:rPr>
        <w:t> </w:t>
      </w:r>
      <w:r w:rsidR="00503590" w:rsidRPr="00DD1DFA">
        <w:rPr>
          <w:noProof/>
        </w:rPr>
        <w:t>1</w:t>
      </w:r>
      <w:r w:rsidR="00DD1DFA" w:rsidRPr="00DD1DFA">
        <w:rPr>
          <w:noProof/>
        </w:rPr>
        <w:t xml:space="preserve"> i</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90 ust.</w:t>
      </w:r>
      <w:r w:rsidR="00DD1DFA" w:rsidRPr="00DD1DFA">
        <w:rPr>
          <w:noProof/>
        </w:rPr>
        <w:t> </w:t>
      </w:r>
      <w:r w:rsidR="00503590" w:rsidRPr="00DD1DFA">
        <w:rPr>
          <w:noProof/>
        </w:rPr>
        <w:t>4,</w:t>
      </w:r>
      <w:r w:rsidR="00DD1DFA" w:rsidRPr="00DD1DFA">
        <w:rPr>
          <w:noProof/>
        </w:rPr>
        <w:t xml:space="preserve"> </w:t>
      </w:r>
      <w:r w:rsidR="00503590" w:rsidRPr="00DD1DFA">
        <w:rPr>
          <w:noProof/>
        </w:rPr>
        <w:t>powierza się Komisji na okres pięciu lat od ... [dzień wejścia</w:t>
      </w:r>
      <w:r w:rsidR="00DD1DFA" w:rsidRPr="00DD1DFA">
        <w:rPr>
          <w:noProof/>
        </w:rPr>
        <w:t xml:space="preserve"> w</w:t>
      </w:r>
      <w:r w:rsidR="00DD1DFA">
        <w:rPr>
          <w:noProof/>
        </w:rPr>
        <w:t> </w:t>
      </w:r>
      <w:r w:rsidR="00DD1DFA" w:rsidRPr="00DD1DFA">
        <w:rPr>
          <w:noProof/>
        </w:rPr>
        <w:t>życ</w:t>
      </w:r>
      <w:r w:rsidR="00503590" w:rsidRPr="00DD1DFA">
        <w:rPr>
          <w:noProof/>
        </w:rPr>
        <w:t>ie niniejszego rozporządzenia]. 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14:paraId="31F3204C" w14:textId="55AE8E22" w:rsidR="00503590" w:rsidRPr="00DD1DFA" w:rsidRDefault="005F7EFA" w:rsidP="005F7EFA">
      <w:pPr>
        <w:pStyle w:val="ManualNumPar1"/>
        <w:rPr>
          <w:noProof/>
        </w:rPr>
      </w:pPr>
      <w:r w:rsidRPr="005F7EFA">
        <w:t>3.</w:t>
      </w:r>
      <w:r w:rsidRPr="005F7EFA">
        <w:tab/>
      </w:r>
      <w:r w:rsidR="00503590" w:rsidRPr="00DD1DFA">
        <w:rPr>
          <w:noProof/>
        </w:rPr>
        <w:t>Przed przyjęciem aktu delegowanego Komisja konsultuje się</w:t>
      </w:r>
      <w:r w:rsidR="00DD1DFA" w:rsidRPr="00DD1DFA">
        <w:rPr>
          <w:noProof/>
        </w:rPr>
        <w:t xml:space="preserve"> z</w:t>
      </w:r>
      <w:r w:rsidR="00DD1DFA">
        <w:rPr>
          <w:noProof/>
        </w:rPr>
        <w:t> </w:t>
      </w:r>
      <w:r w:rsidR="00DD1DFA" w:rsidRPr="00DD1DFA">
        <w:rPr>
          <w:noProof/>
        </w:rPr>
        <w:t>eks</w:t>
      </w:r>
      <w:r w:rsidR="00503590" w:rsidRPr="00DD1DFA">
        <w:rPr>
          <w:noProof/>
        </w:rPr>
        <w:t>pertami wyznaczonymi przez każde państwo członkowskie zgodnie</w:t>
      </w:r>
      <w:r w:rsidR="00DD1DFA" w:rsidRPr="00DD1DFA">
        <w:rPr>
          <w:noProof/>
        </w:rPr>
        <w:t xml:space="preserve"> z</w:t>
      </w:r>
      <w:r w:rsidR="00DD1DFA">
        <w:rPr>
          <w:noProof/>
        </w:rPr>
        <w:t> </w:t>
      </w:r>
      <w:r w:rsidR="00DD1DFA" w:rsidRPr="00DD1DFA">
        <w:rPr>
          <w:noProof/>
        </w:rPr>
        <w:t>zas</w:t>
      </w:r>
      <w:r w:rsidR="00503590" w:rsidRPr="00DD1DFA">
        <w:rPr>
          <w:noProof/>
        </w:rPr>
        <w:t>adami określonymi</w:t>
      </w:r>
      <w:r w:rsidR="00DD1DFA" w:rsidRPr="00DD1DFA">
        <w:rPr>
          <w:noProof/>
        </w:rPr>
        <w:t xml:space="preserve"> w</w:t>
      </w:r>
      <w:r w:rsidR="00DD1DFA">
        <w:rPr>
          <w:noProof/>
        </w:rPr>
        <w:t> </w:t>
      </w:r>
      <w:r w:rsidR="00DD1DFA" w:rsidRPr="00DD1DFA">
        <w:rPr>
          <w:noProof/>
        </w:rPr>
        <w:t>Por</w:t>
      </w:r>
      <w:r w:rsidR="00503590" w:rsidRPr="00DD1DFA">
        <w:rPr>
          <w:noProof/>
        </w:rPr>
        <w:t>ozumieniu międzyinstytucjonalnym</w:t>
      </w:r>
      <w:r w:rsidR="00DD1DFA" w:rsidRPr="00DD1DFA">
        <w:rPr>
          <w:noProof/>
        </w:rPr>
        <w:t xml:space="preserve"> z</w:t>
      </w:r>
      <w:r w:rsidR="00DD1DFA">
        <w:rPr>
          <w:noProof/>
        </w:rPr>
        <w:t> </w:t>
      </w:r>
      <w:r w:rsidR="00DD1DFA" w:rsidRPr="00DD1DFA">
        <w:rPr>
          <w:noProof/>
        </w:rPr>
        <w:t>dni</w:t>
      </w:r>
      <w:r w:rsidR="00503590" w:rsidRPr="00DD1DFA">
        <w:rPr>
          <w:noProof/>
        </w:rPr>
        <w:t>a 13 kwietnia 2016</w:t>
      </w:r>
      <w:r w:rsidR="00DD1DFA" w:rsidRPr="00DD1DFA">
        <w:rPr>
          <w:noProof/>
        </w:rPr>
        <w:t> </w:t>
      </w:r>
      <w:r w:rsidR="00503590" w:rsidRPr="00DD1DFA">
        <w:rPr>
          <w:noProof/>
        </w:rPr>
        <w:t>r.</w:t>
      </w:r>
      <w:r w:rsidR="00DD1DFA" w:rsidRPr="00DD1DFA">
        <w:rPr>
          <w:noProof/>
        </w:rPr>
        <w:t xml:space="preserve"> w</w:t>
      </w:r>
      <w:r w:rsidR="00DD1DFA">
        <w:rPr>
          <w:noProof/>
        </w:rPr>
        <w:t> </w:t>
      </w:r>
      <w:r w:rsidR="00DD1DFA" w:rsidRPr="00DD1DFA">
        <w:rPr>
          <w:noProof/>
        </w:rPr>
        <w:t>spr</w:t>
      </w:r>
      <w:r w:rsidR="00503590" w:rsidRPr="00DD1DFA">
        <w:rPr>
          <w:noProof/>
        </w:rPr>
        <w:t>awie lepszego stanowienia prawa</w:t>
      </w:r>
      <w:r w:rsidR="00503590" w:rsidRPr="00DD1DFA">
        <w:rPr>
          <w:rStyle w:val="Odwoanieprzypisudolnego"/>
          <w:noProof/>
        </w:rPr>
        <w:footnoteReference w:id="52"/>
      </w:r>
      <w:r w:rsidR="00503590" w:rsidRPr="00DD1DFA">
        <w:rPr>
          <w:noProof/>
        </w:rPr>
        <w:t>.</w:t>
      </w:r>
    </w:p>
    <w:p w14:paraId="572ACA31" w14:textId="521A4AA5" w:rsidR="00503590" w:rsidRPr="00DD1DFA" w:rsidRDefault="005F7EFA" w:rsidP="005F7EFA">
      <w:pPr>
        <w:pStyle w:val="ManualNumPar1"/>
        <w:rPr>
          <w:noProof/>
          <w:color w:val="000000"/>
        </w:rPr>
      </w:pPr>
      <w:r w:rsidRPr="005F7EFA">
        <w:t>4.</w:t>
      </w:r>
      <w:r w:rsidRPr="005F7EFA">
        <w:tab/>
      </w:r>
      <w:r w:rsidR="00503590" w:rsidRPr="00DD1DFA">
        <w:rPr>
          <w:noProof/>
          <w:color w:val="000000"/>
        </w:rPr>
        <w:t>Przekazanie uprawnień,</w:t>
      </w:r>
      <w:r w:rsidR="00DD1DFA" w:rsidRPr="00DD1DFA">
        <w:rPr>
          <w:noProof/>
          <w:color w:val="000000"/>
        </w:rPr>
        <w:t xml:space="preserve"> o</w:t>
      </w:r>
      <w:r w:rsidR="00DD1DFA">
        <w:rPr>
          <w:noProof/>
          <w:color w:val="000000"/>
        </w:rPr>
        <w:t> </w:t>
      </w:r>
      <w:r w:rsidR="00DD1DFA" w:rsidRPr="00DD1DFA">
        <w:rPr>
          <w:noProof/>
          <w:color w:val="000000"/>
        </w:rPr>
        <w:t>któ</w:t>
      </w:r>
      <w:r w:rsidR="00503590" w:rsidRPr="00DD1DFA">
        <w:rPr>
          <w:noProof/>
          <w:color w:val="000000"/>
        </w:rPr>
        <w:t>rym mowa</w:t>
      </w:r>
      <w:r w:rsidR="00DD1DFA" w:rsidRPr="00DD1DFA">
        <w:rPr>
          <w:noProof/>
          <w:color w:val="000000"/>
        </w:rPr>
        <w:t xml:space="preserve"> w</w:t>
      </w:r>
      <w:r w:rsidR="00DD1DFA">
        <w:rPr>
          <w:noProof/>
          <w:color w:val="000000"/>
        </w:rPr>
        <w:t> </w:t>
      </w:r>
      <w:r w:rsidR="00DD1DFA" w:rsidRPr="00DD1DFA">
        <w:rPr>
          <w:noProof/>
        </w:rPr>
        <w:t>art</w:t>
      </w:r>
      <w:r w:rsidR="00503590" w:rsidRPr="00DD1DFA">
        <w:rPr>
          <w:noProof/>
        </w:rPr>
        <w:t>.</w:t>
      </w:r>
      <w:r w:rsidR="00DD1DFA" w:rsidRPr="00DD1DFA">
        <w:rPr>
          <w:noProof/>
        </w:rPr>
        <w:t> </w:t>
      </w:r>
      <w:r w:rsidR="00503590" w:rsidRPr="00DD1DFA">
        <w:rPr>
          <w:noProof/>
        </w:rPr>
        <w:t>4 ust.</w:t>
      </w:r>
      <w:r w:rsidR="00DD1DFA" w:rsidRPr="00DD1DFA">
        <w:rPr>
          <w:noProof/>
        </w:rPr>
        <w:t> </w:t>
      </w:r>
      <w:r w:rsidR="00503590" w:rsidRPr="00DD1DFA">
        <w:rPr>
          <w:noProof/>
        </w:rPr>
        <w:t>3, 4</w:t>
      </w:r>
      <w:r w:rsidR="00DD1DFA" w:rsidRPr="00DD1DFA">
        <w:rPr>
          <w:noProof/>
        </w:rPr>
        <w:t xml:space="preserve"> i</w:t>
      </w:r>
      <w:r w:rsidR="00DD1DFA">
        <w:rPr>
          <w:noProof/>
        </w:rPr>
        <w:t> </w:t>
      </w:r>
      <w:r w:rsidR="00DD1DFA" w:rsidRPr="00DD1DFA">
        <w:rPr>
          <w:noProof/>
        </w:rPr>
        <w:t>5</w:t>
      </w:r>
      <w:r w:rsidR="00503590" w:rsidRPr="00DD1DFA">
        <w:rPr>
          <w:noProof/>
        </w:rPr>
        <w:t>, art.</w:t>
      </w:r>
      <w:r w:rsidR="00DD1DFA" w:rsidRPr="00DD1DFA">
        <w:rPr>
          <w:noProof/>
        </w:rPr>
        <w:t> </w:t>
      </w:r>
      <w:r w:rsidR="00503590" w:rsidRPr="00DD1DFA">
        <w:rPr>
          <w:noProof/>
        </w:rPr>
        <w:t>5 ust.</w:t>
      </w:r>
      <w:r w:rsidR="00DD1DFA" w:rsidRPr="00DD1DFA">
        <w:rPr>
          <w:noProof/>
        </w:rPr>
        <w:t> </w:t>
      </w:r>
      <w:r w:rsidR="00503590" w:rsidRPr="00DD1DFA">
        <w:rPr>
          <w:noProof/>
        </w:rPr>
        <w:t>2</w:t>
      </w:r>
      <w:r w:rsidR="00DD1DFA" w:rsidRPr="00DD1DFA">
        <w:rPr>
          <w:noProof/>
        </w:rPr>
        <w:t xml:space="preserve"> i</w:t>
      </w:r>
      <w:r w:rsidR="00DD1DFA">
        <w:rPr>
          <w:noProof/>
        </w:rPr>
        <w:t> </w:t>
      </w:r>
      <w:r w:rsidR="00DD1DFA" w:rsidRPr="00DD1DFA">
        <w:rPr>
          <w:noProof/>
        </w:rPr>
        <w:t>3</w:t>
      </w:r>
      <w:r w:rsidR="00503590" w:rsidRPr="00DD1DFA">
        <w:rPr>
          <w:noProof/>
        </w:rPr>
        <w:t>, art.</w:t>
      </w:r>
      <w:r w:rsidR="00DD1DFA" w:rsidRPr="00DD1DFA">
        <w:rPr>
          <w:noProof/>
        </w:rPr>
        <w:t> </w:t>
      </w:r>
      <w:r w:rsidR="00503590" w:rsidRPr="00DD1DFA">
        <w:rPr>
          <w:noProof/>
        </w:rPr>
        <w:t>6 ust.</w:t>
      </w:r>
      <w:r w:rsidR="00DD1DFA" w:rsidRPr="00DD1DFA">
        <w:rPr>
          <w:noProof/>
        </w:rPr>
        <w:t> </w:t>
      </w:r>
      <w:r w:rsidR="00503590" w:rsidRPr="00DD1DFA">
        <w:rPr>
          <w:noProof/>
        </w:rPr>
        <w:t>1–3, art.</w:t>
      </w:r>
      <w:r w:rsidR="00DD1DFA" w:rsidRPr="00DD1DFA">
        <w:rPr>
          <w:noProof/>
        </w:rPr>
        <w:t> </w:t>
      </w:r>
      <w:r w:rsidR="00503590" w:rsidRPr="00DD1DFA">
        <w:rPr>
          <w:noProof/>
        </w:rPr>
        <w:t>8, art.</w:t>
      </w:r>
      <w:r w:rsidR="00DD1DFA" w:rsidRPr="00DD1DFA">
        <w:rPr>
          <w:noProof/>
        </w:rPr>
        <w:t> </w:t>
      </w:r>
      <w:r w:rsidR="00503590" w:rsidRPr="00DD1DFA">
        <w:rPr>
          <w:noProof/>
        </w:rPr>
        <w:t>11 ust.</w:t>
      </w:r>
      <w:r w:rsidR="00DD1DFA" w:rsidRPr="00DD1DFA">
        <w:rPr>
          <w:noProof/>
        </w:rPr>
        <w:t> </w:t>
      </w:r>
      <w:r w:rsidR="00503590" w:rsidRPr="00DD1DFA">
        <w:rPr>
          <w:noProof/>
        </w:rPr>
        <w:t>3, art.</w:t>
      </w:r>
      <w:r w:rsidR="00DD1DFA" w:rsidRPr="00DD1DFA">
        <w:rPr>
          <w:noProof/>
        </w:rPr>
        <w:t> </w:t>
      </w:r>
      <w:r w:rsidR="00503590" w:rsidRPr="00DD1DFA">
        <w:rPr>
          <w:noProof/>
        </w:rPr>
        <w:t>22 ust.</w:t>
      </w:r>
      <w:r w:rsidR="00DD1DFA" w:rsidRPr="00DD1DFA">
        <w:rPr>
          <w:noProof/>
        </w:rPr>
        <w:t> </w:t>
      </w:r>
      <w:r w:rsidR="00503590" w:rsidRPr="00DD1DFA">
        <w:rPr>
          <w:noProof/>
        </w:rPr>
        <w:t>4</w:t>
      </w:r>
      <w:r w:rsidR="00DD1DFA" w:rsidRPr="00DD1DFA">
        <w:rPr>
          <w:noProof/>
        </w:rPr>
        <w:t xml:space="preserve"> i</w:t>
      </w:r>
      <w:r w:rsidR="00DD1DFA">
        <w:rPr>
          <w:noProof/>
        </w:rPr>
        <w:t> </w:t>
      </w:r>
      <w:r w:rsidR="00DD1DFA" w:rsidRPr="00DD1DFA">
        <w:rPr>
          <w:noProof/>
        </w:rPr>
        <w:t>5</w:t>
      </w:r>
      <w:r w:rsidR="00503590" w:rsidRPr="00DD1DFA">
        <w:rPr>
          <w:noProof/>
        </w:rPr>
        <w:t>, art.</w:t>
      </w:r>
      <w:r w:rsidR="00DD1DFA" w:rsidRPr="00DD1DFA">
        <w:rPr>
          <w:noProof/>
        </w:rPr>
        <w:t> </w:t>
      </w:r>
      <w:r w:rsidR="00503590" w:rsidRPr="00DD1DFA">
        <w:rPr>
          <w:noProof/>
        </w:rPr>
        <w:t>35 ust.</w:t>
      </w:r>
      <w:r w:rsidR="00DD1DFA" w:rsidRPr="00DD1DFA">
        <w:rPr>
          <w:noProof/>
        </w:rPr>
        <w:t> </w:t>
      </w:r>
      <w:r w:rsidR="00503590" w:rsidRPr="00DD1DFA">
        <w:rPr>
          <w:noProof/>
        </w:rPr>
        <w:t>4, art.</w:t>
      </w:r>
      <w:r w:rsidR="00DD1DFA" w:rsidRPr="00DD1DFA">
        <w:rPr>
          <w:noProof/>
        </w:rPr>
        <w:t> </w:t>
      </w:r>
      <w:r w:rsidR="00503590" w:rsidRPr="00DD1DFA">
        <w:rPr>
          <w:noProof/>
        </w:rPr>
        <w:t>44 ust.</w:t>
      </w:r>
      <w:r w:rsidR="00DD1DFA" w:rsidRPr="00DD1DFA">
        <w:rPr>
          <w:noProof/>
        </w:rPr>
        <w:t> </w:t>
      </w:r>
      <w:r w:rsidR="00503590" w:rsidRPr="00DD1DFA">
        <w:rPr>
          <w:noProof/>
        </w:rPr>
        <w:t>1, art.</w:t>
      </w:r>
      <w:r w:rsidR="00DD1DFA" w:rsidRPr="00DD1DFA">
        <w:rPr>
          <w:noProof/>
        </w:rPr>
        <w:t> </w:t>
      </w:r>
      <w:r w:rsidR="00503590" w:rsidRPr="00DD1DFA">
        <w:rPr>
          <w:noProof/>
        </w:rPr>
        <w:t>73 ust.</w:t>
      </w:r>
      <w:r w:rsidR="00DD1DFA" w:rsidRPr="00DD1DFA">
        <w:rPr>
          <w:noProof/>
        </w:rPr>
        <w:t> </w:t>
      </w:r>
      <w:r w:rsidR="00503590" w:rsidRPr="00DD1DFA">
        <w:rPr>
          <w:noProof/>
        </w:rPr>
        <w:t>1</w:t>
      </w:r>
      <w:r w:rsidR="00DD1DFA" w:rsidRPr="00DD1DFA">
        <w:rPr>
          <w:noProof/>
        </w:rPr>
        <w:t xml:space="preserve"> i</w:t>
      </w:r>
      <w:r w:rsidR="00DD1DFA">
        <w:rPr>
          <w:noProof/>
        </w:rPr>
        <w:t> </w:t>
      </w:r>
      <w:r w:rsidR="00DD1DFA" w:rsidRPr="00DD1DFA">
        <w:rPr>
          <w:noProof/>
        </w:rPr>
        <w:t>2</w:t>
      </w:r>
      <w:r w:rsidR="00503590" w:rsidRPr="00DD1DFA">
        <w:rPr>
          <w:noProof/>
        </w:rPr>
        <w:t>, art.</w:t>
      </w:r>
      <w:r w:rsidR="00DD1DFA" w:rsidRPr="00DD1DFA">
        <w:rPr>
          <w:noProof/>
        </w:rPr>
        <w:t> </w:t>
      </w:r>
      <w:r w:rsidR="00503590" w:rsidRPr="00DD1DFA">
        <w:rPr>
          <w:noProof/>
        </w:rPr>
        <w:t>78 ust.</w:t>
      </w:r>
      <w:r w:rsidR="00DD1DFA" w:rsidRPr="00DD1DFA">
        <w:rPr>
          <w:noProof/>
        </w:rPr>
        <w:t> </w:t>
      </w:r>
      <w:r w:rsidR="00503590" w:rsidRPr="00DD1DFA">
        <w:rPr>
          <w:noProof/>
        </w:rPr>
        <w:t>1, art.</w:t>
      </w:r>
      <w:r w:rsidR="00DD1DFA" w:rsidRPr="00DD1DFA">
        <w:rPr>
          <w:noProof/>
        </w:rPr>
        <w:t> </w:t>
      </w:r>
      <w:r w:rsidR="00503590" w:rsidRPr="00DD1DFA">
        <w:rPr>
          <w:noProof/>
        </w:rPr>
        <w:t>84 ust.</w:t>
      </w:r>
      <w:r w:rsidR="00DD1DFA" w:rsidRPr="00DD1DFA">
        <w:rPr>
          <w:noProof/>
        </w:rPr>
        <w:t> </w:t>
      </w:r>
      <w:r w:rsidR="00503590" w:rsidRPr="00DD1DFA">
        <w:rPr>
          <w:noProof/>
        </w:rPr>
        <w:t>1</w:t>
      </w:r>
      <w:r w:rsidR="00DD1DFA" w:rsidRPr="00DD1DFA">
        <w:rPr>
          <w:noProof/>
        </w:rPr>
        <w:t xml:space="preserve"> i</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90 ust.</w:t>
      </w:r>
      <w:r w:rsidR="00DD1DFA" w:rsidRPr="00DD1DFA">
        <w:rPr>
          <w:noProof/>
        </w:rPr>
        <w:t> </w:t>
      </w:r>
      <w:r w:rsidR="00503590" w:rsidRPr="00DD1DFA">
        <w:rPr>
          <w:noProof/>
        </w:rPr>
        <w:t>4</w:t>
      </w:r>
      <w:r w:rsidR="00503590" w:rsidRPr="00DD1DFA">
        <w:rPr>
          <w:noProof/>
          <w:color w:val="000000"/>
        </w:rPr>
        <w:t xml:space="preserve"> może zostać</w:t>
      </w:r>
      <w:r w:rsidR="00DD1DFA" w:rsidRPr="00DD1DFA">
        <w:rPr>
          <w:noProof/>
          <w:color w:val="000000"/>
        </w:rPr>
        <w:t xml:space="preserve"> w</w:t>
      </w:r>
      <w:r w:rsidR="00DD1DFA">
        <w:rPr>
          <w:noProof/>
          <w:color w:val="000000"/>
        </w:rPr>
        <w:t> </w:t>
      </w:r>
      <w:r w:rsidR="00DD1DFA" w:rsidRPr="00DD1DFA">
        <w:rPr>
          <w:noProof/>
          <w:color w:val="000000"/>
        </w:rPr>
        <w:t>dow</w:t>
      </w:r>
      <w:r w:rsidR="00503590" w:rsidRPr="00DD1DFA">
        <w:rPr>
          <w:noProof/>
          <w:color w:val="000000"/>
        </w:rPr>
        <w:t>olnym momencie odwołane przez Parlament Europejski lub przez Radę. Decyzja</w:t>
      </w:r>
      <w:r w:rsidR="00DD1DFA" w:rsidRPr="00DD1DFA">
        <w:rPr>
          <w:noProof/>
          <w:color w:val="000000"/>
        </w:rPr>
        <w:t xml:space="preserve"> o</w:t>
      </w:r>
      <w:r w:rsidR="00DD1DFA">
        <w:rPr>
          <w:noProof/>
          <w:color w:val="000000"/>
        </w:rPr>
        <w:t> </w:t>
      </w:r>
      <w:r w:rsidR="00DD1DFA" w:rsidRPr="00DD1DFA">
        <w:rPr>
          <w:noProof/>
          <w:color w:val="000000"/>
        </w:rPr>
        <w:t>odw</w:t>
      </w:r>
      <w:r w:rsidR="00503590" w:rsidRPr="00DD1DFA">
        <w:rPr>
          <w:noProof/>
          <w:color w:val="000000"/>
        </w:rPr>
        <w:t>ołaniu kończy przekazanie określonych</w:t>
      </w:r>
      <w:r w:rsidR="00DD1DFA" w:rsidRPr="00DD1DFA">
        <w:rPr>
          <w:noProof/>
          <w:color w:val="000000"/>
        </w:rPr>
        <w:t xml:space="preserve"> w</w:t>
      </w:r>
      <w:r w:rsidR="00DD1DFA">
        <w:rPr>
          <w:noProof/>
          <w:color w:val="000000"/>
        </w:rPr>
        <w:t> </w:t>
      </w:r>
      <w:r w:rsidR="00DD1DFA" w:rsidRPr="00DD1DFA">
        <w:rPr>
          <w:noProof/>
          <w:color w:val="000000"/>
        </w:rPr>
        <w:t>nie</w:t>
      </w:r>
      <w:r w:rsidR="00503590" w:rsidRPr="00DD1DFA">
        <w:rPr>
          <w:noProof/>
          <w:color w:val="000000"/>
        </w:rPr>
        <w:t>j uprawnień. Decyzja</w:t>
      </w:r>
      <w:r w:rsidR="00DD1DFA" w:rsidRPr="00DD1DFA">
        <w:rPr>
          <w:noProof/>
          <w:color w:val="000000"/>
        </w:rPr>
        <w:t xml:space="preserve"> o</w:t>
      </w:r>
      <w:r w:rsidR="00DD1DFA">
        <w:rPr>
          <w:noProof/>
          <w:color w:val="000000"/>
        </w:rPr>
        <w:t> </w:t>
      </w:r>
      <w:r w:rsidR="00DD1DFA" w:rsidRPr="00DD1DFA">
        <w:rPr>
          <w:noProof/>
          <w:color w:val="000000"/>
        </w:rPr>
        <w:t>odw</w:t>
      </w:r>
      <w:r w:rsidR="00503590" w:rsidRPr="00DD1DFA">
        <w:rPr>
          <w:noProof/>
          <w:color w:val="000000"/>
        </w:rPr>
        <w:t>ołaniu staje się skuteczna od następnego dnia po jej opublikowaniu</w:t>
      </w:r>
      <w:r w:rsidR="00DD1DFA" w:rsidRPr="00DD1DFA">
        <w:rPr>
          <w:noProof/>
          <w:color w:val="000000"/>
        </w:rPr>
        <w:t xml:space="preserve"> w</w:t>
      </w:r>
      <w:r w:rsidR="00DD1DFA">
        <w:rPr>
          <w:noProof/>
          <w:color w:val="000000"/>
        </w:rPr>
        <w:t> </w:t>
      </w:r>
      <w:r w:rsidR="00DD1DFA" w:rsidRPr="00DD1DFA">
        <w:rPr>
          <w:i/>
          <w:iCs/>
          <w:noProof/>
          <w:color w:val="000000"/>
        </w:rPr>
        <w:t>Dzi</w:t>
      </w:r>
      <w:r w:rsidR="00503590" w:rsidRPr="00DD1DFA">
        <w:rPr>
          <w:i/>
          <w:iCs/>
          <w:noProof/>
          <w:color w:val="000000"/>
        </w:rPr>
        <w:t>enniku Urzędowym Unii Europejskiej</w:t>
      </w:r>
      <w:r w:rsidR="00503590" w:rsidRPr="00DD1DFA">
        <w:rPr>
          <w:noProof/>
          <w:color w:val="000000"/>
        </w:rPr>
        <w:t xml:space="preserve"> lub</w:t>
      </w:r>
      <w:r w:rsidR="00DD1DFA" w:rsidRPr="00DD1DFA">
        <w:rPr>
          <w:noProof/>
          <w:color w:val="000000"/>
        </w:rPr>
        <w:t xml:space="preserve"> w</w:t>
      </w:r>
      <w:r w:rsidR="00DD1DFA">
        <w:rPr>
          <w:noProof/>
          <w:color w:val="000000"/>
        </w:rPr>
        <w:t> </w:t>
      </w:r>
      <w:r w:rsidR="00DD1DFA" w:rsidRPr="00DD1DFA">
        <w:rPr>
          <w:noProof/>
          <w:color w:val="000000"/>
        </w:rPr>
        <w:t>okr</w:t>
      </w:r>
      <w:r w:rsidR="00503590" w:rsidRPr="00DD1DFA">
        <w:rPr>
          <w:noProof/>
          <w:color w:val="000000"/>
        </w:rPr>
        <w:t>eślonym</w:t>
      </w:r>
      <w:r w:rsidR="00DD1DFA" w:rsidRPr="00DD1DFA">
        <w:rPr>
          <w:noProof/>
          <w:color w:val="000000"/>
        </w:rPr>
        <w:t xml:space="preserve"> w</w:t>
      </w:r>
      <w:r w:rsidR="00DD1DFA">
        <w:rPr>
          <w:noProof/>
          <w:color w:val="000000"/>
        </w:rPr>
        <w:t> </w:t>
      </w:r>
      <w:r w:rsidR="00DD1DFA" w:rsidRPr="00DD1DFA">
        <w:rPr>
          <w:noProof/>
          <w:color w:val="000000"/>
        </w:rPr>
        <w:t>tej</w:t>
      </w:r>
      <w:r w:rsidR="00503590" w:rsidRPr="00DD1DFA">
        <w:rPr>
          <w:noProof/>
          <w:color w:val="000000"/>
        </w:rPr>
        <w:t xml:space="preserve"> decyzji późniejszym terminie. Nie wpływa ona na ważność już obowiązujących aktów delegowanych.</w:t>
      </w:r>
    </w:p>
    <w:p w14:paraId="1F9B97B0" w14:textId="5667404A" w:rsidR="00503590" w:rsidRPr="00DD1DFA" w:rsidRDefault="005F7EFA" w:rsidP="005F7EFA">
      <w:pPr>
        <w:pStyle w:val="ManualNumPar1"/>
        <w:rPr>
          <w:noProof/>
        </w:rPr>
      </w:pPr>
      <w:r w:rsidRPr="005F7EFA">
        <w:t>5.</w:t>
      </w:r>
      <w:r w:rsidRPr="005F7EFA">
        <w:tab/>
      </w:r>
      <w:r w:rsidR="00503590" w:rsidRPr="00DD1DFA">
        <w:rPr>
          <w:noProof/>
        </w:rPr>
        <w:t>Niezwłocznie po przyjęciu aktu delegowanego Komisja przekazuje go równocześnie Parlamentowi Europejskiemu</w:t>
      </w:r>
      <w:r w:rsidR="00DD1DFA" w:rsidRPr="00DD1DFA">
        <w:rPr>
          <w:noProof/>
        </w:rPr>
        <w:t xml:space="preserve"> i</w:t>
      </w:r>
      <w:r w:rsidR="00DD1DFA">
        <w:rPr>
          <w:noProof/>
        </w:rPr>
        <w:t> </w:t>
      </w:r>
      <w:r w:rsidR="00DD1DFA" w:rsidRPr="00DD1DFA">
        <w:rPr>
          <w:noProof/>
        </w:rPr>
        <w:t>Rad</w:t>
      </w:r>
      <w:r w:rsidR="00503590" w:rsidRPr="00DD1DFA">
        <w:rPr>
          <w:noProof/>
        </w:rPr>
        <w:t xml:space="preserve">zie. </w:t>
      </w:r>
    </w:p>
    <w:p w14:paraId="2F170545" w14:textId="2B938BCF" w:rsidR="00F13919" w:rsidRPr="00DD1DFA" w:rsidRDefault="005F7EFA" w:rsidP="005F7EFA">
      <w:pPr>
        <w:pStyle w:val="ManualNumPar1"/>
        <w:rPr>
          <w:rFonts w:eastAsia="Times New Roman"/>
          <w:noProof/>
          <w:color w:val="000000"/>
          <w:szCs w:val="24"/>
        </w:rPr>
      </w:pPr>
      <w:r w:rsidRPr="005F7EFA">
        <w:t>6.</w:t>
      </w:r>
      <w:r w:rsidRPr="005F7EFA">
        <w:tab/>
      </w:r>
      <w:r w:rsidR="00503590" w:rsidRPr="00DD1DFA">
        <w:rPr>
          <w:noProof/>
          <w:color w:val="000000"/>
        </w:rPr>
        <w:t xml:space="preserve">Akt delegowany przyjęty na podstawie </w:t>
      </w:r>
      <w:r w:rsidR="00503590" w:rsidRPr="00DD1DFA">
        <w:rPr>
          <w:noProof/>
        </w:rPr>
        <w:t>art.</w:t>
      </w:r>
      <w:r w:rsidR="00DD1DFA" w:rsidRPr="00DD1DFA">
        <w:rPr>
          <w:noProof/>
        </w:rPr>
        <w:t> </w:t>
      </w:r>
      <w:r w:rsidR="00503590" w:rsidRPr="00DD1DFA">
        <w:rPr>
          <w:noProof/>
        </w:rPr>
        <w:t>4 ust.</w:t>
      </w:r>
      <w:r w:rsidR="00DD1DFA" w:rsidRPr="00DD1DFA">
        <w:rPr>
          <w:noProof/>
        </w:rPr>
        <w:t> </w:t>
      </w:r>
      <w:r w:rsidR="00503590" w:rsidRPr="00DD1DFA">
        <w:rPr>
          <w:noProof/>
        </w:rPr>
        <w:t>3, 4</w:t>
      </w:r>
      <w:r w:rsidR="00DD1DFA" w:rsidRPr="00DD1DFA">
        <w:rPr>
          <w:noProof/>
        </w:rPr>
        <w:t xml:space="preserve"> i</w:t>
      </w:r>
      <w:r w:rsidR="00DD1DFA">
        <w:rPr>
          <w:noProof/>
        </w:rPr>
        <w:t> </w:t>
      </w:r>
      <w:r w:rsidR="00DD1DFA" w:rsidRPr="00DD1DFA">
        <w:rPr>
          <w:noProof/>
        </w:rPr>
        <w:t>5</w:t>
      </w:r>
      <w:r w:rsidR="00503590" w:rsidRPr="00DD1DFA">
        <w:rPr>
          <w:noProof/>
        </w:rPr>
        <w:t>, art.</w:t>
      </w:r>
      <w:r w:rsidR="00DD1DFA" w:rsidRPr="00DD1DFA">
        <w:rPr>
          <w:noProof/>
        </w:rPr>
        <w:t> </w:t>
      </w:r>
      <w:r w:rsidR="00503590" w:rsidRPr="00DD1DFA">
        <w:rPr>
          <w:noProof/>
        </w:rPr>
        <w:t>5 ust.</w:t>
      </w:r>
      <w:r w:rsidR="00DD1DFA" w:rsidRPr="00DD1DFA">
        <w:rPr>
          <w:noProof/>
        </w:rPr>
        <w:t> </w:t>
      </w:r>
      <w:r w:rsidR="00503590" w:rsidRPr="00DD1DFA">
        <w:rPr>
          <w:noProof/>
        </w:rPr>
        <w:t>2</w:t>
      </w:r>
      <w:r w:rsidR="00DD1DFA" w:rsidRPr="00DD1DFA">
        <w:rPr>
          <w:noProof/>
        </w:rPr>
        <w:t xml:space="preserve"> i</w:t>
      </w:r>
      <w:r w:rsidR="00DD1DFA">
        <w:rPr>
          <w:noProof/>
        </w:rPr>
        <w:t> </w:t>
      </w:r>
      <w:r w:rsidR="00DD1DFA" w:rsidRPr="00DD1DFA">
        <w:rPr>
          <w:noProof/>
        </w:rPr>
        <w:t>3</w:t>
      </w:r>
      <w:r w:rsidR="00503590" w:rsidRPr="00DD1DFA">
        <w:rPr>
          <w:noProof/>
        </w:rPr>
        <w:t>, art.</w:t>
      </w:r>
      <w:r w:rsidR="00DD1DFA" w:rsidRPr="00DD1DFA">
        <w:rPr>
          <w:noProof/>
        </w:rPr>
        <w:t> </w:t>
      </w:r>
      <w:r w:rsidR="00503590" w:rsidRPr="00DD1DFA">
        <w:rPr>
          <w:noProof/>
        </w:rPr>
        <w:t>6 ust.</w:t>
      </w:r>
      <w:r w:rsidR="00DD1DFA" w:rsidRPr="00DD1DFA">
        <w:rPr>
          <w:noProof/>
        </w:rPr>
        <w:t> </w:t>
      </w:r>
      <w:r w:rsidR="00503590" w:rsidRPr="00DD1DFA">
        <w:rPr>
          <w:noProof/>
        </w:rPr>
        <w:t>1–3, art.</w:t>
      </w:r>
      <w:r w:rsidR="00DD1DFA" w:rsidRPr="00DD1DFA">
        <w:rPr>
          <w:noProof/>
        </w:rPr>
        <w:t> </w:t>
      </w:r>
      <w:r w:rsidR="00503590" w:rsidRPr="00DD1DFA">
        <w:rPr>
          <w:noProof/>
        </w:rPr>
        <w:t>8, art.</w:t>
      </w:r>
      <w:r w:rsidR="00DD1DFA" w:rsidRPr="00DD1DFA">
        <w:rPr>
          <w:noProof/>
        </w:rPr>
        <w:t> </w:t>
      </w:r>
      <w:r w:rsidR="00503590" w:rsidRPr="00DD1DFA">
        <w:rPr>
          <w:noProof/>
        </w:rPr>
        <w:t>11 ust.</w:t>
      </w:r>
      <w:r w:rsidR="00DD1DFA" w:rsidRPr="00DD1DFA">
        <w:rPr>
          <w:noProof/>
        </w:rPr>
        <w:t> </w:t>
      </w:r>
      <w:r w:rsidR="00503590" w:rsidRPr="00DD1DFA">
        <w:rPr>
          <w:noProof/>
        </w:rPr>
        <w:t>3, art.</w:t>
      </w:r>
      <w:r w:rsidR="00DD1DFA" w:rsidRPr="00DD1DFA">
        <w:rPr>
          <w:noProof/>
        </w:rPr>
        <w:t> </w:t>
      </w:r>
      <w:r w:rsidR="00503590" w:rsidRPr="00DD1DFA">
        <w:rPr>
          <w:noProof/>
        </w:rPr>
        <w:t>22 ust.</w:t>
      </w:r>
      <w:r w:rsidR="00DD1DFA" w:rsidRPr="00DD1DFA">
        <w:rPr>
          <w:noProof/>
        </w:rPr>
        <w:t> </w:t>
      </w:r>
      <w:r w:rsidR="00503590" w:rsidRPr="00DD1DFA">
        <w:rPr>
          <w:noProof/>
        </w:rPr>
        <w:t>4</w:t>
      </w:r>
      <w:r w:rsidR="00DD1DFA" w:rsidRPr="00DD1DFA">
        <w:rPr>
          <w:noProof/>
        </w:rPr>
        <w:t xml:space="preserve"> i</w:t>
      </w:r>
      <w:r w:rsidR="00DD1DFA">
        <w:rPr>
          <w:noProof/>
        </w:rPr>
        <w:t> </w:t>
      </w:r>
      <w:r w:rsidR="00DD1DFA" w:rsidRPr="00DD1DFA">
        <w:rPr>
          <w:noProof/>
        </w:rPr>
        <w:t>5</w:t>
      </w:r>
      <w:r w:rsidR="00503590" w:rsidRPr="00DD1DFA">
        <w:rPr>
          <w:noProof/>
        </w:rPr>
        <w:t>, art.</w:t>
      </w:r>
      <w:r w:rsidR="00DD1DFA" w:rsidRPr="00DD1DFA">
        <w:rPr>
          <w:noProof/>
        </w:rPr>
        <w:t> </w:t>
      </w:r>
      <w:r w:rsidR="00503590" w:rsidRPr="00DD1DFA">
        <w:rPr>
          <w:noProof/>
        </w:rPr>
        <w:t>35 ust.</w:t>
      </w:r>
      <w:r w:rsidR="00DD1DFA" w:rsidRPr="00DD1DFA">
        <w:rPr>
          <w:noProof/>
        </w:rPr>
        <w:t> </w:t>
      </w:r>
      <w:r w:rsidR="00503590" w:rsidRPr="00DD1DFA">
        <w:rPr>
          <w:noProof/>
        </w:rPr>
        <w:t>4, art.</w:t>
      </w:r>
      <w:r w:rsidR="00DD1DFA" w:rsidRPr="00DD1DFA">
        <w:rPr>
          <w:noProof/>
        </w:rPr>
        <w:t> </w:t>
      </w:r>
      <w:r w:rsidR="00503590" w:rsidRPr="00DD1DFA">
        <w:rPr>
          <w:noProof/>
        </w:rPr>
        <w:t>44 ust.</w:t>
      </w:r>
      <w:r w:rsidR="00DD1DFA" w:rsidRPr="00DD1DFA">
        <w:rPr>
          <w:noProof/>
        </w:rPr>
        <w:t> </w:t>
      </w:r>
      <w:r w:rsidR="00503590" w:rsidRPr="00DD1DFA">
        <w:rPr>
          <w:noProof/>
        </w:rPr>
        <w:t>1, art.</w:t>
      </w:r>
      <w:r w:rsidR="00DD1DFA" w:rsidRPr="00DD1DFA">
        <w:rPr>
          <w:noProof/>
        </w:rPr>
        <w:t> </w:t>
      </w:r>
      <w:r w:rsidR="00503590" w:rsidRPr="00DD1DFA">
        <w:rPr>
          <w:noProof/>
        </w:rPr>
        <w:t>73 ust.</w:t>
      </w:r>
      <w:r w:rsidR="00DD1DFA" w:rsidRPr="00DD1DFA">
        <w:rPr>
          <w:noProof/>
        </w:rPr>
        <w:t> </w:t>
      </w:r>
      <w:r w:rsidR="00503590" w:rsidRPr="00DD1DFA">
        <w:rPr>
          <w:noProof/>
        </w:rPr>
        <w:t>1</w:t>
      </w:r>
      <w:r w:rsidR="00DD1DFA" w:rsidRPr="00DD1DFA">
        <w:rPr>
          <w:noProof/>
        </w:rPr>
        <w:t xml:space="preserve"> i</w:t>
      </w:r>
      <w:r w:rsidR="00DD1DFA">
        <w:rPr>
          <w:noProof/>
        </w:rPr>
        <w:t> </w:t>
      </w:r>
      <w:r w:rsidR="00DD1DFA" w:rsidRPr="00DD1DFA">
        <w:rPr>
          <w:noProof/>
        </w:rPr>
        <w:t>2</w:t>
      </w:r>
      <w:r w:rsidR="00503590" w:rsidRPr="00DD1DFA">
        <w:rPr>
          <w:noProof/>
        </w:rPr>
        <w:t>, art.</w:t>
      </w:r>
      <w:r w:rsidR="00DD1DFA" w:rsidRPr="00DD1DFA">
        <w:rPr>
          <w:noProof/>
        </w:rPr>
        <w:t> </w:t>
      </w:r>
      <w:r w:rsidR="00503590" w:rsidRPr="00DD1DFA">
        <w:rPr>
          <w:noProof/>
        </w:rPr>
        <w:t>78 ust.</w:t>
      </w:r>
      <w:r w:rsidR="00DD1DFA" w:rsidRPr="00DD1DFA">
        <w:rPr>
          <w:noProof/>
        </w:rPr>
        <w:t> </w:t>
      </w:r>
      <w:r w:rsidR="00503590" w:rsidRPr="00DD1DFA">
        <w:rPr>
          <w:noProof/>
        </w:rPr>
        <w:t>1, art.</w:t>
      </w:r>
      <w:r w:rsidR="00DD1DFA" w:rsidRPr="00DD1DFA">
        <w:rPr>
          <w:noProof/>
        </w:rPr>
        <w:t> </w:t>
      </w:r>
      <w:r w:rsidR="00503590" w:rsidRPr="00DD1DFA">
        <w:rPr>
          <w:noProof/>
        </w:rPr>
        <w:t>84 ust.</w:t>
      </w:r>
      <w:r w:rsidR="00DD1DFA" w:rsidRPr="00DD1DFA">
        <w:rPr>
          <w:noProof/>
        </w:rPr>
        <w:t> </w:t>
      </w:r>
      <w:r w:rsidR="00503590" w:rsidRPr="00DD1DFA">
        <w:rPr>
          <w:noProof/>
        </w:rPr>
        <w:t>1</w:t>
      </w:r>
      <w:r w:rsidR="00DD1DFA" w:rsidRPr="00DD1DFA">
        <w:rPr>
          <w:noProof/>
        </w:rPr>
        <w:t xml:space="preserve"> i</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90 ust.</w:t>
      </w:r>
      <w:r w:rsidR="00DD1DFA" w:rsidRPr="00DD1DFA">
        <w:rPr>
          <w:noProof/>
        </w:rPr>
        <w:t> </w:t>
      </w:r>
      <w:r w:rsidR="00503590" w:rsidRPr="00DD1DFA">
        <w:rPr>
          <w:noProof/>
        </w:rPr>
        <w:t>4</w:t>
      </w:r>
      <w:r w:rsidR="00503590" w:rsidRPr="00DD1DFA">
        <w:rPr>
          <w:noProof/>
          <w:color w:val="000000"/>
        </w:rPr>
        <w:t xml:space="preserve"> wchodzi</w:t>
      </w:r>
      <w:r w:rsidR="00DD1DFA" w:rsidRPr="00DD1DFA">
        <w:rPr>
          <w:noProof/>
          <w:color w:val="000000"/>
        </w:rPr>
        <w:t xml:space="preserve"> w</w:t>
      </w:r>
      <w:r w:rsidR="00DD1DFA">
        <w:rPr>
          <w:noProof/>
          <w:color w:val="000000"/>
        </w:rPr>
        <w:t> </w:t>
      </w:r>
      <w:r w:rsidR="00DD1DFA" w:rsidRPr="00DD1DFA">
        <w:rPr>
          <w:noProof/>
          <w:color w:val="000000"/>
        </w:rPr>
        <w:t>życ</w:t>
      </w:r>
      <w:r w:rsidR="00503590" w:rsidRPr="00DD1DFA">
        <w:rPr>
          <w:noProof/>
          <w:color w:val="000000"/>
        </w:rPr>
        <w:t>ie tylko wówczas, gdy ani Parlament Europejski ani Rada nie wyraziły sprzeciwu</w:t>
      </w:r>
      <w:r w:rsidR="00DD1DFA" w:rsidRPr="00DD1DFA">
        <w:rPr>
          <w:noProof/>
          <w:color w:val="000000"/>
        </w:rPr>
        <w:t xml:space="preserve"> w</w:t>
      </w:r>
      <w:r w:rsidR="00DD1DFA">
        <w:rPr>
          <w:noProof/>
          <w:color w:val="000000"/>
        </w:rPr>
        <w:t> </w:t>
      </w:r>
      <w:r w:rsidR="00DD1DFA" w:rsidRPr="00DD1DFA">
        <w:rPr>
          <w:noProof/>
          <w:color w:val="000000"/>
        </w:rPr>
        <w:t>ter</w:t>
      </w:r>
      <w:r w:rsidR="00503590" w:rsidRPr="00DD1DFA">
        <w:rPr>
          <w:noProof/>
          <w:color w:val="000000"/>
        </w:rPr>
        <w:t>minie dwóch miesięcy od przekazania tego aktu Parlamentowi Europejskiemu</w:t>
      </w:r>
      <w:r w:rsidR="00DD1DFA" w:rsidRPr="00DD1DFA">
        <w:rPr>
          <w:noProof/>
          <w:color w:val="000000"/>
        </w:rPr>
        <w:t xml:space="preserve"> i</w:t>
      </w:r>
      <w:r w:rsidR="00DD1DFA">
        <w:rPr>
          <w:noProof/>
          <w:color w:val="000000"/>
        </w:rPr>
        <w:t> </w:t>
      </w:r>
      <w:r w:rsidR="00DD1DFA" w:rsidRPr="00DD1DFA">
        <w:rPr>
          <w:noProof/>
          <w:color w:val="000000"/>
        </w:rPr>
        <w:t>Rad</w:t>
      </w:r>
      <w:r w:rsidR="00503590" w:rsidRPr="00DD1DFA">
        <w:rPr>
          <w:noProof/>
          <w:color w:val="000000"/>
        </w:rPr>
        <w:t>zie lub gdy, przed upływem tego terminu, zarówno Parlament Europejski, jak</w:t>
      </w:r>
      <w:r w:rsidR="00DD1DFA" w:rsidRPr="00DD1DFA">
        <w:rPr>
          <w:noProof/>
          <w:color w:val="000000"/>
        </w:rPr>
        <w:t xml:space="preserve"> i</w:t>
      </w:r>
      <w:r w:rsidR="00DD1DFA">
        <w:rPr>
          <w:noProof/>
          <w:color w:val="000000"/>
        </w:rPr>
        <w:t> </w:t>
      </w:r>
      <w:r w:rsidR="00DD1DFA" w:rsidRPr="00DD1DFA">
        <w:rPr>
          <w:noProof/>
          <w:color w:val="000000"/>
        </w:rPr>
        <w:t>Rad</w:t>
      </w:r>
      <w:r w:rsidR="00503590" w:rsidRPr="00DD1DFA">
        <w:rPr>
          <w:noProof/>
          <w:color w:val="000000"/>
        </w:rPr>
        <w:t>a poinformowały Komisję, że nie wniosą sprzeciwu. Termin ten przedłuża się</w:t>
      </w:r>
      <w:r w:rsidR="00DD1DFA" w:rsidRPr="00DD1DFA">
        <w:rPr>
          <w:noProof/>
          <w:color w:val="000000"/>
        </w:rPr>
        <w:t xml:space="preserve"> o</w:t>
      </w:r>
      <w:r w:rsidR="00DD1DFA">
        <w:rPr>
          <w:noProof/>
          <w:color w:val="000000"/>
        </w:rPr>
        <w:t> </w:t>
      </w:r>
      <w:r w:rsidR="00DD1DFA" w:rsidRPr="00DD1DFA">
        <w:rPr>
          <w:noProof/>
          <w:color w:val="000000"/>
        </w:rPr>
        <w:t>dwa</w:t>
      </w:r>
      <w:r w:rsidR="00503590" w:rsidRPr="00DD1DFA">
        <w:rPr>
          <w:noProof/>
          <w:color w:val="000000"/>
        </w:rPr>
        <w:t xml:space="preserve"> miesiące</w:t>
      </w:r>
      <w:r w:rsidR="00DD1DFA" w:rsidRPr="00DD1DFA">
        <w:rPr>
          <w:noProof/>
          <w:color w:val="000000"/>
        </w:rPr>
        <w:t xml:space="preserve"> z</w:t>
      </w:r>
      <w:r w:rsidR="00DD1DFA">
        <w:rPr>
          <w:noProof/>
          <w:color w:val="000000"/>
        </w:rPr>
        <w:t> </w:t>
      </w:r>
      <w:r w:rsidR="00DD1DFA" w:rsidRPr="00DD1DFA">
        <w:rPr>
          <w:noProof/>
          <w:color w:val="000000"/>
        </w:rPr>
        <w:t>ini</w:t>
      </w:r>
      <w:r w:rsidR="00503590" w:rsidRPr="00DD1DFA">
        <w:rPr>
          <w:noProof/>
          <w:color w:val="000000"/>
        </w:rPr>
        <w:t>cjatywy Parlamentu Europejskiego lub Rady.</w:t>
      </w:r>
    </w:p>
    <w:p w14:paraId="2131E2BD" w14:textId="1CDCA215" w:rsidR="00B71DFF" w:rsidRPr="00DD1DFA" w:rsidRDefault="00696104" w:rsidP="00C60A49">
      <w:pPr>
        <w:pStyle w:val="Titrearticle"/>
        <w:rPr>
          <w:noProof/>
        </w:rPr>
      </w:pPr>
      <w:r w:rsidRPr="00DD1DFA">
        <w:rPr>
          <w:noProof/>
        </w:rPr>
        <w:t>Artykuł 88</w:t>
      </w:r>
    </w:p>
    <w:p w14:paraId="11D428C1" w14:textId="77777777" w:rsidR="00F13919" w:rsidRPr="00DD1DFA" w:rsidRDefault="00F13919" w:rsidP="00C60A49">
      <w:pPr>
        <w:pStyle w:val="Titrearticle"/>
        <w:rPr>
          <w:b/>
          <w:bCs/>
          <w:noProof/>
        </w:rPr>
      </w:pPr>
      <w:r w:rsidRPr="00DD1DFA">
        <w:rPr>
          <w:b/>
          <w:bCs/>
          <w:noProof/>
        </w:rPr>
        <w:t>Komitet</w:t>
      </w:r>
    </w:p>
    <w:p w14:paraId="132C4184" w14:textId="5C545D7E" w:rsidR="00503590" w:rsidRPr="00DD1DFA" w:rsidRDefault="005F7EFA" w:rsidP="005F7EFA">
      <w:pPr>
        <w:pStyle w:val="ManualNumPar1"/>
        <w:rPr>
          <w:noProof/>
        </w:rPr>
      </w:pPr>
      <w:r w:rsidRPr="005F7EFA">
        <w:t>1.</w:t>
      </w:r>
      <w:r w:rsidRPr="005F7EFA">
        <w:tab/>
      </w:r>
      <w:r w:rsidR="00503590" w:rsidRPr="00DD1DFA">
        <w:rPr>
          <w:noProof/>
        </w:rPr>
        <w:t>Komisję wspomaga Komitet ds. Wyrobów Budowlanych. Komitet ten jest komitetem</w:t>
      </w:r>
      <w:r w:rsidR="00DD1DFA" w:rsidRPr="00DD1DFA">
        <w:rPr>
          <w:noProof/>
        </w:rPr>
        <w:t xml:space="preserve"> w</w:t>
      </w:r>
      <w:r w:rsidR="00DD1DFA">
        <w:rPr>
          <w:noProof/>
        </w:rPr>
        <w:t> </w:t>
      </w:r>
      <w:r w:rsidR="00DD1DFA" w:rsidRPr="00DD1DFA">
        <w:rPr>
          <w:noProof/>
        </w:rPr>
        <w:t>roz</w:t>
      </w:r>
      <w:r w:rsidR="00503590" w:rsidRPr="00DD1DFA">
        <w:rPr>
          <w:noProof/>
        </w:rPr>
        <w:t>umieniu rozporządzenia (UE) nr</w:t>
      </w:r>
      <w:r w:rsidR="00DD1DFA" w:rsidRPr="00DD1DFA">
        <w:rPr>
          <w:noProof/>
        </w:rPr>
        <w:t> </w:t>
      </w:r>
      <w:r w:rsidR="00503590" w:rsidRPr="00DD1DFA">
        <w:rPr>
          <w:noProof/>
        </w:rPr>
        <w:t>182/2011</w:t>
      </w:r>
      <w:r w:rsidR="00DD1DFA" w:rsidRPr="00DD1DFA">
        <w:rPr>
          <w:noProof/>
        </w:rPr>
        <w:t>. W</w:t>
      </w:r>
      <w:r w:rsidR="00DD1DFA">
        <w:rPr>
          <w:noProof/>
        </w:rPr>
        <w:t> </w:t>
      </w:r>
      <w:r w:rsidR="00DD1DFA" w:rsidRPr="00DD1DFA">
        <w:rPr>
          <w:noProof/>
        </w:rPr>
        <w:t>prz</w:t>
      </w:r>
      <w:r w:rsidR="00503590" w:rsidRPr="00DD1DFA">
        <w:rPr>
          <w:noProof/>
        </w:rPr>
        <w:t>ypadku odesłania do niniejszego ustępu stosuje się art.</w:t>
      </w:r>
      <w:r w:rsidR="00DD1DFA" w:rsidRPr="00DD1DFA">
        <w:rPr>
          <w:noProof/>
        </w:rPr>
        <w:t> </w:t>
      </w:r>
      <w:r w:rsidR="00503590" w:rsidRPr="00DD1DFA">
        <w:rPr>
          <w:noProof/>
        </w:rPr>
        <w:t>4 rozporządzenia (UE) nr</w:t>
      </w:r>
      <w:r w:rsidR="00DD1DFA" w:rsidRPr="00DD1DFA">
        <w:rPr>
          <w:noProof/>
        </w:rPr>
        <w:t> </w:t>
      </w:r>
      <w:r w:rsidR="00503590" w:rsidRPr="00DD1DFA">
        <w:rPr>
          <w:noProof/>
        </w:rPr>
        <w:t>182/2011 (procedura doradcza).</w:t>
      </w:r>
    </w:p>
    <w:p w14:paraId="23DA30C8" w14:textId="39751932" w:rsidR="00503590" w:rsidRPr="00DD1DFA" w:rsidRDefault="005F7EFA" w:rsidP="005F7EFA">
      <w:pPr>
        <w:pStyle w:val="ManualNumPar1"/>
        <w:rPr>
          <w:noProof/>
        </w:rPr>
      </w:pPr>
      <w:r w:rsidRPr="005F7EFA">
        <w:t>2.</w:t>
      </w:r>
      <w:r w:rsidRPr="005F7EFA">
        <w:tab/>
      </w:r>
      <w:r w:rsidR="00503590" w:rsidRPr="00DD1DFA">
        <w:rPr>
          <w:noProof/>
        </w:rPr>
        <w:t>W przypadku odesłania do niniejszego ustępu stosuje się art.</w:t>
      </w:r>
      <w:r w:rsidR="00DD1DFA" w:rsidRPr="00DD1DFA">
        <w:rPr>
          <w:noProof/>
        </w:rPr>
        <w:t> </w:t>
      </w:r>
      <w:r w:rsidR="00503590" w:rsidRPr="00DD1DFA">
        <w:rPr>
          <w:noProof/>
        </w:rPr>
        <w:t>5 rozporządzenia (UE) nr</w:t>
      </w:r>
      <w:r w:rsidR="00DD1DFA" w:rsidRPr="00DD1DFA">
        <w:rPr>
          <w:noProof/>
        </w:rPr>
        <w:t> </w:t>
      </w:r>
      <w:r w:rsidR="00503590" w:rsidRPr="00DD1DFA">
        <w:rPr>
          <w:noProof/>
        </w:rPr>
        <w:t>182/2011 (procedura sprawdzająca).</w:t>
      </w:r>
    </w:p>
    <w:p w14:paraId="048E3B9B" w14:textId="5262F59B" w:rsidR="00F13919" w:rsidRPr="00DD1DFA" w:rsidRDefault="005F7EFA" w:rsidP="005F7EFA">
      <w:pPr>
        <w:pStyle w:val="ManualNumPar1"/>
        <w:rPr>
          <w:noProof/>
        </w:rPr>
      </w:pPr>
      <w:r w:rsidRPr="005F7EFA">
        <w:t>3.</w:t>
      </w:r>
      <w:r w:rsidRPr="005F7EFA">
        <w:tab/>
      </w:r>
      <w:r w:rsidR="00503590" w:rsidRPr="00DD1DFA">
        <w:rPr>
          <w:noProof/>
        </w:rPr>
        <w:t>W przypadku odesłania do niniejszego ustępu stosuje się art.</w:t>
      </w:r>
      <w:r w:rsidR="00DD1DFA" w:rsidRPr="00DD1DFA">
        <w:rPr>
          <w:noProof/>
        </w:rPr>
        <w:t> </w:t>
      </w:r>
      <w:r w:rsidR="00503590" w:rsidRPr="00DD1DFA">
        <w:rPr>
          <w:noProof/>
        </w:rPr>
        <w:t>8 rozporządzenia (UE) nr</w:t>
      </w:r>
      <w:r w:rsidR="00DD1DFA" w:rsidRPr="00DD1DFA">
        <w:rPr>
          <w:noProof/>
        </w:rPr>
        <w:t> </w:t>
      </w:r>
      <w:r w:rsidR="00503590" w:rsidRPr="00DD1DFA">
        <w:rPr>
          <w:noProof/>
        </w:rPr>
        <w:t>182/2011</w:t>
      </w:r>
      <w:r w:rsidR="00DD1DFA" w:rsidRPr="00DD1DFA">
        <w:rPr>
          <w:noProof/>
        </w:rPr>
        <w:t xml:space="preserve"> w</w:t>
      </w:r>
      <w:r w:rsidR="00DD1DFA">
        <w:rPr>
          <w:noProof/>
        </w:rPr>
        <w:t> </w:t>
      </w:r>
      <w:r w:rsidR="00DD1DFA" w:rsidRPr="00DD1DFA">
        <w:rPr>
          <w:noProof/>
        </w:rPr>
        <w:t>zwi</w:t>
      </w:r>
      <w:r w:rsidR="00503590" w:rsidRPr="00DD1DFA">
        <w:rPr>
          <w:noProof/>
        </w:rPr>
        <w:t>ązku</w:t>
      </w:r>
      <w:r w:rsidR="00DD1DFA" w:rsidRPr="00DD1DFA">
        <w:rPr>
          <w:noProof/>
        </w:rPr>
        <w:t xml:space="preserve"> z</w:t>
      </w:r>
      <w:r w:rsidR="00DD1DFA">
        <w:rPr>
          <w:noProof/>
        </w:rPr>
        <w:t> </w:t>
      </w:r>
      <w:r w:rsidR="00DD1DFA" w:rsidRPr="00DD1DFA">
        <w:rPr>
          <w:noProof/>
        </w:rPr>
        <w:t>jeg</w:t>
      </w:r>
      <w:r w:rsidR="00503590" w:rsidRPr="00DD1DFA">
        <w:rPr>
          <w:noProof/>
        </w:rPr>
        <w:t>o art.</w:t>
      </w:r>
      <w:r w:rsidR="00DD1DFA" w:rsidRPr="00DD1DFA">
        <w:rPr>
          <w:noProof/>
        </w:rPr>
        <w:t> </w:t>
      </w:r>
      <w:r w:rsidR="00503590" w:rsidRPr="00DD1DFA">
        <w:rPr>
          <w:noProof/>
        </w:rPr>
        <w:t>5 (procedura sprawdzająca</w:t>
      </w:r>
      <w:r w:rsidR="00DD1DFA" w:rsidRPr="00DD1DFA">
        <w:rPr>
          <w:noProof/>
        </w:rPr>
        <w:t xml:space="preserve"> w</w:t>
      </w:r>
      <w:r w:rsidR="00DD1DFA">
        <w:rPr>
          <w:noProof/>
        </w:rPr>
        <w:t> </w:t>
      </w:r>
      <w:r w:rsidR="00DD1DFA" w:rsidRPr="00DD1DFA">
        <w:rPr>
          <w:noProof/>
        </w:rPr>
        <w:t>try</w:t>
      </w:r>
      <w:r w:rsidR="00503590" w:rsidRPr="00DD1DFA">
        <w:rPr>
          <w:noProof/>
        </w:rPr>
        <w:t>bie pilnym).</w:t>
      </w:r>
    </w:p>
    <w:p w14:paraId="5F915FB4" w14:textId="5742C696" w:rsidR="00F13919" w:rsidRPr="00DD1DFA" w:rsidRDefault="00237A9E" w:rsidP="001D72F7">
      <w:pPr>
        <w:pStyle w:val="Titrearticle"/>
        <w:rPr>
          <w:noProof/>
        </w:rPr>
      </w:pPr>
      <w:r w:rsidRPr="00DD1DFA">
        <w:rPr>
          <w:noProof/>
        </w:rPr>
        <w:t>Artykuł 89</w:t>
      </w:r>
    </w:p>
    <w:p w14:paraId="671177A5" w14:textId="59770255" w:rsidR="00F13919" w:rsidRPr="00DD1DFA" w:rsidRDefault="00503590" w:rsidP="001D72F7">
      <w:pPr>
        <w:pStyle w:val="Titrearticle"/>
        <w:rPr>
          <w:b/>
          <w:noProof/>
        </w:rPr>
      </w:pPr>
      <w:r w:rsidRPr="00DD1DFA">
        <w:rPr>
          <w:b/>
          <w:bCs/>
          <w:noProof/>
        </w:rPr>
        <w:t>Elektroniczne wnioski, decyzje, dokumentacja</w:t>
      </w:r>
      <w:r w:rsidR="00DD1DFA" w:rsidRPr="00DD1DFA">
        <w:rPr>
          <w:b/>
          <w:bCs/>
          <w:noProof/>
        </w:rPr>
        <w:t xml:space="preserve"> i</w:t>
      </w:r>
      <w:r w:rsidR="00DD1DFA">
        <w:rPr>
          <w:b/>
          <w:bCs/>
          <w:noProof/>
        </w:rPr>
        <w:t> </w:t>
      </w:r>
      <w:r w:rsidR="00DD1DFA" w:rsidRPr="00DD1DFA">
        <w:rPr>
          <w:b/>
          <w:bCs/>
          <w:noProof/>
        </w:rPr>
        <w:t>inf</w:t>
      </w:r>
      <w:r w:rsidRPr="00DD1DFA">
        <w:rPr>
          <w:b/>
          <w:bCs/>
          <w:noProof/>
        </w:rPr>
        <w:t>ormacje</w:t>
      </w:r>
    </w:p>
    <w:p w14:paraId="2427ED6E" w14:textId="22592EBE" w:rsidR="00503590" w:rsidRPr="00DD1DFA" w:rsidRDefault="005F7EFA" w:rsidP="005F7EFA">
      <w:pPr>
        <w:pStyle w:val="ManualNumPar1"/>
        <w:rPr>
          <w:noProof/>
        </w:rPr>
      </w:pPr>
      <w:r w:rsidRPr="005F7EFA">
        <w:t>1.</w:t>
      </w:r>
      <w:r w:rsidRPr="005F7EFA">
        <w:tab/>
      </w:r>
      <w:r w:rsidR="00503590" w:rsidRPr="00DD1DFA">
        <w:rPr>
          <w:noProof/>
        </w:rPr>
        <w:t>Wszystkie wnioski od lub do jednostek notyfikowanych lub JOT oraz decyzje podejmowane przez te jednostki lub organy na podstawie niniejszego rozporządzenia można dostarczyć</w:t>
      </w:r>
      <w:r w:rsidR="00DD1DFA" w:rsidRPr="00DD1DFA">
        <w:rPr>
          <w:noProof/>
        </w:rPr>
        <w:t xml:space="preserve"> w</w:t>
      </w:r>
      <w:r w:rsidR="00DD1DFA">
        <w:rPr>
          <w:noProof/>
        </w:rPr>
        <w:t> </w:t>
      </w:r>
      <w:r w:rsidR="00DD1DFA" w:rsidRPr="00DD1DFA">
        <w:rPr>
          <w:noProof/>
        </w:rPr>
        <w:t>for</w:t>
      </w:r>
      <w:r w:rsidR="00503590" w:rsidRPr="00DD1DFA">
        <w:rPr>
          <w:noProof/>
        </w:rPr>
        <w:t>mie papierowej lub</w:t>
      </w:r>
      <w:r w:rsidR="00DD1DFA" w:rsidRPr="00DD1DFA">
        <w:rPr>
          <w:noProof/>
        </w:rPr>
        <w:t xml:space="preserve"> w</w:t>
      </w:r>
      <w:r w:rsidR="00DD1DFA">
        <w:rPr>
          <w:noProof/>
        </w:rPr>
        <w:t> </w:t>
      </w:r>
      <w:r w:rsidR="00DD1DFA" w:rsidRPr="00DD1DFA">
        <w:rPr>
          <w:noProof/>
        </w:rPr>
        <w:t>pow</w:t>
      </w:r>
      <w:r w:rsidR="00503590" w:rsidRPr="00DD1DFA">
        <w:rPr>
          <w:noProof/>
        </w:rPr>
        <w:t>szechnie stosowanym formacie elektronicznym, pod warunkiem że podpis jest zgodny</w:t>
      </w:r>
      <w:r w:rsidR="00DD1DFA" w:rsidRPr="00DD1DFA">
        <w:rPr>
          <w:noProof/>
        </w:rPr>
        <w:t xml:space="preserve"> z</w:t>
      </w:r>
      <w:r w:rsidR="00DD1DFA">
        <w:rPr>
          <w:noProof/>
        </w:rPr>
        <w:t> </w:t>
      </w:r>
      <w:r w:rsidR="00DD1DFA" w:rsidRPr="00DD1DFA">
        <w:rPr>
          <w:noProof/>
        </w:rPr>
        <w:t>roz</w:t>
      </w:r>
      <w:r w:rsidR="00503590" w:rsidRPr="00DD1DFA">
        <w:rPr>
          <w:noProof/>
        </w:rPr>
        <w:t>porządzeniem (UE) nr</w:t>
      </w:r>
      <w:r w:rsidR="00DD1DFA" w:rsidRPr="00DD1DFA">
        <w:rPr>
          <w:noProof/>
        </w:rPr>
        <w:t> </w:t>
      </w:r>
      <w:r w:rsidR="00503590" w:rsidRPr="00DD1DFA">
        <w:rPr>
          <w:noProof/>
        </w:rPr>
        <w:t>910/2014,</w:t>
      </w:r>
      <w:r w:rsidR="00DD1DFA" w:rsidRPr="00DD1DFA">
        <w:rPr>
          <w:noProof/>
        </w:rPr>
        <w:t xml:space="preserve"> a</w:t>
      </w:r>
      <w:r w:rsidR="00DD1DFA">
        <w:rPr>
          <w:noProof/>
        </w:rPr>
        <w:t> </w:t>
      </w:r>
      <w:r w:rsidR="00DD1DFA" w:rsidRPr="00DD1DFA">
        <w:rPr>
          <w:noProof/>
        </w:rPr>
        <w:t>oso</w:t>
      </w:r>
      <w:r w:rsidR="00503590" w:rsidRPr="00DD1DFA">
        <w:rPr>
          <w:noProof/>
        </w:rPr>
        <w:t>bie podpisującej powierzono reprezentowanie jednostki lub podmiotu gospodarczego, zgodnie</w:t>
      </w:r>
      <w:r w:rsidR="00DD1DFA" w:rsidRPr="00DD1DFA">
        <w:rPr>
          <w:noProof/>
        </w:rPr>
        <w:t xml:space="preserve"> z</w:t>
      </w:r>
      <w:r w:rsidR="00DD1DFA">
        <w:rPr>
          <w:noProof/>
        </w:rPr>
        <w:t> </w:t>
      </w:r>
      <w:r w:rsidR="00DD1DFA" w:rsidRPr="00DD1DFA">
        <w:rPr>
          <w:noProof/>
        </w:rPr>
        <w:t>pra</w:t>
      </w:r>
      <w:r w:rsidR="00503590" w:rsidRPr="00DD1DFA">
        <w:rPr>
          <w:noProof/>
        </w:rPr>
        <w:t>wem państw członkowskich lub prawem Unii.</w:t>
      </w:r>
    </w:p>
    <w:p w14:paraId="2ACC4B6F" w14:textId="112061EB" w:rsidR="00503590" w:rsidRPr="00DD1DFA" w:rsidRDefault="005F7EFA" w:rsidP="005F7EFA">
      <w:pPr>
        <w:pStyle w:val="ManualNumPar1"/>
        <w:rPr>
          <w:noProof/>
        </w:rPr>
      </w:pPr>
      <w:r w:rsidRPr="005F7EFA">
        <w:t>2.</w:t>
      </w:r>
      <w:r w:rsidRPr="005F7EFA">
        <w:tab/>
      </w:r>
      <w:r w:rsidR="00503590" w:rsidRPr="00DD1DFA">
        <w:rPr>
          <w:noProof/>
        </w:rPr>
        <w:t>Całą dokumentację wymaganą na podstawie art.</w:t>
      </w:r>
      <w:r w:rsidR="00DD1DFA" w:rsidRPr="00DD1DFA">
        <w:rPr>
          <w:noProof/>
        </w:rPr>
        <w:t> </w:t>
      </w:r>
      <w:r w:rsidR="00503590" w:rsidRPr="00DD1DFA">
        <w:rPr>
          <w:noProof/>
        </w:rPr>
        <w:t>19 ust.</w:t>
      </w:r>
      <w:r w:rsidR="00DD1DFA" w:rsidRPr="00DD1DFA">
        <w:rPr>
          <w:noProof/>
        </w:rPr>
        <w:t> </w:t>
      </w:r>
      <w:r w:rsidR="00503590" w:rsidRPr="00DD1DFA">
        <w:rPr>
          <w:noProof/>
        </w:rPr>
        <w:t>7, art.</w:t>
      </w:r>
      <w:r w:rsidR="00DD1DFA" w:rsidRPr="00DD1DFA">
        <w:rPr>
          <w:noProof/>
        </w:rPr>
        <w:t> </w:t>
      </w:r>
      <w:r w:rsidR="00503590" w:rsidRPr="00DD1DFA">
        <w:rPr>
          <w:noProof/>
        </w:rPr>
        <w:t>21 ust.</w:t>
      </w:r>
      <w:r w:rsidR="00DD1DFA" w:rsidRPr="00DD1DFA">
        <w:rPr>
          <w:noProof/>
        </w:rPr>
        <w:t> </w:t>
      </w:r>
      <w:r w:rsidR="00503590" w:rsidRPr="00DD1DFA">
        <w:rPr>
          <w:noProof/>
        </w:rPr>
        <w:t>3, art.</w:t>
      </w:r>
      <w:r w:rsidR="00DD1DFA" w:rsidRPr="00DD1DFA">
        <w:rPr>
          <w:noProof/>
        </w:rPr>
        <w:t> </w:t>
      </w:r>
      <w:r w:rsidR="00503590" w:rsidRPr="00DD1DFA">
        <w:rPr>
          <w:noProof/>
        </w:rPr>
        <w:t>64–66</w:t>
      </w:r>
      <w:r w:rsidR="00DD1DFA" w:rsidRPr="00DD1DFA">
        <w:rPr>
          <w:noProof/>
        </w:rPr>
        <w:t xml:space="preserve"> i</w:t>
      </w:r>
      <w:r w:rsidR="00DD1DFA">
        <w:rPr>
          <w:noProof/>
        </w:rPr>
        <w:t> </w:t>
      </w:r>
      <w:r w:rsidR="00DD1DFA" w:rsidRPr="00DD1DFA">
        <w:rPr>
          <w:noProof/>
        </w:rPr>
        <w:t>zał</w:t>
      </w:r>
      <w:r w:rsidR="00503590" w:rsidRPr="00DD1DFA">
        <w:rPr>
          <w:noProof/>
        </w:rPr>
        <w:t>ącznika V można dostarczyć</w:t>
      </w:r>
      <w:r w:rsidR="00DD1DFA" w:rsidRPr="00DD1DFA">
        <w:rPr>
          <w:noProof/>
        </w:rPr>
        <w:t xml:space="preserve"> w</w:t>
      </w:r>
      <w:r w:rsidR="00DD1DFA">
        <w:rPr>
          <w:noProof/>
        </w:rPr>
        <w:t> </w:t>
      </w:r>
      <w:r w:rsidR="00DD1DFA" w:rsidRPr="00DD1DFA">
        <w:rPr>
          <w:noProof/>
        </w:rPr>
        <w:t>for</w:t>
      </w:r>
      <w:r w:rsidR="00503590" w:rsidRPr="00DD1DFA">
        <w:rPr>
          <w:noProof/>
        </w:rPr>
        <w:t>mie papierowej lub</w:t>
      </w:r>
      <w:r w:rsidR="00DD1DFA" w:rsidRPr="00DD1DFA">
        <w:rPr>
          <w:noProof/>
        </w:rPr>
        <w:t xml:space="preserve"> w</w:t>
      </w:r>
      <w:r w:rsidR="00DD1DFA">
        <w:rPr>
          <w:noProof/>
        </w:rPr>
        <w:t> </w:t>
      </w:r>
      <w:r w:rsidR="00DD1DFA" w:rsidRPr="00DD1DFA">
        <w:rPr>
          <w:noProof/>
        </w:rPr>
        <w:t>pow</w:t>
      </w:r>
      <w:r w:rsidR="00503590" w:rsidRPr="00DD1DFA">
        <w:rPr>
          <w:noProof/>
        </w:rPr>
        <w:t>szechnie stosowanym formacie elektronicznym,</w:t>
      </w:r>
      <w:r w:rsidR="00DD1DFA" w:rsidRPr="00DD1DFA">
        <w:rPr>
          <w:noProof/>
        </w:rPr>
        <w:t xml:space="preserve"> w</w:t>
      </w:r>
      <w:r w:rsidR="00DD1DFA">
        <w:rPr>
          <w:noProof/>
        </w:rPr>
        <w:t> </w:t>
      </w:r>
      <w:r w:rsidR="00DD1DFA" w:rsidRPr="00DD1DFA">
        <w:rPr>
          <w:noProof/>
        </w:rPr>
        <w:t>spo</w:t>
      </w:r>
      <w:r w:rsidR="00503590" w:rsidRPr="00DD1DFA">
        <w:rPr>
          <w:noProof/>
        </w:rPr>
        <w:t>sób umożliwiający pobranie jej za pomocą niemożliwych do zmodyfikowania odnośnik</w:t>
      </w:r>
      <w:r w:rsidR="00F7253B" w:rsidRPr="00DD1DFA">
        <w:rPr>
          <w:noProof/>
        </w:rPr>
        <w:t>ów (odnośników bezpośrednich).</w:t>
      </w:r>
    </w:p>
    <w:p w14:paraId="7A76BD2F" w14:textId="1006BCC8" w:rsidR="00F13919" w:rsidRPr="00DD1DFA" w:rsidRDefault="00503590" w:rsidP="00503590">
      <w:pPr>
        <w:pStyle w:val="Text1"/>
        <w:rPr>
          <w:noProof/>
        </w:rPr>
      </w:pPr>
      <w:r w:rsidRPr="00DD1DFA">
        <w:rPr>
          <w:noProof/>
        </w:rPr>
        <w:t>Wszystkie obowiązki</w:t>
      </w:r>
      <w:r w:rsidR="00DD1DFA" w:rsidRPr="00DD1DFA">
        <w:rPr>
          <w:noProof/>
        </w:rPr>
        <w:t xml:space="preserve"> w</w:t>
      </w:r>
      <w:r w:rsidR="00DD1DFA">
        <w:rPr>
          <w:noProof/>
        </w:rPr>
        <w:t> </w:t>
      </w:r>
      <w:r w:rsidR="00DD1DFA" w:rsidRPr="00DD1DFA">
        <w:rPr>
          <w:noProof/>
        </w:rPr>
        <w:t>zak</w:t>
      </w:r>
      <w:r w:rsidRPr="00DD1DFA">
        <w:rPr>
          <w:noProof/>
        </w:rPr>
        <w:t>resie informowania określone</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7 ust.</w:t>
      </w:r>
      <w:r w:rsidR="00DD1DFA" w:rsidRPr="00DD1DFA">
        <w:rPr>
          <w:noProof/>
        </w:rPr>
        <w:t> </w:t>
      </w:r>
      <w:r w:rsidRPr="00DD1DFA">
        <w:rPr>
          <w:noProof/>
        </w:rPr>
        <w:t>3, 4</w:t>
      </w:r>
      <w:r w:rsidR="00DD1DFA" w:rsidRPr="00DD1DFA">
        <w:rPr>
          <w:noProof/>
        </w:rPr>
        <w:t xml:space="preserve"> i</w:t>
      </w:r>
      <w:r w:rsidR="00DD1DFA">
        <w:rPr>
          <w:noProof/>
        </w:rPr>
        <w:t> </w:t>
      </w:r>
      <w:r w:rsidR="00DD1DFA" w:rsidRPr="00DD1DFA">
        <w:rPr>
          <w:noProof/>
        </w:rPr>
        <w:t>6</w:t>
      </w:r>
      <w:r w:rsidRPr="00DD1DFA">
        <w:rPr>
          <w:noProof/>
        </w:rPr>
        <w:t>, art.</w:t>
      </w:r>
      <w:r w:rsidR="00DD1DFA" w:rsidRPr="00DD1DFA">
        <w:rPr>
          <w:noProof/>
        </w:rPr>
        <w:t> </w:t>
      </w:r>
      <w:r w:rsidRPr="00DD1DFA">
        <w:rPr>
          <w:noProof/>
        </w:rPr>
        <w:t>19 ust.</w:t>
      </w:r>
      <w:r w:rsidR="00DD1DFA" w:rsidRPr="00DD1DFA">
        <w:rPr>
          <w:noProof/>
        </w:rPr>
        <w:t> </w:t>
      </w:r>
      <w:r w:rsidRPr="00DD1DFA">
        <w:rPr>
          <w:noProof/>
        </w:rPr>
        <w:t>1, 3, 5</w:t>
      </w:r>
      <w:r w:rsidR="00DD1DFA" w:rsidRPr="00DD1DFA">
        <w:rPr>
          <w:noProof/>
        </w:rPr>
        <w:t xml:space="preserve"> i</w:t>
      </w:r>
      <w:r w:rsidR="00DD1DFA">
        <w:rPr>
          <w:noProof/>
        </w:rPr>
        <w:t> </w:t>
      </w:r>
      <w:r w:rsidR="00DD1DFA" w:rsidRPr="00DD1DFA">
        <w:rPr>
          <w:noProof/>
        </w:rPr>
        <w:t>6</w:t>
      </w:r>
      <w:r w:rsidRPr="00DD1DFA">
        <w:rPr>
          <w:noProof/>
        </w:rPr>
        <w:t>, art.</w:t>
      </w:r>
      <w:r w:rsidR="00DD1DFA" w:rsidRPr="00DD1DFA">
        <w:rPr>
          <w:noProof/>
        </w:rPr>
        <w:t> </w:t>
      </w:r>
      <w:r w:rsidRPr="00DD1DFA">
        <w:rPr>
          <w:noProof/>
        </w:rPr>
        <w:t>20 ust.</w:t>
      </w:r>
      <w:r w:rsidR="00DD1DFA" w:rsidRPr="00DD1DFA">
        <w:rPr>
          <w:noProof/>
        </w:rPr>
        <w:t> </w:t>
      </w:r>
      <w:r w:rsidRPr="00DD1DFA">
        <w:rPr>
          <w:noProof/>
        </w:rPr>
        <w:t>2</w:t>
      </w:r>
      <w:r w:rsidR="00DD1DFA" w:rsidRPr="00DD1DFA">
        <w:rPr>
          <w:noProof/>
        </w:rPr>
        <w:t xml:space="preserve"> i</w:t>
      </w:r>
      <w:r w:rsidR="00DD1DFA">
        <w:rPr>
          <w:noProof/>
        </w:rPr>
        <w:t> </w:t>
      </w:r>
      <w:r w:rsidR="00DD1DFA" w:rsidRPr="00DD1DFA">
        <w:rPr>
          <w:noProof/>
        </w:rPr>
        <w:t>3</w:t>
      </w:r>
      <w:r w:rsidRPr="00DD1DFA">
        <w:rPr>
          <w:noProof/>
        </w:rPr>
        <w:t>, art.</w:t>
      </w:r>
      <w:r w:rsidR="00DD1DFA" w:rsidRPr="00DD1DFA">
        <w:rPr>
          <w:noProof/>
        </w:rPr>
        <w:t> </w:t>
      </w:r>
      <w:r w:rsidRPr="00DD1DFA">
        <w:rPr>
          <w:noProof/>
        </w:rPr>
        <w:t>21 ust.</w:t>
      </w:r>
      <w:r w:rsidR="00DD1DFA" w:rsidRPr="00DD1DFA">
        <w:rPr>
          <w:noProof/>
        </w:rPr>
        <w:t> </w:t>
      </w:r>
      <w:r w:rsidRPr="00DD1DFA">
        <w:rPr>
          <w:noProof/>
        </w:rPr>
        <w:t>6–9, art.</w:t>
      </w:r>
      <w:r w:rsidR="00DD1DFA" w:rsidRPr="00DD1DFA">
        <w:rPr>
          <w:noProof/>
        </w:rPr>
        <w:t> </w:t>
      </w:r>
      <w:r w:rsidRPr="00DD1DFA">
        <w:rPr>
          <w:noProof/>
        </w:rPr>
        <w:t>22 ust.</w:t>
      </w:r>
      <w:r w:rsidR="00DD1DFA" w:rsidRPr="00DD1DFA">
        <w:rPr>
          <w:noProof/>
        </w:rPr>
        <w:t> </w:t>
      </w:r>
      <w:r w:rsidRPr="00DD1DFA">
        <w:rPr>
          <w:noProof/>
        </w:rPr>
        <w:t>2 lit.</w:t>
      </w:r>
      <w:r w:rsidR="00DD1DFA" w:rsidRPr="00DD1DFA">
        <w:rPr>
          <w:noProof/>
        </w:rPr>
        <w:t> </w:t>
      </w:r>
      <w:r w:rsidRPr="00DD1DFA">
        <w:rPr>
          <w:noProof/>
        </w:rPr>
        <w:t>f) oraz i), art.</w:t>
      </w:r>
      <w:r w:rsidR="00DD1DFA" w:rsidRPr="00DD1DFA">
        <w:rPr>
          <w:noProof/>
        </w:rPr>
        <w:t> </w:t>
      </w:r>
      <w:r w:rsidRPr="00DD1DFA">
        <w:rPr>
          <w:noProof/>
        </w:rPr>
        <w:t>23 ust.</w:t>
      </w:r>
      <w:r w:rsidR="00DD1DFA" w:rsidRPr="00DD1DFA">
        <w:rPr>
          <w:noProof/>
        </w:rPr>
        <w:t> </w:t>
      </w:r>
      <w:r w:rsidRPr="00DD1DFA">
        <w:rPr>
          <w:noProof/>
        </w:rPr>
        <w:t>5, art.</w:t>
      </w:r>
      <w:r w:rsidR="00DD1DFA" w:rsidRPr="00DD1DFA">
        <w:rPr>
          <w:noProof/>
        </w:rPr>
        <w:t> </w:t>
      </w:r>
      <w:r w:rsidRPr="00DD1DFA">
        <w:rPr>
          <w:noProof/>
        </w:rPr>
        <w:t>24 ust.</w:t>
      </w:r>
      <w:r w:rsidR="00DD1DFA" w:rsidRPr="00DD1DFA">
        <w:rPr>
          <w:noProof/>
        </w:rPr>
        <w:t> </w:t>
      </w:r>
      <w:r w:rsidRPr="00DD1DFA">
        <w:rPr>
          <w:noProof/>
        </w:rPr>
        <w:t>6, art.</w:t>
      </w:r>
      <w:r w:rsidR="00DD1DFA" w:rsidRPr="00DD1DFA">
        <w:rPr>
          <w:noProof/>
        </w:rPr>
        <w:t> </w:t>
      </w:r>
      <w:r w:rsidRPr="00DD1DFA">
        <w:rPr>
          <w:noProof/>
        </w:rPr>
        <w:t>25 ust.</w:t>
      </w:r>
      <w:r w:rsidR="00DD1DFA" w:rsidRPr="00DD1DFA">
        <w:rPr>
          <w:noProof/>
        </w:rPr>
        <w:t> </w:t>
      </w:r>
      <w:r w:rsidRPr="00DD1DFA">
        <w:rPr>
          <w:noProof/>
        </w:rPr>
        <w:t>2, art.</w:t>
      </w:r>
      <w:r w:rsidR="00DD1DFA" w:rsidRPr="00DD1DFA">
        <w:rPr>
          <w:noProof/>
        </w:rPr>
        <w:t> </w:t>
      </w:r>
      <w:r w:rsidRPr="00DD1DFA">
        <w:rPr>
          <w:noProof/>
        </w:rPr>
        <w:t>26 ust.</w:t>
      </w:r>
      <w:r w:rsidR="00DD1DFA" w:rsidRPr="00DD1DFA">
        <w:rPr>
          <w:noProof/>
        </w:rPr>
        <w:t> </w:t>
      </w:r>
      <w:r w:rsidRPr="00DD1DFA">
        <w:rPr>
          <w:noProof/>
        </w:rPr>
        <w:t>4, art.</w:t>
      </w:r>
      <w:r w:rsidR="00DD1DFA" w:rsidRPr="00DD1DFA">
        <w:rPr>
          <w:noProof/>
        </w:rPr>
        <w:t> </w:t>
      </w:r>
      <w:r w:rsidRPr="00DD1DFA">
        <w:rPr>
          <w:noProof/>
        </w:rPr>
        <w:t>27 ust.</w:t>
      </w:r>
      <w:r w:rsidR="00DD1DFA" w:rsidRPr="00DD1DFA">
        <w:rPr>
          <w:noProof/>
        </w:rPr>
        <w:t> </w:t>
      </w:r>
      <w:r w:rsidRPr="00DD1DFA">
        <w:rPr>
          <w:noProof/>
        </w:rPr>
        <w:t>2, art.</w:t>
      </w:r>
      <w:r w:rsidR="00DD1DFA" w:rsidRPr="00DD1DFA">
        <w:rPr>
          <w:noProof/>
        </w:rPr>
        <w:t> </w:t>
      </w:r>
      <w:r w:rsidRPr="00DD1DFA">
        <w:rPr>
          <w:noProof/>
        </w:rPr>
        <w:t>28–39, art.</w:t>
      </w:r>
      <w:r w:rsidR="00DD1DFA" w:rsidRPr="00DD1DFA">
        <w:rPr>
          <w:noProof/>
        </w:rPr>
        <w:t> </w:t>
      </w:r>
      <w:r w:rsidRPr="00DD1DFA">
        <w:rPr>
          <w:noProof/>
        </w:rPr>
        <w:t>41 ust.</w:t>
      </w:r>
      <w:r w:rsidR="00DD1DFA" w:rsidRPr="00DD1DFA">
        <w:rPr>
          <w:noProof/>
        </w:rPr>
        <w:t> </w:t>
      </w:r>
      <w:r w:rsidRPr="00DD1DFA">
        <w:rPr>
          <w:noProof/>
        </w:rPr>
        <w:t>3, art.</w:t>
      </w:r>
      <w:r w:rsidR="00DD1DFA" w:rsidRPr="00DD1DFA">
        <w:rPr>
          <w:noProof/>
        </w:rPr>
        <w:t> </w:t>
      </w:r>
      <w:r w:rsidRPr="00DD1DFA">
        <w:rPr>
          <w:noProof/>
        </w:rPr>
        <w:t>44 ust.</w:t>
      </w:r>
      <w:r w:rsidR="00DD1DFA" w:rsidRPr="00DD1DFA">
        <w:rPr>
          <w:noProof/>
        </w:rPr>
        <w:t> </w:t>
      </w:r>
      <w:r w:rsidRPr="00DD1DFA">
        <w:rPr>
          <w:noProof/>
        </w:rPr>
        <w:t>3, 4, 6</w:t>
      </w:r>
      <w:r w:rsidR="00DD1DFA" w:rsidRPr="00DD1DFA">
        <w:rPr>
          <w:noProof/>
        </w:rPr>
        <w:t xml:space="preserve"> i</w:t>
      </w:r>
      <w:r w:rsidR="00DD1DFA">
        <w:rPr>
          <w:noProof/>
        </w:rPr>
        <w:t> </w:t>
      </w:r>
      <w:r w:rsidR="00DD1DFA" w:rsidRPr="00DD1DFA">
        <w:rPr>
          <w:noProof/>
        </w:rPr>
        <w:t>7</w:t>
      </w:r>
      <w:r w:rsidRPr="00DD1DFA">
        <w:rPr>
          <w:noProof/>
        </w:rPr>
        <w:t>, art.</w:t>
      </w:r>
      <w:r w:rsidR="00DD1DFA" w:rsidRPr="00DD1DFA">
        <w:rPr>
          <w:noProof/>
        </w:rPr>
        <w:t> </w:t>
      </w:r>
      <w:r w:rsidRPr="00DD1DFA">
        <w:rPr>
          <w:noProof/>
        </w:rPr>
        <w:t>45 ust.</w:t>
      </w:r>
      <w:r w:rsidR="00DD1DFA" w:rsidRPr="00DD1DFA">
        <w:rPr>
          <w:noProof/>
        </w:rPr>
        <w:t> </w:t>
      </w:r>
      <w:r w:rsidRPr="00DD1DFA">
        <w:rPr>
          <w:noProof/>
        </w:rPr>
        <w:t>3, art.</w:t>
      </w:r>
      <w:r w:rsidR="00DD1DFA" w:rsidRPr="00DD1DFA">
        <w:rPr>
          <w:noProof/>
        </w:rPr>
        <w:t> </w:t>
      </w:r>
      <w:r w:rsidRPr="00DD1DFA">
        <w:rPr>
          <w:noProof/>
        </w:rPr>
        <w:t>46 ust.</w:t>
      </w:r>
      <w:r w:rsidR="00DD1DFA" w:rsidRPr="00DD1DFA">
        <w:rPr>
          <w:noProof/>
        </w:rPr>
        <w:t> </w:t>
      </w:r>
      <w:r w:rsidRPr="00DD1DFA">
        <w:rPr>
          <w:noProof/>
        </w:rPr>
        <w:t>2, art.</w:t>
      </w:r>
      <w:r w:rsidR="00DD1DFA" w:rsidRPr="00DD1DFA">
        <w:rPr>
          <w:noProof/>
        </w:rPr>
        <w:t> </w:t>
      </w:r>
      <w:r w:rsidRPr="00DD1DFA">
        <w:rPr>
          <w:noProof/>
        </w:rPr>
        <w:t>47, art.</w:t>
      </w:r>
      <w:r w:rsidR="00DD1DFA" w:rsidRPr="00DD1DFA">
        <w:rPr>
          <w:noProof/>
        </w:rPr>
        <w:t> </w:t>
      </w:r>
      <w:r w:rsidRPr="00DD1DFA">
        <w:rPr>
          <w:noProof/>
        </w:rPr>
        <w:t>49 ust.</w:t>
      </w:r>
      <w:r w:rsidR="00DD1DFA" w:rsidRPr="00DD1DFA">
        <w:rPr>
          <w:noProof/>
        </w:rPr>
        <w:t> </w:t>
      </w:r>
      <w:r w:rsidRPr="00DD1DFA">
        <w:rPr>
          <w:noProof/>
        </w:rPr>
        <w:t>5, art.</w:t>
      </w:r>
      <w:r w:rsidR="00DD1DFA" w:rsidRPr="00DD1DFA">
        <w:rPr>
          <w:noProof/>
        </w:rPr>
        <w:t> </w:t>
      </w:r>
      <w:r w:rsidRPr="00DD1DFA">
        <w:rPr>
          <w:noProof/>
        </w:rPr>
        <w:t>50 ust.</w:t>
      </w:r>
      <w:r w:rsidR="00DD1DFA" w:rsidRPr="00DD1DFA">
        <w:rPr>
          <w:noProof/>
        </w:rPr>
        <w:t> </w:t>
      </w:r>
      <w:r w:rsidRPr="00DD1DFA">
        <w:rPr>
          <w:noProof/>
        </w:rPr>
        <w:t>11, art.</w:t>
      </w:r>
      <w:r w:rsidR="00DD1DFA" w:rsidRPr="00DD1DFA">
        <w:rPr>
          <w:noProof/>
        </w:rPr>
        <w:t> </w:t>
      </w:r>
      <w:r w:rsidRPr="00DD1DFA">
        <w:rPr>
          <w:noProof/>
        </w:rPr>
        <w:t>53 ust.</w:t>
      </w:r>
      <w:r w:rsidR="00DD1DFA" w:rsidRPr="00DD1DFA">
        <w:rPr>
          <w:noProof/>
        </w:rPr>
        <w:t> </w:t>
      </w:r>
      <w:r w:rsidRPr="00DD1DFA">
        <w:rPr>
          <w:noProof/>
        </w:rPr>
        <w:t>1, art.</w:t>
      </w:r>
      <w:r w:rsidR="00DD1DFA" w:rsidRPr="00DD1DFA">
        <w:rPr>
          <w:noProof/>
        </w:rPr>
        <w:t> </w:t>
      </w:r>
      <w:r w:rsidRPr="00DD1DFA">
        <w:rPr>
          <w:noProof/>
        </w:rPr>
        <w:t>58 ust.</w:t>
      </w:r>
      <w:r w:rsidR="00DD1DFA" w:rsidRPr="00DD1DFA">
        <w:rPr>
          <w:noProof/>
        </w:rPr>
        <w:t> </w:t>
      </w:r>
      <w:r w:rsidRPr="00DD1DFA">
        <w:rPr>
          <w:noProof/>
        </w:rPr>
        <w:t>1, art.</w:t>
      </w:r>
      <w:r w:rsidR="00DD1DFA" w:rsidRPr="00DD1DFA">
        <w:rPr>
          <w:noProof/>
        </w:rPr>
        <w:t> </w:t>
      </w:r>
      <w:r w:rsidRPr="00DD1DFA">
        <w:rPr>
          <w:noProof/>
        </w:rPr>
        <w:t>59 ust.</w:t>
      </w:r>
      <w:r w:rsidR="00DD1DFA" w:rsidRPr="00DD1DFA">
        <w:rPr>
          <w:noProof/>
        </w:rPr>
        <w:t> </w:t>
      </w:r>
      <w:r w:rsidRPr="00DD1DFA">
        <w:rPr>
          <w:noProof/>
        </w:rPr>
        <w:t>2, art.</w:t>
      </w:r>
      <w:r w:rsidR="00DD1DFA" w:rsidRPr="00DD1DFA">
        <w:rPr>
          <w:noProof/>
        </w:rPr>
        <w:t> </w:t>
      </w:r>
      <w:r w:rsidRPr="00DD1DFA">
        <w:rPr>
          <w:noProof/>
        </w:rPr>
        <w:t>61, art.</w:t>
      </w:r>
      <w:r w:rsidR="00DD1DFA" w:rsidRPr="00DD1DFA">
        <w:rPr>
          <w:noProof/>
        </w:rPr>
        <w:t> </w:t>
      </w:r>
      <w:r w:rsidRPr="00DD1DFA">
        <w:rPr>
          <w:noProof/>
        </w:rPr>
        <w:t>70 ust.</w:t>
      </w:r>
      <w:r w:rsidR="00DD1DFA" w:rsidRPr="00DD1DFA">
        <w:rPr>
          <w:noProof/>
        </w:rPr>
        <w:t> </w:t>
      </w:r>
      <w:r w:rsidRPr="00DD1DFA">
        <w:rPr>
          <w:noProof/>
        </w:rPr>
        <w:t>1, 2, 4</w:t>
      </w:r>
      <w:r w:rsidR="00DD1DFA" w:rsidRPr="00DD1DFA">
        <w:rPr>
          <w:noProof/>
        </w:rPr>
        <w:t xml:space="preserve"> i</w:t>
      </w:r>
      <w:r w:rsidR="00DD1DFA">
        <w:rPr>
          <w:noProof/>
        </w:rPr>
        <w:t> </w:t>
      </w:r>
      <w:r w:rsidR="00DD1DFA" w:rsidRPr="00DD1DFA">
        <w:rPr>
          <w:noProof/>
        </w:rPr>
        <w:t>6</w:t>
      </w:r>
      <w:r w:rsidRPr="00DD1DFA">
        <w:rPr>
          <w:noProof/>
        </w:rPr>
        <w:t>, art.</w:t>
      </w:r>
      <w:r w:rsidR="00DD1DFA" w:rsidRPr="00DD1DFA">
        <w:rPr>
          <w:noProof/>
        </w:rPr>
        <w:t> </w:t>
      </w:r>
      <w:r w:rsidRPr="00DD1DFA">
        <w:rPr>
          <w:noProof/>
        </w:rPr>
        <w:t>71 ust.</w:t>
      </w:r>
      <w:r w:rsidR="00DD1DFA" w:rsidRPr="00DD1DFA">
        <w:rPr>
          <w:noProof/>
        </w:rPr>
        <w:t> </w:t>
      </w:r>
      <w:r w:rsidRPr="00DD1DFA">
        <w:rPr>
          <w:noProof/>
        </w:rPr>
        <w:t>2, art.</w:t>
      </w:r>
      <w:r w:rsidR="00DD1DFA" w:rsidRPr="00DD1DFA">
        <w:rPr>
          <w:noProof/>
        </w:rPr>
        <w:t> </w:t>
      </w:r>
      <w:r w:rsidRPr="00DD1DFA">
        <w:rPr>
          <w:noProof/>
        </w:rPr>
        <w:t>72 ust.</w:t>
      </w:r>
      <w:r w:rsidR="00DD1DFA" w:rsidRPr="00DD1DFA">
        <w:rPr>
          <w:noProof/>
        </w:rPr>
        <w:t> </w:t>
      </w:r>
      <w:r w:rsidRPr="00DD1DFA">
        <w:rPr>
          <w:noProof/>
        </w:rPr>
        <w:t>1, 3</w:t>
      </w:r>
      <w:r w:rsidR="00DD1DFA" w:rsidRPr="00DD1DFA">
        <w:rPr>
          <w:noProof/>
        </w:rPr>
        <w:t xml:space="preserve"> i</w:t>
      </w:r>
      <w:r w:rsidR="00DD1DFA">
        <w:rPr>
          <w:noProof/>
        </w:rPr>
        <w:t> </w:t>
      </w:r>
      <w:r w:rsidR="00DD1DFA" w:rsidRPr="00DD1DFA">
        <w:rPr>
          <w:noProof/>
        </w:rPr>
        <w:t>5</w:t>
      </w:r>
      <w:r w:rsidRPr="00DD1DFA">
        <w:rPr>
          <w:noProof/>
        </w:rPr>
        <w:t>, art.</w:t>
      </w:r>
      <w:r w:rsidR="00DD1DFA" w:rsidRPr="00DD1DFA">
        <w:rPr>
          <w:noProof/>
        </w:rPr>
        <w:t> </w:t>
      </w:r>
      <w:r w:rsidRPr="00DD1DFA">
        <w:rPr>
          <w:noProof/>
        </w:rPr>
        <w:t>76, art.</w:t>
      </w:r>
      <w:r w:rsidR="00DD1DFA" w:rsidRPr="00DD1DFA">
        <w:rPr>
          <w:noProof/>
        </w:rPr>
        <w:t> </w:t>
      </w:r>
      <w:r w:rsidRPr="00DD1DFA">
        <w:rPr>
          <w:noProof/>
        </w:rPr>
        <w:t>77, art.</w:t>
      </w:r>
      <w:r w:rsidR="00DD1DFA" w:rsidRPr="00DD1DFA">
        <w:rPr>
          <w:noProof/>
        </w:rPr>
        <w:t> </w:t>
      </w:r>
      <w:r w:rsidRPr="00DD1DFA">
        <w:rPr>
          <w:noProof/>
        </w:rPr>
        <w:t>78 ust.</w:t>
      </w:r>
      <w:r w:rsidR="00DD1DFA" w:rsidRPr="00DD1DFA">
        <w:rPr>
          <w:noProof/>
        </w:rPr>
        <w:t> </w:t>
      </w:r>
      <w:r w:rsidRPr="00DD1DFA">
        <w:rPr>
          <w:noProof/>
        </w:rPr>
        <w:t>3, art.</w:t>
      </w:r>
      <w:r w:rsidR="00DD1DFA" w:rsidRPr="00DD1DFA">
        <w:rPr>
          <w:noProof/>
        </w:rPr>
        <w:t> </w:t>
      </w:r>
      <w:r w:rsidRPr="00DD1DFA">
        <w:rPr>
          <w:noProof/>
        </w:rPr>
        <w:t>79 ust.</w:t>
      </w:r>
      <w:r w:rsidR="00DD1DFA" w:rsidRPr="00DD1DFA">
        <w:rPr>
          <w:noProof/>
        </w:rPr>
        <w:t> </w:t>
      </w:r>
      <w:r w:rsidRPr="00DD1DFA">
        <w:rPr>
          <w:noProof/>
        </w:rPr>
        <w:t>2, art.</w:t>
      </w:r>
      <w:r w:rsidR="00DD1DFA" w:rsidRPr="00DD1DFA">
        <w:rPr>
          <w:noProof/>
        </w:rPr>
        <w:t> </w:t>
      </w:r>
      <w:r w:rsidRPr="00DD1DFA">
        <w:rPr>
          <w:noProof/>
        </w:rPr>
        <w:t>79 ust.</w:t>
      </w:r>
      <w:r w:rsidR="00DD1DFA" w:rsidRPr="00DD1DFA">
        <w:rPr>
          <w:noProof/>
        </w:rPr>
        <w:t> </w:t>
      </w:r>
      <w:r w:rsidRPr="00DD1DFA">
        <w:rPr>
          <w:noProof/>
        </w:rPr>
        <w:t>3, art.</w:t>
      </w:r>
      <w:r w:rsidR="00DD1DFA" w:rsidRPr="00DD1DFA">
        <w:rPr>
          <w:noProof/>
        </w:rPr>
        <w:t> </w:t>
      </w:r>
      <w:r w:rsidRPr="00DD1DFA">
        <w:rPr>
          <w:noProof/>
        </w:rPr>
        <w:t>80 ust.</w:t>
      </w:r>
      <w:r w:rsidR="00DD1DFA" w:rsidRPr="00DD1DFA">
        <w:rPr>
          <w:noProof/>
        </w:rPr>
        <w:t> </w:t>
      </w:r>
      <w:r w:rsidRPr="00DD1DFA">
        <w:rPr>
          <w:noProof/>
        </w:rPr>
        <w:t>2, art.</w:t>
      </w:r>
      <w:r w:rsidR="00DD1DFA" w:rsidRPr="00DD1DFA">
        <w:rPr>
          <w:noProof/>
        </w:rPr>
        <w:t> </w:t>
      </w:r>
      <w:r w:rsidRPr="00DD1DFA">
        <w:rPr>
          <w:noProof/>
        </w:rPr>
        <w:t>82 ust.</w:t>
      </w:r>
      <w:r w:rsidR="00DD1DFA" w:rsidRPr="00DD1DFA">
        <w:rPr>
          <w:noProof/>
        </w:rPr>
        <w:t> </w:t>
      </w:r>
      <w:r w:rsidRPr="00DD1DFA">
        <w:rPr>
          <w:noProof/>
        </w:rPr>
        <w:t>1–3, 6</w:t>
      </w:r>
      <w:r w:rsidR="00DD1DFA" w:rsidRPr="00DD1DFA">
        <w:rPr>
          <w:noProof/>
        </w:rPr>
        <w:t xml:space="preserve"> i</w:t>
      </w:r>
      <w:r w:rsidR="00DD1DFA">
        <w:rPr>
          <w:noProof/>
        </w:rPr>
        <w:t> </w:t>
      </w:r>
      <w:r w:rsidR="00DD1DFA" w:rsidRPr="00DD1DFA">
        <w:rPr>
          <w:noProof/>
        </w:rPr>
        <w:t>7</w:t>
      </w:r>
      <w:r w:rsidRPr="00DD1DFA">
        <w:rPr>
          <w:noProof/>
        </w:rPr>
        <w:t xml:space="preserve"> oraz art.</w:t>
      </w:r>
      <w:r w:rsidR="00DD1DFA" w:rsidRPr="00DD1DFA">
        <w:rPr>
          <w:noProof/>
        </w:rPr>
        <w:t> </w:t>
      </w:r>
      <w:r w:rsidRPr="00DD1DFA">
        <w:rPr>
          <w:noProof/>
        </w:rPr>
        <w:t>91 można spełnić drogą elektroniczną. Informacje, które mają być dostarczane zgodnie</w:t>
      </w:r>
      <w:r w:rsidR="00DD1DFA" w:rsidRPr="00DD1DFA">
        <w:rPr>
          <w:noProof/>
        </w:rPr>
        <w:t xml:space="preserve"> z</w:t>
      </w:r>
      <w:r w:rsidR="00DD1DFA">
        <w:rPr>
          <w:noProof/>
        </w:rPr>
        <w:t> </w:t>
      </w:r>
      <w:r w:rsidR="00DD1DFA" w:rsidRPr="00DD1DFA">
        <w:rPr>
          <w:noProof/>
        </w:rPr>
        <w:t>zał</w:t>
      </w:r>
      <w:r w:rsidRPr="00DD1DFA">
        <w:rPr>
          <w:noProof/>
        </w:rPr>
        <w:t>ącznikiem I część D oraz zharmonizowane specyfikacje techniczne określające te informacje, dostarcza się jednak</w:t>
      </w:r>
      <w:r w:rsidR="00DD1DFA" w:rsidRPr="00DD1DFA">
        <w:rPr>
          <w:noProof/>
        </w:rPr>
        <w:t xml:space="preserve"> w</w:t>
      </w:r>
      <w:r w:rsidR="00DD1DFA">
        <w:rPr>
          <w:noProof/>
        </w:rPr>
        <w:t> </w:t>
      </w:r>
      <w:r w:rsidR="00DD1DFA" w:rsidRPr="00DD1DFA">
        <w:rPr>
          <w:noProof/>
        </w:rPr>
        <w:t>for</w:t>
      </w:r>
      <w:r w:rsidRPr="00DD1DFA">
        <w:rPr>
          <w:noProof/>
        </w:rPr>
        <w:t>mie papierowej</w:t>
      </w:r>
      <w:r w:rsidR="00DD1DFA" w:rsidRPr="00DD1DFA">
        <w:rPr>
          <w:noProof/>
        </w:rPr>
        <w:t xml:space="preserve"> w</w:t>
      </w:r>
      <w:r w:rsidR="00DD1DFA">
        <w:rPr>
          <w:noProof/>
        </w:rPr>
        <w:t> </w:t>
      </w:r>
      <w:r w:rsidR="00DD1DFA" w:rsidRPr="00DD1DFA">
        <w:rPr>
          <w:noProof/>
        </w:rPr>
        <w:t>prz</w:t>
      </w:r>
      <w:r w:rsidRPr="00DD1DFA">
        <w:rPr>
          <w:noProof/>
        </w:rPr>
        <w:t>ypadku wyrobów nieopatrzonych napisem „nieprzeznaczone dla konsumentów” lub „wyłącznie do użytku profesjonalnego”. Ponadto konsumenci mogą zażądać dostarczenia wszelkich innych informacji</w:t>
      </w:r>
      <w:r w:rsidR="00DD1DFA" w:rsidRPr="00DD1DFA">
        <w:rPr>
          <w:noProof/>
        </w:rPr>
        <w:t xml:space="preserve"> w</w:t>
      </w:r>
      <w:r w:rsidR="00DD1DFA">
        <w:rPr>
          <w:noProof/>
        </w:rPr>
        <w:t> </w:t>
      </w:r>
      <w:r w:rsidR="00DD1DFA" w:rsidRPr="00DD1DFA">
        <w:rPr>
          <w:noProof/>
        </w:rPr>
        <w:t>for</w:t>
      </w:r>
      <w:r w:rsidRPr="00DD1DFA">
        <w:rPr>
          <w:noProof/>
        </w:rPr>
        <w:t>mie papierowej.</w:t>
      </w:r>
    </w:p>
    <w:p w14:paraId="3844A870" w14:textId="3F16A7A5" w:rsidR="00F13919" w:rsidRPr="00DD1DFA" w:rsidRDefault="009936C6" w:rsidP="001D72F7">
      <w:pPr>
        <w:pStyle w:val="Titrearticle"/>
        <w:rPr>
          <w:noProof/>
        </w:rPr>
      </w:pPr>
      <w:r w:rsidRPr="00DD1DFA">
        <w:rPr>
          <w:noProof/>
        </w:rPr>
        <w:t>Artykuł 90</w:t>
      </w:r>
    </w:p>
    <w:p w14:paraId="3CFEADF9" w14:textId="77777777" w:rsidR="00F13919" w:rsidRPr="00DD1DFA" w:rsidRDefault="00F13919" w:rsidP="001D72F7">
      <w:pPr>
        <w:pStyle w:val="Titrearticle"/>
        <w:rPr>
          <w:b/>
          <w:noProof/>
        </w:rPr>
      </w:pPr>
      <w:r w:rsidRPr="00DD1DFA">
        <w:rPr>
          <w:b/>
          <w:noProof/>
        </w:rPr>
        <w:t>Sankcje</w:t>
      </w:r>
    </w:p>
    <w:p w14:paraId="116508C5" w14:textId="7476EAF3" w:rsidR="00503590" w:rsidRPr="00DD1DFA" w:rsidRDefault="005F7EFA" w:rsidP="005F7EFA">
      <w:pPr>
        <w:pStyle w:val="ManualNumPar1"/>
        <w:rPr>
          <w:noProof/>
        </w:rPr>
      </w:pPr>
      <w:r w:rsidRPr="005F7EFA">
        <w:t>1.</w:t>
      </w:r>
      <w:r w:rsidRPr="005F7EFA">
        <w:tab/>
      </w:r>
      <w:r w:rsidR="00503590" w:rsidRPr="00DD1DFA">
        <w:rPr>
          <w:noProof/>
        </w:rPr>
        <w:t>Państwa członkowskie ustanawiają przepisy dotyczące sankcji mających zastosowanie</w:t>
      </w:r>
      <w:r w:rsidR="00DD1DFA" w:rsidRPr="00DD1DFA">
        <w:rPr>
          <w:noProof/>
        </w:rPr>
        <w:t xml:space="preserve"> w</w:t>
      </w:r>
      <w:r w:rsidR="00DD1DFA">
        <w:rPr>
          <w:noProof/>
        </w:rPr>
        <w:t> </w:t>
      </w:r>
      <w:r w:rsidR="00DD1DFA" w:rsidRPr="00DD1DFA">
        <w:rPr>
          <w:noProof/>
        </w:rPr>
        <w:t>prz</w:t>
      </w:r>
      <w:r w:rsidR="00503590" w:rsidRPr="00DD1DFA">
        <w:rPr>
          <w:noProof/>
        </w:rPr>
        <w:t>ypadku niezgodności</w:t>
      </w:r>
      <w:r w:rsidR="00DD1DFA" w:rsidRPr="00DD1DFA">
        <w:rPr>
          <w:noProof/>
        </w:rPr>
        <w:t xml:space="preserve"> z</w:t>
      </w:r>
      <w:r w:rsidR="00DD1DFA">
        <w:rPr>
          <w:noProof/>
        </w:rPr>
        <w:t> </w:t>
      </w:r>
      <w:r w:rsidR="00DD1DFA" w:rsidRPr="00DD1DFA">
        <w:rPr>
          <w:noProof/>
        </w:rPr>
        <w:t>nin</w:t>
      </w:r>
      <w:r w:rsidR="00503590" w:rsidRPr="00DD1DFA">
        <w:rPr>
          <w:noProof/>
        </w:rPr>
        <w:t>iejszym rozporządzeniem</w:t>
      </w:r>
      <w:r w:rsidR="00DD1DFA" w:rsidRPr="00DD1DFA">
        <w:rPr>
          <w:noProof/>
        </w:rPr>
        <w:t xml:space="preserve"> i</w:t>
      </w:r>
      <w:r w:rsidR="00DD1DFA">
        <w:rPr>
          <w:noProof/>
        </w:rPr>
        <w:t> </w:t>
      </w:r>
      <w:r w:rsidR="00DD1DFA" w:rsidRPr="00DD1DFA">
        <w:rPr>
          <w:noProof/>
        </w:rPr>
        <w:t>wpr</w:t>
      </w:r>
      <w:r w:rsidR="00503590" w:rsidRPr="00DD1DFA">
        <w:rPr>
          <w:noProof/>
        </w:rPr>
        <w:t>owadzają wszelkie niezbędne środki</w:t>
      </w:r>
      <w:r w:rsidR="00DD1DFA" w:rsidRPr="00DD1DFA">
        <w:rPr>
          <w:noProof/>
        </w:rPr>
        <w:t xml:space="preserve"> w</w:t>
      </w:r>
      <w:r w:rsidR="00DD1DFA">
        <w:rPr>
          <w:noProof/>
        </w:rPr>
        <w:t> </w:t>
      </w:r>
      <w:r w:rsidR="00DD1DFA" w:rsidRPr="00DD1DFA">
        <w:rPr>
          <w:noProof/>
        </w:rPr>
        <w:t>cel</w:t>
      </w:r>
      <w:r w:rsidR="00503590" w:rsidRPr="00DD1DFA">
        <w:rPr>
          <w:noProof/>
        </w:rPr>
        <w:t>u zapewnienia ich wykonywania. Przewidziane sankcje muszą być skuteczne, proporcjonalne</w:t>
      </w:r>
      <w:r w:rsidR="00DD1DFA" w:rsidRPr="00DD1DFA">
        <w:rPr>
          <w:noProof/>
        </w:rPr>
        <w:t xml:space="preserve"> i</w:t>
      </w:r>
      <w:r w:rsidR="00DD1DFA">
        <w:rPr>
          <w:noProof/>
        </w:rPr>
        <w:t> </w:t>
      </w:r>
      <w:r w:rsidR="00DD1DFA" w:rsidRPr="00DD1DFA">
        <w:rPr>
          <w:noProof/>
        </w:rPr>
        <w:t>ods</w:t>
      </w:r>
      <w:r w:rsidR="00503590" w:rsidRPr="00DD1DFA">
        <w:rPr>
          <w:noProof/>
        </w:rPr>
        <w:t>traszające. Państwa członkowskie najpóźniej do dnia... [wstawić datę – 3 miesiące od daty wejścia</w:t>
      </w:r>
      <w:r w:rsidR="00DD1DFA" w:rsidRPr="00DD1DFA">
        <w:rPr>
          <w:noProof/>
        </w:rPr>
        <w:t xml:space="preserve"> w</w:t>
      </w:r>
      <w:r w:rsidR="00DD1DFA">
        <w:rPr>
          <w:noProof/>
        </w:rPr>
        <w:t> </w:t>
      </w:r>
      <w:r w:rsidR="00DD1DFA" w:rsidRPr="00DD1DFA">
        <w:rPr>
          <w:noProof/>
        </w:rPr>
        <w:t>życ</w:t>
      </w:r>
      <w:r w:rsidR="00503590" w:rsidRPr="00DD1DFA">
        <w:rPr>
          <w:noProof/>
        </w:rPr>
        <w:t>ie niniejszego rozporządzenia] r. powiadamiają Komisję</w:t>
      </w:r>
      <w:r w:rsidR="00DD1DFA" w:rsidRPr="00DD1DFA">
        <w:rPr>
          <w:noProof/>
        </w:rPr>
        <w:t xml:space="preserve"> o</w:t>
      </w:r>
      <w:r w:rsidR="00DD1DFA">
        <w:rPr>
          <w:noProof/>
        </w:rPr>
        <w:t> </w:t>
      </w:r>
      <w:r w:rsidR="00DD1DFA" w:rsidRPr="00DD1DFA">
        <w:rPr>
          <w:noProof/>
        </w:rPr>
        <w:t>tyc</w:t>
      </w:r>
      <w:r w:rsidR="00503590" w:rsidRPr="00DD1DFA">
        <w:rPr>
          <w:noProof/>
        </w:rPr>
        <w:t>h przepisach</w:t>
      </w:r>
      <w:r w:rsidR="00DD1DFA" w:rsidRPr="00DD1DFA">
        <w:rPr>
          <w:noProof/>
        </w:rPr>
        <w:t xml:space="preserve"> i</w:t>
      </w:r>
      <w:r w:rsidR="00DD1DFA">
        <w:rPr>
          <w:noProof/>
        </w:rPr>
        <w:t> </w:t>
      </w:r>
      <w:r w:rsidR="00DD1DFA" w:rsidRPr="00DD1DFA">
        <w:rPr>
          <w:noProof/>
        </w:rPr>
        <w:t>śro</w:t>
      </w:r>
      <w:r w:rsidR="00503590" w:rsidRPr="00DD1DFA">
        <w:rPr>
          <w:noProof/>
        </w:rPr>
        <w:t>dkach oraz bezzwłocznie powiadamiają ją</w:t>
      </w:r>
      <w:r w:rsidR="00DD1DFA" w:rsidRPr="00DD1DFA">
        <w:rPr>
          <w:noProof/>
        </w:rPr>
        <w:t xml:space="preserve"> o</w:t>
      </w:r>
      <w:r w:rsidR="00DD1DFA">
        <w:rPr>
          <w:noProof/>
        </w:rPr>
        <w:t> </w:t>
      </w:r>
      <w:r w:rsidR="00DD1DFA" w:rsidRPr="00DD1DFA">
        <w:rPr>
          <w:noProof/>
        </w:rPr>
        <w:t>wsz</w:t>
      </w:r>
      <w:r w:rsidR="00503590" w:rsidRPr="00DD1DFA">
        <w:rPr>
          <w:noProof/>
        </w:rPr>
        <w:t>elkich późniejszych zmianach mających wpływ na te przepisy.</w:t>
      </w:r>
    </w:p>
    <w:p w14:paraId="6C0E22D7" w14:textId="2F874BE2" w:rsidR="00503590" w:rsidRPr="00DD1DFA" w:rsidRDefault="005F7EFA" w:rsidP="005F7EFA">
      <w:pPr>
        <w:pStyle w:val="ManualNumPar1"/>
        <w:rPr>
          <w:noProof/>
        </w:rPr>
      </w:pPr>
      <w:r w:rsidRPr="005F7EFA">
        <w:t>2.</w:t>
      </w:r>
      <w:r w:rsidRPr="005F7EFA">
        <w:tab/>
      </w:r>
      <w:r w:rsidR="00503590" w:rsidRPr="00DD1DFA">
        <w:rPr>
          <w:noProof/>
        </w:rPr>
        <w:t>Państwa członkowskie ustanawiają</w:t>
      </w:r>
      <w:r w:rsidR="00DD1DFA" w:rsidRPr="00DD1DFA">
        <w:rPr>
          <w:noProof/>
        </w:rPr>
        <w:t xml:space="preserve"> w</w:t>
      </w:r>
      <w:r w:rsidR="00DD1DFA">
        <w:rPr>
          <w:noProof/>
        </w:rPr>
        <w:t> </w:t>
      </w:r>
      <w:r w:rsidR="00DD1DFA" w:rsidRPr="00DD1DFA">
        <w:rPr>
          <w:noProof/>
        </w:rPr>
        <w:t>szc</w:t>
      </w:r>
      <w:r w:rsidR="00503590" w:rsidRPr="00DD1DFA">
        <w:rPr>
          <w:noProof/>
        </w:rPr>
        <w:t>zególności przepisy dotyczące sankcji za następujące rodzaje niezgodności podmiotów gospodarczych:</w:t>
      </w:r>
    </w:p>
    <w:p w14:paraId="755B7190" w14:textId="66F6938C" w:rsidR="00503590" w:rsidRPr="00DD1DFA" w:rsidRDefault="003C1401" w:rsidP="003C1401">
      <w:pPr>
        <w:pStyle w:val="Point1"/>
        <w:rPr>
          <w:noProof/>
        </w:rPr>
      </w:pPr>
      <w:r w:rsidRPr="003C1401">
        <w:rPr>
          <w:noProof/>
        </w:rPr>
        <w:t>a)</w:t>
      </w:r>
      <w:r w:rsidRPr="003C1401">
        <w:rPr>
          <w:noProof/>
        </w:rPr>
        <w:tab/>
      </w:r>
      <w:r w:rsidR="00503590" w:rsidRPr="00DD1DFA">
        <w:rPr>
          <w:noProof/>
        </w:rPr>
        <w:t>wprowadzanie do obrotu lub udostępnianie na rynku wyrobu, który nie ma oznakowania CE, chociaż oznakowanie CE jest obowiązkowe;</w:t>
      </w:r>
    </w:p>
    <w:p w14:paraId="50208B09" w14:textId="0AB0F3A1" w:rsidR="00503590" w:rsidRPr="00DD1DFA" w:rsidRDefault="003C1401" w:rsidP="003C1401">
      <w:pPr>
        <w:pStyle w:val="Point1"/>
        <w:rPr>
          <w:noProof/>
        </w:rPr>
      </w:pPr>
      <w:r w:rsidRPr="003C1401">
        <w:rPr>
          <w:noProof/>
        </w:rPr>
        <w:t>b)</w:t>
      </w:r>
      <w:r w:rsidRPr="003C1401">
        <w:rPr>
          <w:noProof/>
        </w:rPr>
        <w:tab/>
      </w:r>
      <w:r w:rsidR="00503590" w:rsidRPr="00DD1DFA">
        <w:rPr>
          <w:noProof/>
        </w:rPr>
        <w:t>umieszczenie oznakowania CE</w:t>
      </w:r>
      <w:r w:rsidR="00DD1DFA" w:rsidRPr="00DD1DFA">
        <w:rPr>
          <w:noProof/>
        </w:rPr>
        <w:t xml:space="preserve"> z</w:t>
      </w:r>
      <w:r w:rsidR="00DD1DFA">
        <w:rPr>
          <w:noProof/>
        </w:rPr>
        <w:t> </w:t>
      </w:r>
      <w:r w:rsidR="00DD1DFA" w:rsidRPr="00DD1DFA">
        <w:rPr>
          <w:noProof/>
        </w:rPr>
        <w:t>nar</w:t>
      </w:r>
      <w:r w:rsidR="00503590" w:rsidRPr="00DD1DFA">
        <w:rPr>
          <w:noProof/>
        </w:rPr>
        <w:t>uszeniem art.</w:t>
      </w:r>
      <w:r w:rsidR="00DD1DFA" w:rsidRPr="00DD1DFA">
        <w:rPr>
          <w:noProof/>
        </w:rPr>
        <w:t> </w:t>
      </w:r>
      <w:r w:rsidR="00503590" w:rsidRPr="00DD1DFA">
        <w:rPr>
          <w:noProof/>
        </w:rPr>
        <w:t>17 ust.</w:t>
      </w:r>
      <w:r w:rsidR="00DD1DFA" w:rsidRPr="00DD1DFA">
        <w:rPr>
          <w:noProof/>
        </w:rPr>
        <w:t> </w:t>
      </w:r>
      <w:r w:rsidR="00503590" w:rsidRPr="00DD1DFA">
        <w:rPr>
          <w:noProof/>
        </w:rPr>
        <w:t>1 lub bez prawidłowych informacji, które należy podać wraz</w:t>
      </w:r>
      <w:r w:rsidR="00DD1DFA" w:rsidRPr="00DD1DFA">
        <w:rPr>
          <w:noProof/>
        </w:rPr>
        <w:t xml:space="preserve"> z</w:t>
      </w:r>
      <w:r w:rsidR="00DD1DFA">
        <w:rPr>
          <w:noProof/>
        </w:rPr>
        <w:t> </w:t>
      </w:r>
      <w:r w:rsidR="00DD1DFA" w:rsidRPr="00DD1DFA">
        <w:rPr>
          <w:noProof/>
        </w:rPr>
        <w:t>ozn</w:t>
      </w:r>
      <w:r w:rsidR="00503590" w:rsidRPr="00DD1DFA">
        <w:rPr>
          <w:noProof/>
        </w:rPr>
        <w:t>akowaniem CE zgodnie</w:t>
      </w:r>
      <w:r w:rsidR="00DD1DFA" w:rsidRPr="00DD1DFA">
        <w:rPr>
          <w:noProof/>
        </w:rPr>
        <w:t xml:space="preserve"> z</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17 ust.</w:t>
      </w:r>
      <w:r w:rsidR="00DD1DFA" w:rsidRPr="00DD1DFA">
        <w:rPr>
          <w:noProof/>
        </w:rPr>
        <w:t> </w:t>
      </w:r>
      <w:r w:rsidR="00503590" w:rsidRPr="00DD1DFA">
        <w:rPr>
          <w:noProof/>
        </w:rPr>
        <w:t>2;</w:t>
      </w:r>
    </w:p>
    <w:p w14:paraId="0B82BD80" w14:textId="591EA3CA" w:rsidR="00503590" w:rsidRPr="00DD1DFA" w:rsidRDefault="003C1401" w:rsidP="003C1401">
      <w:pPr>
        <w:pStyle w:val="Point1"/>
        <w:rPr>
          <w:noProof/>
        </w:rPr>
      </w:pPr>
      <w:r w:rsidRPr="003C1401">
        <w:rPr>
          <w:noProof/>
        </w:rPr>
        <w:t>c)</w:t>
      </w:r>
      <w:r w:rsidRPr="003C1401">
        <w:rPr>
          <w:noProof/>
        </w:rPr>
        <w:tab/>
      </w:r>
      <w:r w:rsidR="00503590" w:rsidRPr="00DD1DFA">
        <w:rPr>
          <w:noProof/>
        </w:rPr>
        <w:t>umieszczenie oznakowania CE bez uprzedniego wydania deklaracji właściwości użytkowych;</w:t>
      </w:r>
    </w:p>
    <w:p w14:paraId="31AC9A30" w14:textId="4DAD68FB" w:rsidR="00503590" w:rsidRPr="00DD1DFA" w:rsidRDefault="003C1401" w:rsidP="003C1401">
      <w:pPr>
        <w:pStyle w:val="Point1"/>
        <w:rPr>
          <w:noProof/>
        </w:rPr>
      </w:pPr>
      <w:r w:rsidRPr="003C1401">
        <w:rPr>
          <w:noProof/>
        </w:rPr>
        <w:t>d)</w:t>
      </w:r>
      <w:r w:rsidRPr="003C1401">
        <w:rPr>
          <w:noProof/>
        </w:rPr>
        <w:tab/>
      </w:r>
      <w:r w:rsidR="00503590" w:rsidRPr="00DD1DFA">
        <w:rPr>
          <w:noProof/>
        </w:rPr>
        <w:t>wydawanie deklaracji właściwości użytkowych lub deklaracji zgodności</w:t>
      </w:r>
      <w:r w:rsidR="00DD1DFA" w:rsidRPr="00DD1DFA">
        <w:rPr>
          <w:noProof/>
        </w:rPr>
        <w:t xml:space="preserve"> w</w:t>
      </w:r>
      <w:r w:rsidR="00DD1DFA">
        <w:rPr>
          <w:noProof/>
        </w:rPr>
        <w:t> </w:t>
      </w:r>
      <w:r w:rsidR="00DD1DFA" w:rsidRPr="00DD1DFA">
        <w:rPr>
          <w:noProof/>
        </w:rPr>
        <w:t>prz</w:t>
      </w:r>
      <w:r w:rsidR="00503590" w:rsidRPr="00DD1DFA">
        <w:rPr>
          <w:noProof/>
        </w:rPr>
        <w:t>ypadku gdy nie zostały spełnione odpowiednie warunki;</w:t>
      </w:r>
    </w:p>
    <w:p w14:paraId="45A3F03D" w14:textId="1E786AC6" w:rsidR="00503590" w:rsidRPr="00DD1DFA" w:rsidRDefault="003C1401" w:rsidP="003C1401">
      <w:pPr>
        <w:pStyle w:val="Point1"/>
        <w:rPr>
          <w:noProof/>
        </w:rPr>
      </w:pPr>
      <w:r w:rsidRPr="003C1401">
        <w:rPr>
          <w:noProof/>
        </w:rPr>
        <w:t>e)</w:t>
      </w:r>
      <w:r w:rsidRPr="003C1401">
        <w:rPr>
          <w:noProof/>
        </w:rPr>
        <w:tab/>
      </w:r>
      <w:r w:rsidR="00503590" w:rsidRPr="00DD1DFA">
        <w:rPr>
          <w:noProof/>
        </w:rPr>
        <w:t>deklaracja właściwości użytkowych lub deklaracja zgodności jest niekompletna lub nieprawidłowa;</w:t>
      </w:r>
    </w:p>
    <w:p w14:paraId="3D4434F8" w14:textId="4FD6B55C" w:rsidR="00503590" w:rsidRPr="00DD1DFA" w:rsidRDefault="003C1401" w:rsidP="003C1401">
      <w:pPr>
        <w:pStyle w:val="Point1"/>
        <w:rPr>
          <w:noProof/>
        </w:rPr>
      </w:pPr>
      <w:r w:rsidRPr="003C1401">
        <w:rPr>
          <w:noProof/>
        </w:rPr>
        <w:t>f)</w:t>
      </w:r>
      <w:r w:rsidRPr="003C1401">
        <w:rPr>
          <w:noProof/>
        </w:rPr>
        <w:tab/>
      </w:r>
      <w:r w:rsidR="00503590" w:rsidRPr="00DD1DFA">
        <w:rPr>
          <w:noProof/>
        </w:rPr>
        <w:t>brak jest dokumentacji technicznej, jest ona niekompletna lub nieprawidłowa;</w:t>
      </w:r>
    </w:p>
    <w:p w14:paraId="7CB0DBA4" w14:textId="42071B4E" w:rsidR="00503590" w:rsidRPr="00DD1DFA" w:rsidRDefault="003C1401" w:rsidP="003C1401">
      <w:pPr>
        <w:pStyle w:val="Point1"/>
        <w:rPr>
          <w:noProof/>
        </w:rPr>
      </w:pPr>
      <w:r w:rsidRPr="003C1401">
        <w:rPr>
          <w:noProof/>
        </w:rPr>
        <w:t>g)</w:t>
      </w:r>
      <w:r w:rsidRPr="003C1401">
        <w:rPr>
          <w:noProof/>
        </w:rPr>
        <w:tab/>
      </w:r>
      <w:r w:rsidR="00503590" w:rsidRPr="00DD1DFA">
        <w:rPr>
          <w:noProof/>
        </w:rPr>
        <w:t>brak jest informacji, które mają być dostarczane zgodnie</w:t>
      </w:r>
      <w:r w:rsidR="00DD1DFA" w:rsidRPr="00DD1DFA">
        <w:rPr>
          <w:noProof/>
        </w:rPr>
        <w:t xml:space="preserve"> z</w:t>
      </w:r>
      <w:r w:rsidR="00DD1DFA">
        <w:rPr>
          <w:noProof/>
        </w:rPr>
        <w:t> </w:t>
      </w:r>
      <w:r w:rsidR="00DD1DFA" w:rsidRPr="00DD1DFA">
        <w:rPr>
          <w:noProof/>
        </w:rPr>
        <w:t>zał</w:t>
      </w:r>
      <w:r w:rsidR="00503590" w:rsidRPr="00DD1DFA">
        <w:rPr>
          <w:noProof/>
        </w:rPr>
        <w:t>ącznikiem I część D, oraz zharmonizowanych specyfikacji technicznych, albo są one niekompletne lub nieprawidłowe;</w:t>
      </w:r>
    </w:p>
    <w:p w14:paraId="27E722B5" w14:textId="3CA0BB13" w:rsidR="00503590" w:rsidRPr="00DD1DFA" w:rsidRDefault="003C1401" w:rsidP="003C1401">
      <w:pPr>
        <w:pStyle w:val="Point1"/>
        <w:rPr>
          <w:noProof/>
        </w:rPr>
      </w:pPr>
      <w:r w:rsidRPr="003C1401">
        <w:rPr>
          <w:noProof/>
        </w:rPr>
        <w:t>h)</w:t>
      </w:r>
      <w:r w:rsidRPr="003C1401">
        <w:rPr>
          <w:noProof/>
        </w:rPr>
        <w:tab/>
      </w:r>
      <w:r w:rsidR="00503590" w:rsidRPr="00DD1DFA">
        <w:rPr>
          <w:noProof/>
        </w:rPr>
        <w:t>brak jest informacji,</w:t>
      </w:r>
      <w:r w:rsidR="00DD1DFA" w:rsidRPr="00DD1DFA">
        <w:rPr>
          <w:noProof/>
        </w:rPr>
        <w:t xml:space="preserve"> o</w:t>
      </w:r>
      <w:r w:rsidR="00DD1DFA">
        <w:rPr>
          <w:noProof/>
        </w:rPr>
        <w:t> </w:t>
      </w:r>
      <w:r w:rsidR="00DD1DFA" w:rsidRPr="00DD1DFA">
        <w:rPr>
          <w:noProof/>
        </w:rPr>
        <w:t>któ</w:t>
      </w:r>
      <w:r w:rsidR="00503590" w:rsidRPr="00DD1DFA">
        <w:rPr>
          <w:noProof/>
        </w:rPr>
        <w:t>rych mowa</w:t>
      </w:r>
      <w:r w:rsidR="00DD1DFA" w:rsidRPr="00DD1DFA">
        <w:rPr>
          <w:noProof/>
        </w:rPr>
        <w:t xml:space="preserve"> w</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21 ust.</w:t>
      </w:r>
      <w:r w:rsidR="00DD1DFA" w:rsidRPr="00DD1DFA">
        <w:rPr>
          <w:noProof/>
        </w:rPr>
        <w:t> </w:t>
      </w:r>
      <w:r w:rsidR="00503590" w:rsidRPr="00DD1DFA">
        <w:rPr>
          <w:noProof/>
        </w:rPr>
        <w:t>4, art.</w:t>
      </w:r>
      <w:r w:rsidR="00DD1DFA" w:rsidRPr="00DD1DFA">
        <w:rPr>
          <w:noProof/>
        </w:rPr>
        <w:t> </w:t>
      </w:r>
      <w:r w:rsidR="00503590" w:rsidRPr="00DD1DFA">
        <w:rPr>
          <w:noProof/>
        </w:rPr>
        <w:t>22 ust.</w:t>
      </w:r>
      <w:r w:rsidR="00DD1DFA" w:rsidRPr="00DD1DFA">
        <w:rPr>
          <w:noProof/>
        </w:rPr>
        <w:t> </w:t>
      </w:r>
      <w:r w:rsidR="00503590" w:rsidRPr="00DD1DFA">
        <w:rPr>
          <w:noProof/>
        </w:rPr>
        <w:t>2 lit.</w:t>
      </w:r>
      <w:r w:rsidR="00DD1DFA" w:rsidRPr="00DD1DFA">
        <w:rPr>
          <w:noProof/>
        </w:rPr>
        <w:t> </w:t>
      </w:r>
      <w:r w:rsidR="00503590" w:rsidRPr="00DD1DFA">
        <w:rPr>
          <w:noProof/>
        </w:rPr>
        <w:t>f) i i) lub art.</w:t>
      </w:r>
      <w:r w:rsidR="00DD1DFA" w:rsidRPr="00DD1DFA">
        <w:rPr>
          <w:noProof/>
        </w:rPr>
        <w:t> </w:t>
      </w:r>
      <w:r w:rsidR="00503590" w:rsidRPr="00DD1DFA">
        <w:rPr>
          <w:noProof/>
        </w:rPr>
        <w:t>21 ust.</w:t>
      </w:r>
      <w:r w:rsidR="00DD1DFA" w:rsidRPr="00DD1DFA">
        <w:rPr>
          <w:noProof/>
        </w:rPr>
        <w:t> </w:t>
      </w:r>
      <w:r w:rsidR="00503590" w:rsidRPr="00DD1DFA">
        <w:rPr>
          <w:noProof/>
        </w:rPr>
        <w:t>7</w:t>
      </w:r>
      <w:r w:rsidR="00DD1DFA" w:rsidRPr="00DD1DFA">
        <w:rPr>
          <w:noProof/>
        </w:rPr>
        <w:t xml:space="preserve"> i</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24, albo są one niekompletne lub nieprawidłowe;</w:t>
      </w:r>
    </w:p>
    <w:p w14:paraId="692B449B" w14:textId="58613B76" w:rsidR="00503590" w:rsidRPr="00DD1DFA" w:rsidRDefault="003C1401" w:rsidP="003C1401">
      <w:pPr>
        <w:pStyle w:val="Point1"/>
        <w:rPr>
          <w:noProof/>
        </w:rPr>
      </w:pPr>
      <w:r w:rsidRPr="003C1401">
        <w:rPr>
          <w:noProof/>
        </w:rPr>
        <w:t>i)</w:t>
      </w:r>
      <w:r w:rsidRPr="003C1401">
        <w:rPr>
          <w:noProof/>
        </w:rPr>
        <w:tab/>
      </w:r>
      <w:r w:rsidR="00503590" w:rsidRPr="00DD1DFA">
        <w:rPr>
          <w:noProof/>
        </w:rPr>
        <w:t>nie spełniono innych wymogów administracyjnych,</w:t>
      </w:r>
      <w:r w:rsidR="00DD1DFA" w:rsidRPr="00DD1DFA">
        <w:rPr>
          <w:noProof/>
        </w:rPr>
        <w:t xml:space="preserve"> o</w:t>
      </w:r>
      <w:r w:rsidR="00DD1DFA">
        <w:rPr>
          <w:noProof/>
        </w:rPr>
        <w:t> </w:t>
      </w:r>
      <w:r w:rsidR="00DD1DFA" w:rsidRPr="00DD1DFA">
        <w:rPr>
          <w:noProof/>
        </w:rPr>
        <w:t>któ</w:t>
      </w:r>
      <w:r w:rsidR="00503590" w:rsidRPr="00DD1DFA">
        <w:rPr>
          <w:noProof/>
        </w:rPr>
        <w:t>rych mowa</w:t>
      </w:r>
      <w:r w:rsidR="00DD1DFA" w:rsidRPr="00DD1DFA">
        <w:rPr>
          <w:noProof/>
        </w:rPr>
        <w:t xml:space="preserve"> w</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21, 22 lub</w:t>
      </w:r>
      <w:r w:rsidR="00DD1DFA" w:rsidRPr="00DD1DFA">
        <w:rPr>
          <w:noProof/>
        </w:rPr>
        <w:t> </w:t>
      </w:r>
      <w:r w:rsidR="00503590" w:rsidRPr="00DD1DFA">
        <w:rPr>
          <w:noProof/>
        </w:rPr>
        <w:t>24;</w:t>
      </w:r>
    </w:p>
    <w:p w14:paraId="3BF3D9C2" w14:textId="26044B35" w:rsidR="00503590" w:rsidRPr="00DD1DFA" w:rsidRDefault="003C1401" w:rsidP="003C1401">
      <w:pPr>
        <w:pStyle w:val="Point1"/>
        <w:rPr>
          <w:noProof/>
        </w:rPr>
      </w:pPr>
      <w:r w:rsidRPr="003C1401">
        <w:rPr>
          <w:noProof/>
        </w:rPr>
        <w:t>j)</w:t>
      </w:r>
      <w:r w:rsidRPr="003C1401">
        <w:rPr>
          <w:noProof/>
        </w:rPr>
        <w:tab/>
      </w:r>
      <w:r w:rsidR="00503590" w:rsidRPr="00DD1DFA">
        <w:rPr>
          <w:noProof/>
        </w:rPr>
        <w:t xml:space="preserve">nie dostarczono informacji, które należało przekazać jednostkom notyfikowanym, JOT lub organom lub są one nieprawidłowe; </w:t>
      </w:r>
    </w:p>
    <w:p w14:paraId="14F5AD17" w14:textId="6DE0D1B8" w:rsidR="00503590" w:rsidRPr="00DD1DFA" w:rsidRDefault="003C1401" w:rsidP="003C1401">
      <w:pPr>
        <w:pStyle w:val="Point1"/>
        <w:rPr>
          <w:noProof/>
        </w:rPr>
      </w:pPr>
      <w:r w:rsidRPr="003C1401">
        <w:rPr>
          <w:noProof/>
        </w:rPr>
        <w:t>k)</w:t>
      </w:r>
      <w:r w:rsidRPr="003C1401">
        <w:rPr>
          <w:noProof/>
        </w:rPr>
        <w:tab/>
      </w:r>
      <w:r w:rsidR="00503590" w:rsidRPr="00DD1DFA">
        <w:rPr>
          <w:noProof/>
        </w:rPr>
        <w:t>niepodejmowanie działań wymaganych</w:t>
      </w:r>
      <w:r w:rsidR="00DD1DFA" w:rsidRPr="00DD1DFA">
        <w:rPr>
          <w:noProof/>
        </w:rPr>
        <w:t xml:space="preserve"> w</w:t>
      </w:r>
      <w:r w:rsidR="00DD1DFA">
        <w:rPr>
          <w:noProof/>
        </w:rPr>
        <w:t> </w:t>
      </w:r>
      <w:r w:rsidR="00DD1DFA" w:rsidRPr="00DD1DFA">
        <w:rPr>
          <w:noProof/>
        </w:rPr>
        <w:t>prz</w:t>
      </w:r>
      <w:r w:rsidR="00503590" w:rsidRPr="00DD1DFA">
        <w:rPr>
          <w:noProof/>
        </w:rPr>
        <w:t>ypadku wystąpienia niezgodności lub ryzyka, które są obowiązkowe zgodnie</w:t>
      </w:r>
      <w:r w:rsidR="00DD1DFA" w:rsidRPr="00DD1DFA">
        <w:rPr>
          <w:noProof/>
        </w:rPr>
        <w:t xml:space="preserve"> z</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21 ust.</w:t>
      </w:r>
      <w:r w:rsidR="00DD1DFA" w:rsidRPr="00DD1DFA">
        <w:rPr>
          <w:noProof/>
        </w:rPr>
        <w:t> </w:t>
      </w:r>
      <w:r w:rsidR="00503590" w:rsidRPr="00DD1DFA">
        <w:rPr>
          <w:noProof/>
        </w:rPr>
        <w:t>8</w:t>
      </w:r>
      <w:r w:rsidR="00DD1DFA" w:rsidRPr="00DD1DFA">
        <w:rPr>
          <w:noProof/>
        </w:rPr>
        <w:t xml:space="preserve"> i</w:t>
      </w:r>
      <w:r w:rsidR="00DD1DFA">
        <w:rPr>
          <w:noProof/>
        </w:rPr>
        <w:t> </w:t>
      </w:r>
      <w:r w:rsidR="00DD1DFA" w:rsidRPr="00DD1DFA">
        <w:rPr>
          <w:noProof/>
        </w:rPr>
        <w:t>9</w:t>
      </w:r>
      <w:r w:rsidR="00503590" w:rsidRPr="00DD1DFA">
        <w:rPr>
          <w:noProof/>
        </w:rPr>
        <w:t>, art.</w:t>
      </w:r>
      <w:r w:rsidR="00DD1DFA" w:rsidRPr="00DD1DFA">
        <w:rPr>
          <w:noProof/>
        </w:rPr>
        <w:t> </w:t>
      </w:r>
      <w:r w:rsidR="00503590" w:rsidRPr="00DD1DFA">
        <w:rPr>
          <w:noProof/>
        </w:rPr>
        <w:t>23 ust.</w:t>
      </w:r>
      <w:r w:rsidR="00DD1DFA" w:rsidRPr="00DD1DFA">
        <w:rPr>
          <w:noProof/>
        </w:rPr>
        <w:t> </w:t>
      </w:r>
      <w:r w:rsidR="00503590" w:rsidRPr="00DD1DFA">
        <w:rPr>
          <w:noProof/>
        </w:rPr>
        <w:t>3 lit.</w:t>
      </w:r>
      <w:r w:rsidR="00DD1DFA" w:rsidRPr="00DD1DFA">
        <w:rPr>
          <w:noProof/>
        </w:rPr>
        <w:t> </w:t>
      </w:r>
      <w:r w:rsidR="00503590" w:rsidRPr="00DD1DFA">
        <w:rPr>
          <w:noProof/>
        </w:rPr>
        <w:t>d) i e), art.</w:t>
      </w:r>
      <w:r w:rsidR="00DD1DFA" w:rsidRPr="00DD1DFA">
        <w:rPr>
          <w:noProof/>
        </w:rPr>
        <w:t> </w:t>
      </w:r>
      <w:r w:rsidR="00503590" w:rsidRPr="00DD1DFA">
        <w:rPr>
          <w:noProof/>
        </w:rPr>
        <w:t>24 ust.</w:t>
      </w:r>
      <w:r w:rsidR="00DD1DFA" w:rsidRPr="00DD1DFA">
        <w:rPr>
          <w:noProof/>
        </w:rPr>
        <w:t> </w:t>
      </w:r>
      <w:r w:rsidR="00503590" w:rsidRPr="00DD1DFA">
        <w:rPr>
          <w:noProof/>
        </w:rPr>
        <w:t>5, art.</w:t>
      </w:r>
      <w:r w:rsidR="00DD1DFA" w:rsidRPr="00DD1DFA">
        <w:rPr>
          <w:noProof/>
        </w:rPr>
        <w:t> </w:t>
      </w:r>
      <w:r w:rsidR="00503590" w:rsidRPr="00DD1DFA">
        <w:rPr>
          <w:noProof/>
        </w:rPr>
        <w:t>25 ust.</w:t>
      </w:r>
      <w:r w:rsidR="00DD1DFA" w:rsidRPr="00DD1DFA">
        <w:rPr>
          <w:noProof/>
        </w:rPr>
        <w:t> </w:t>
      </w:r>
      <w:r w:rsidR="00503590" w:rsidRPr="00DD1DFA">
        <w:rPr>
          <w:noProof/>
        </w:rPr>
        <w:t>2</w:t>
      </w:r>
      <w:r w:rsidR="00DD1DFA" w:rsidRPr="00DD1DFA">
        <w:rPr>
          <w:noProof/>
        </w:rPr>
        <w:t xml:space="preserve"> w</w:t>
      </w:r>
      <w:r w:rsidR="00DD1DFA">
        <w:rPr>
          <w:noProof/>
        </w:rPr>
        <w:t> </w:t>
      </w:r>
      <w:r w:rsidR="00DD1DFA" w:rsidRPr="00DD1DFA">
        <w:rPr>
          <w:noProof/>
        </w:rPr>
        <w:t>zwi</w:t>
      </w:r>
      <w:r w:rsidR="00503590" w:rsidRPr="00DD1DFA">
        <w:rPr>
          <w:noProof/>
        </w:rPr>
        <w:t>ązku</w:t>
      </w:r>
      <w:r w:rsidR="00DD1DFA" w:rsidRPr="00DD1DFA">
        <w:rPr>
          <w:noProof/>
        </w:rPr>
        <w:t xml:space="preserve"> z</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24 ust.</w:t>
      </w:r>
      <w:r w:rsidR="00DD1DFA" w:rsidRPr="00DD1DFA">
        <w:rPr>
          <w:noProof/>
        </w:rPr>
        <w:t> </w:t>
      </w:r>
      <w:r w:rsidR="00503590" w:rsidRPr="00DD1DFA">
        <w:rPr>
          <w:noProof/>
        </w:rPr>
        <w:t>5, art.</w:t>
      </w:r>
      <w:r w:rsidR="00DD1DFA" w:rsidRPr="00DD1DFA">
        <w:rPr>
          <w:noProof/>
        </w:rPr>
        <w:t> </w:t>
      </w:r>
      <w:r w:rsidR="00503590" w:rsidRPr="00DD1DFA">
        <w:rPr>
          <w:noProof/>
        </w:rPr>
        <w:t>27 ust.</w:t>
      </w:r>
      <w:r w:rsidR="00DD1DFA" w:rsidRPr="00DD1DFA">
        <w:rPr>
          <w:noProof/>
        </w:rPr>
        <w:t> </w:t>
      </w:r>
      <w:r w:rsidR="00503590" w:rsidRPr="00DD1DFA">
        <w:rPr>
          <w:noProof/>
        </w:rPr>
        <w:t>2 lit.</w:t>
      </w:r>
      <w:r w:rsidR="00DD1DFA" w:rsidRPr="00DD1DFA">
        <w:rPr>
          <w:noProof/>
        </w:rPr>
        <w:t> </w:t>
      </w:r>
      <w:r w:rsidR="00503590" w:rsidRPr="00DD1DFA">
        <w:rPr>
          <w:noProof/>
        </w:rPr>
        <w:t>c)</w:t>
      </w:r>
      <w:r w:rsidR="00DD1DFA" w:rsidRPr="00DD1DFA">
        <w:rPr>
          <w:noProof/>
        </w:rPr>
        <w:t xml:space="preserve"> w</w:t>
      </w:r>
      <w:r w:rsidR="00DD1DFA">
        <w:rPr>
          <w:noProof/>
        </w:rPr>
        <w:t> </w:t>
      </w:r>
      <w:r w:rsidR="00DD1DFA" w:rsidRPr="00DD1DFA">
        <w:rPr>
          <w:noProof/>
        </w:rPr>
        <w:t>zwi</w:t>
      </w:r>
      <w:r w:rsidR="00503590" w:rsidRPr="00DD1DFA">
        <w:rPr>
          <w:noProof/>
        </w:rPr>
        <w:t>ązku</w:t>
      </w:r>
      <w:r w:rsidR="00DD1DFA" w:rsidRPr="00DD1DFA">
        <w:rPr>
          <w:noProof/>
        </w:rPr>
        <w:t xml:space="preserve"> z</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24 ust.</w:t>
      </w:r>
      <w:r w:rsidR="00DD1DFA" w:rsidRPr="00DD1DFA">
        <w:rPr>
          <w:noProof/>
        </w:rPr>
        <w:t> </w:t>
      </w:r>
      <w:r w:rsidR="00503590" w:rsidRPr="00DD1DFA">
        <w:rPr>
          <w:noProof/>
        </w:rPr>
        <w:t>5</w:t>
      </w:r>
      <w:r w:rsidR="00DD1DFA" w:rsidRPr="00DD1DFA">
        <w:rPr>
          <w:noProof/>
        </w:rPr>
        <w:t xml:space="preserve"> i</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27 ust.</w:t>
      </w:r>
      <w:r w:rsidR="00DD1DFA" w:rsidRPr="00DD1DFA">
        <w:rPr>
          <w:noProof/>
        </w:rPr>
        <w:t> </w:t>
      </w:r>
      <w:r w:rsidR="00503590" w:rsidRPr="00DD1DFA">
        <w:rPr>
          <w:noProof/>
        </w:rPr>
        <w:t>2 lit.</w:t>
      </w:r>
      <w:r w:rsidR="00DD1DFA" w:rsidRPr="00DD1DFA">
        <w:rPr>
          <w:noProof/>
        </w:rPr>
        <w:t> </w:t>
      </w:r>
      <w:r w:rsidR="00503590" w:rsidRPr="00DD1DFA">
        <w:rPr>
          <w:noProof/>
        </w:rPr>
        <w:t>d), e) i g);</w:t>
      </w:r>
    </w:p>
    <w:p w14:paraId="2FFDF504" w14:textId="1440AFC1" w:rsidR="00503590" w:rsidRPr="00DD1DFA" w:rsidRDefault="003C1401" w:rsidP="003C1401">
      <w:pPr>
        <w:pStyle w:val="Point1"/>
        <w:rPr>
          <w:noProof/>
        </w:rPr>
      </w:pPr>
      <w:r w:rsidRPr="003C1401">
        <w:rPr>
          <w:noProof/>
        </w:rPr>
        <w:t>l)</w:t>
      </w:r>
      <w:r w:rsidRPr="003C1401">
        <w:rPr>
          <w:noProof/>
        </w:rPr>
        <w:tab/>
      </w:r>
      <w:r w:rsidR="00503590" w:rsidRPr="00DD1DFA">
        <w:rPr>
          <w:noProof/>
        </w:rPr>
        <w:t>nie spełniono obowiązków</w:t>
      </w:r>
      <w:r w:rsidR="00DD1DFA" w:rsidRPr="00DD1DFA">
        <w:rPr>
          <w:noProof/>
        </w:rPr>
        <w:t xml:space="preserve"> w</w:t>
      </w:r>
      <w:r w:rsidR="00DD1DFA">
        <w:rPr>
          <w:noProof/>
        </w:rPr>
        <w:t> </w:t>
      </w:r>
      <w:r w:rsidR="00DD1DFA" w:rsidRPr="00DD1DFA">
        <w:rPr>
          <w:noProof/>
        </w:rPr>
        <w:t>zak</w:t>
      </w:r>
      <w:r w:rsidR="00503590" w:rsidRPr="00DD1DFA">
        <w:rPr>
          <w:noProof/>
        </w:rPr>
        <w:t>resie weryfikacji wyrobów</w:t>
      </w:r>
      <w:r w:rsidR="00DD1DFA" w:rsidRPr="00DD1DFA">
        <w:rPr>
          <w:noProof/>
        </w:rPr>
        <w:t xml:space="preserve"> i</w:t>
      </w:r>
      <w:r w:rsidR="00DD1DFA">
        <w:rPr>
          <w:noProof/>
        </w:rPr>
        <w:t> </w:t>
      </w:r>
      <w:r w:rsidR="00DD1DFA" w:rsidRPr="00DD1DFA">
        <w:rPr>
          <w:noProof/>
        </w:rPr>
        <w:t>dok</w:t>
      </w:r>
      <w:r w:rsidR="00503590" w:rsidRPr="00DD1DFA">
        <w:rPr>
          <w:noProof/>
        </w:rPr>
        <w:t>umentacji spoczywających na podmiotach gospodarczych zgodnie</w:t>
      </w:r>
      <w:r w:rsidR="00DD1DFA" w:rsidRPr="00DD1DFA">
        <w:rPr>
          <w:noProof/>
        </w:rPr>
        <w:t xml:space="preserve"> z</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23–27 oraz</w:t>
      </w:r>
    </w:p>
    <w:p w14:paraId="3CAD73FE" w14:textId="2BCB0B5A" w:rsidR="00503590" w:rsidRPr="00DD1DFA" w:rsidRDefault="003C1401" w:rsidP="003C1401">
      <w:pPr>
        <w:pStyle w:val="Point1"/>
        <w:rPr>
          <w:noProof/>
        </w:rPr>
      </w:pPr>
      <w:r w:rsidRPr="003C1401">
        <w:rPr>
          <w:noProof/>
        </w:rPr>
        <w:t>m)</w:t>
      </w:r>
      <w:r w:rsidRPr="003C1401">
        <w:rPr>
          <w:noProof/>
        </w:rPr>
        <w:tab/>
      </w:r>
      <w:r w:rsidR="00503590" w:rsidRPr="00DD1DFA">
        <w:rPr>
          <w:noProof/>
        </w:rPr>
        <w:t>świadczenie usług drukowania przestrzennego</w:t>
      </w:r>
      <w:r w:rsidR="00DD1DFA" w:rsidRPr="00DD1DFA">
        <w:rPr>
          <w:noProof/>
        </w:rPr>
        <w:t xml:space="preserve"> z</w:t>
      </w:r>
      <w:r w:rsidR="00DD1DFA">
        <w:rPr>
          <w:noProof/>
        </w:rPr>
        <w:t> </w:t>
      </w:r>
      <w:r w:rsidR="00DD1DFA" w:rsidRPr="00DD1DFA">
        <w:rPr>
          <w:noProof/>
        </w:rPr>
        <w:t>nar</w:t>
      </w:r>
      <w:r w:rsidR="00503590" w:rsidRPr="00DD1DFA">
        <w:rPr>
          <w:noProof/>
        </w:rPr>
        <w:t>uszeniem art.</w:t>
      </w:r>
      <w:r w:rsidR="00DD1DFA" w:rsidRPr="00DD1DFA">
        <w:rPr>
          <w:noProof/>
        </w:rPr>
        <w:t> </w:t>
      </w:r>
      <w:r w:rsidR="00503590" w:rsidRPr="00DD1DFA">
        <w:rPr>
          <w:noProof/>
        </w:rPr>
        <w:t>28.</w:t>
      </w:r>
    </w:p>
    <w:p w14:paraId="6547B36F" w14:textId="75C8B2FB" w:rsidR="00503590" w:rsidRPr="00DD1DFA" w:rsidRDefault="005F7EFA" w:rsidP="005F7EFA">
      <w:pPr>
        <w:pStyle w:val="ManualNumPar1"/>
        <w:rPr>
          <w:noProof/>
        </w:rPr>
      </w:pPr>
      <w:r w:rsidRPr="005F7EFA">
        <w:t>3.</w:t>
      </w:r>
      <w:r w:rsidRPr="005F7EFA">
        <w:tab/>
      </w:r>
      <w:r w:rsidR="00503590" w:rsidRPr="00DD1DFA">
        <w:rPr>
          <w:noProof/>
        </w:rPr>
        <w:t>Państwa członkowskie ustanawiają również przepisy dotyczące sankcji za następujące rodzaje niezgodności JOT</w:t>
      </w:r>
      <w:r w:rsidR="00DD1DFA" w:rsidRPr="00DD1DFA">
        <w:rPr>
          <w:noProof/>
        </w:rPr>
        <w:t xml:space="preserve"> i</w:t>
      </w:r>
      <w:r w:rsidR="00DD1DFA">
        <w:rPr>
          <w:noProof/>
        </w:rPr>
        <w:t> </w:t>
      </w:r>
      <w:r w:rsidR="00DD1DFA" w:rsidRPr="00DD1DFA">
        <w:rPr>
          <w:noProof/>
        </w:rPr>
        <w:t>jed</w:t>
      </w:r>
      <w:r w:rsidR="00503590" w:rsidRPr="00DD1DFA">
        <w:rPr>
          <w:noProof/>
        </w:rPr>
        <w:t>nostek notyfikowanych:</w:t>
      </w:r>
    </w:p>
    <w:p w14:paraId="0ABB9334" w14:textId="75FE9C18" w:rsidR="00503590" w:rsidRPr="00DD1DFA" w:rsidRDefault="003C1401" w:rsidP="003C1401">
      <w:pPr>
        <w:pStyle w:val="Point1"/>
        <w:rPr>
          <w:noProof/>
        </w:rPr>
      </w:pPr>
      <w:r w:rsidRPr="003C1401">
        <w:rPr>
          <w:noProof/>
        </w:rPr>
        <w:t>a)</w:t>
      </w:r>
      <w:r w:rsidRPr="003C1401">
        <w:rPr>
          <w:noProof/>
        </w:rPr>
        <w:tab/>
      </w:r>
      <w:r w:rsidR="00503590" w:rsidRPr="00DD1DFA">
        <w:rPr>
          <w:noProof/>
        </w:rPr>
        <w:t>wydawanie certyfikatów, sprawozdań</w:t>
      </w:r>
      <w:r w:rsidR="00DD1DFA" w:rsidRPr="00DD1DFA">
        <w:rPr>
          <w:noProof/>
        </w:rPr>
        <w:t xml:space="preserve"> z</w:t>
      </w:r>
      <w:r w:rsidR="00DD1DFA">
        <w:rPr>
          <w:noProof/>
        </w:rPr>
        <w:t> </w:t>
      </w:r>
      <w:r w:rsidR="00DD1DFA" w:rsidRPr="00DD1DFA">
        <w:rPr>
          <w:noProof/>
        </w:rPr>
        <w:t>bad</w:t>
      </w:r>
      <w:r w:rsidR="00503590" w:rsidRPr="00DD1DFA">
        <w:rPr>
          <w:noProof/>
        </w:rPr>
        <w:t>ań lub europejskich ocen technicznych,</w:t>
      </w:r>
      <w:r w:rsidR="00DD1DFA" w:rsidRPr="00DD1DFA">
        <w:rPr>
          <w:noProof/>
        </w:rPr>
        <w:t xml:space="preserve"> w</w:t>
      </w:r>
      <w:r w:rsidR="00DD1DFA">
        <w:rPr>
          <w:noProof/>
        </w:rPr>
        <w:t> </w:t>
      </w:r>
      <w:r w:rsidR="00DD1DFA" w:rsidRPr="00DD1DFA">
        <w:rPr>
          <w:noProof/>
        </w:rPr>
        <w:t>prz</w:t>
      </w:r>
      <w:r w:rsidR="00503590" w:rsidRPr="00DD1DFA">
        <w:rPr>
          <w:noProof/>
        </w:rPr>
        <w:t>ypadku gdy nie spełniono odpowiednich warunków;</w:t>
      </w:r>
    </w:p>
    <w:p w14:paraId="590AD841" w14:textId="6AAE6806" w:rsidR="00503590" w:rsidRPr="00DD1DFA" w:rsidRDefault="003C1401" w:rsidP="003C1401">
      <w:pPr>
        <w:pStyle w:val="Point1"/>
        <w:rPr>
          <w:noProof/>
        </w:rPr>
      </w:pPr>
      <w:r w:rsidRPr="003C1401">
        <w:rPr>
          <w:noProof/>
        </w:rPr>
        <w:t>b)</w:t>
      </w:r>
      <w:r w:rsidRPr="003C1401">
        <w:rPr>
          <w:noProof/>
        </w:rPr>
        <w:tab/>
      </w:r>
      <w:r w:rsidR="00503590" w:rsidRPr="00DD1DFA">
        <w:rPr>
          <w:noProof/>
        </w:rPr>
        <w:t>niewycofywanie certyfikatów, sprawozdań</w:t>
      </w:r>
      <w:r w:rsidR="00DD1DFA" w:rsidRPr="00DD1DFA">
        <w:rPr>
          <w:noProof/>
        </w:rPr>
        <w:t xml:space="preserve"> z</w:t>
      </w:r>
      <w:r w:rsidR="00DD1DFA">
        <w:rPr>
          <w:noProof/>
        </w:rPr>
        <w:t> </w:t>
      </w:r>
      <w:r w:rsidR="00DD1DFA" w:rsidRPr="00DD1DFA">
        <w:rPr>
          <w:noProof/>
        </w:rPr>
        <w:t>bad</w:t>
      </w:r>
      <w:r w:rsidR="00503590" w:rsidRPr="00DD1DFA">
        <w:rPr>
          <w:noProof/>
        </w:rPr>
        <w:t>ań lub europejskich ocen technicznych,</w:t>
      </w:r>
      <w:r w:rsidR="00DD1DFA" w:rsidRPr="00DD1DFA">
        <w:rPr>
          <w:noProof/>
        </w:rPr>
        <w:t xml:space="preserve"> w</w:t>
      </w:r>
      <w:r w:rsidR="00DD1DFA">
        <w:rPr>
          <w:noProof/>
        </w:rPr>
        <w:t> </w:t>
      </w:r>
      <w:r w:rsidR="00DD1DFA" w:rsidRPr="00DD1DFA">
        <w:rPr>
          <w:noProof/>
        </w:rPr>
        <w:t>prz</w:t>
      </w:r>
      <w:r w:rsidR="00503590" w:rsidRPr="00DD1DFA">
        <w:rPr>
          <w:noProof/>
        </w:rPr>
        <w:t>ypadku gdy takie wycofanie jest obowiązkowe;</w:t>
      </w:r>
    </w:p>
    <w:p w14:paraId="10170F75" w14:textId="7A0714A7" w:rsidR="00503590" w:rsidRPr="00DD1DFA" w:rsidRDefault="003C1401" w:rsidP="003C1401">
      <w:pPr>
        <w:pStyle w:val="Point1"/>
        <w:rPr>
          <w:noProof/>
        </w:rPr>
      </w:pPr>
      <w:r w:rsidRPr="003C1401">
        <w:rPr>
          <w:noProof/>
        </w:rPr>
        <w:t>c)</w:t>
      </w:r>
      <w:r w:rsidRPr="003C1401">
        <w:rPr>
          <w:noProof/>
        </w:rPr>
        <w:tab/>
      </w:r>
      <w:r w:rsidR="00503590" w:rsidRPr="00DD1DFA">
        <w:rPr>
          <w:noProof/>
        </w:rPr>
        <w:t>niedostarczenie informacji, które należało przekazać jednostkom notyfikowanym, JOT lub organom, albo są one niekompletne lub nieprawidłowe oraz</w:t>
      </w:r>
    </w:p>
    <w:p w14:paraId="5FB8A6D0" w14:textId="2FE99D0C" w:rsidR="00503590" w:rsidRPr="00DD1DFA" w:rsidRDefault="003C1401" w:rsidP="003C1401">
      <w:pPr>
        <w:pStyle w:val="Point1"/>
        <w:rPr>
          <w:noProof/>
        </w:rPr>
      </w:pPr>
      <w:r w:rsidRPr="003C1401">
        <w:rPr>
          <w:noProof/>
        </w:rPr>
        <w:t>d)</w:t>
      </w:r>
      <w:r w:rsidRPr="003C1401">
        <w:rPr>
          <w:noProof/>
        </w:rPr>
        <w:tab/>
      </w:r>
      <w:r w:rsidR="00503590" w:rsidRPr="00DD1DFA">
        <w:rPr>
          <w:noProof/>
        </w:rPr>
        <w:t>nieprzestrzeganie poleceń organów.</w:t>
      </w:r>
    </w:p>
    <w:p w14:paraId="49E452F4" w14:textId="6C46DE3D" w:rsidR="00503590" w:rsidRPr="00DD1DFA" w:rsidRDefault="005F7EFA" w:rsidP="005F7EFA">
      <w:pPr>
        <w:pStyle w:val="ManualNumPar1"/>
        <w:rPr>
          <w:noProof/>
        </w:rPr>
      </w:pPr>
      <w:r w:rsidRPr="005F7EFA">
        <w:t>4.</w:t>
      </w:r>
      <w:r w:rsidRPr="005F7EFA">
        <w:tab/>
      </w:r>
      <w:r w:rsidR="00503590" w:rsidRPr="00DD1DFA">
        <w:rPr>
          <w:noProof/>
        </w:rPr>
        <w:t>Komisja jest uprawniona do uzupełnienia niniejszego rozporządzenia</w:t>
      </w:r>
      <w:r w:rsidR="00DD1DFA" w:rsidRPr="00DD1DFA">
        <w:rPr>
          <w:noProof/>
        </w:rPr>
        <w:t xml:space="preserve"> w</w:t>
      </w:r>
      <w:r w:rsidR="00DD1DFA">
        <w:rPr>
          <w:noProof/>
        </w:rPr>
        <w:t> </w:t>
      </w:r>
      <w:r w:rsidR="00DD1DFA" w:rsidRPr="00DD1DFA">
        <w:rPr>
          <w:noProof/>
        </w:rPr>
        <w:t>dro</w:t>
      </w:r>
      <w:r w:rsidR="00503590" w:rsidRPr="00DD1DFA">
        <w:rPr>
          <w:noProof/>
        </w:rPr>
        <w:t>dze aktu delegowanego przyjętego zgodnie</w:t>
      </w:r>
      <w:r w:rsidR="00DD1DFA" w:rsidRPr="00DD1DFA">
        <w:rPr>
          <w:noProof/>
        </w:rPr>
        <w:t xml:space="preserve"> z</w:t>
      </w:r>
      <w:r w:rsidR="00DD1DFA">
        <w:rPr>
          <w:noProof/>
        </w:rPr>
        <w:t> </w:t>
      </w:r>
      <w:r w:rsidR="00DD1DFA" w:rsidRPr="00DD1DFA">
        <w:rPr>
          <w:noProof/>
        </w:rPr>
        <w:t>art</w:t>
      </w:r>
      <w:r w:rsidR="00503590" w:rsidRPr="00DD1DFA">
        <w:rPr>
          <w:noProof/>
        </w:rPr>
        <w:t>.</w:t>
      </w:r>
      <w:r w:rsidR="00DD1DFA" w:rsidRPr="00DD1DFA">
        <w:rPr>
          <w:noProof/>
        </w:rPr>
        <w:t> </w:t>
      </w:r>
      <w:r w:rsidR="00503590" w:rsidRPr="00DD1DFA">
        <w:rPr>
          <w:noProof/>
        </w:rPr>
        <w:t>87</w:t>
      </w:r>
      <w:r w:rsidR="00DD1DFA" w:rsidRPr="00DD1DFA">
        <w:rPr>
          <w:noProof/>
        </w:rPr>
        <w:t xml:space="preserve"> w</w:t>
      </w:r>
      <w:r w:rsidR="00DD1DFA">
        <w:rPr>
          <w:noProof/>
        </w:rPr>
        <w:t> </w:t>
      </w:r>
      <w:r w:rsidR="00DD1DFA" w:rsidRPr="00DD1DFA">
        <w:rPr>
          <w:noProof/>
        </w:rPr>
        <w:t>cel</w:t>
      </w:r>
      <w:r w:rsidR="00503590" w:rsidRPr="00DD1DFA">
        <w:rPr>
          <w:noProof/>
        </w:rPr>
        <w:t>u ustanowienia proporcjonalnych sankcji minimalnych, nakładanych na wszystkie podmioty gospodarcze, JOT</w:t>
      </w:r>
      <w:r w:rsidR="00DD1DFA" w:rsidRPr="00DD1DFA">
        <w:rPr>
          <w:noProof/>
        </w:rPr>
        <w:t xml:space="preserve"> i</w:t>
      </w:r>
      <w:r w:rsidR="00DD1DFA">
        <w:rPr>
          <w:noProof/>
        </w:rPr>
        <w:t> </w:t>
      </w:r>
      <w:r w:rsidR="00DD1DFA" w:rsidRPr="00DD1DFA">
        <w:rPr>
          <w:noProof/>
        </w:rPr>
        <w:t>jed</w:t>
      </w:r>
      <w:r w:rsidR="00503590" w:rsidRPr="00DD1DFA">
        <w:rPr>
          <w:noProof/>
        </w:rPr>
        <w:t>nostki notyfikowane bezpośrednio lub pośrednio zaangażowane</w:t>
      </w:r>
      <w:r w:rsidR="00DD1DFA" w:rsidRPr="00DD1DFA">
        <w:rPr>
          <w:noProof/>
        </w:rPr>
        <w:t xml:space="preserve"> w</w:t>
      </w:r>
      <w:r w:rsidR="00DD1DFA">
        <w:rPr>
          <w:noProof/>
        </w:rPr>
        <w:t> </w:t>
      </w:r>
      <w:r w:rsidR="00DD1DFA" w:rsidRPr="00DD1DFA">
        <w:rPr>
          <w:noProof/>
        </w:rPr>
        <w:t>nar</w:t>
      </w:r>
      <w:r w:rsidR="00503590" w:rsidRPr="00DD1DFA">
        <w:rPr>
          <w:noProof/>
        </w:rPr>
        <w:t>uszenie obowiązków wynikających</w:t>
      </w:r>
      <w:r w:rsidR="00DD1DFA" w:rsidRPr="00DD1DFA">
        <w:rPr>
          <w:noProof/>
        </w:rPr>
        <w:t xml:space="preserve"> z</w:t>
      </w:r>
      <w:r w:rsidR="00DD1DFA">
        <w:rPr>
          <w:noProof/>
        </w:rPr>
        <w:t> </w:t>
      </w:r>
      <w:r w:rsidR="00DD1DFA" w:rsidRPr="00DD1DFA">
        <w:rPr>
          <w:noProof/>
        </w:rPr>
        <w:t>nin</w:t>
      </w:r>
      <w:r w:rsidR="00503590" w:rsidRPr="00DD1DFA">
        <w:rPr>
          <w:noProof/>
        </w:rPr>
        <w:t xml:space="preserve">iejszego rozporządzenia. </w:t>
      </w:r>
    </w:p>
    <w:p w14:paraId="574F28DD" w14:textId="58AC7C77" w:rsidR="00696AAA" w:rsidRPr="00DD1DFA" w:rsidRDefault="00237A9E" w:rsidP="00696AAA">
      <w:pPr>
        <w:pStyle w:val="Titrearticle"/>
        <w:rPr>
          <w:noProof/>
        </w:rPr>
      </w:pPr>
      <w:r w:rsidRPr="00DD1DFA">
        <w:rPr>
          <w:noProof/>
        </w:rPr>
        <w:t xml:space="preserve">Artykuł 91 </w:t>
      </w:r>
    </w:p>
    <w:p w14:paraId="12DF9867" w14:textId="77777777" w:rsidR="00696AAA" w:rsidRPr="00DD1DFA" w:rsidRDefault="00696AAA" w:rsidP="00696AAA">
      <w:pPr>
        <w:pStyle w:val="Titrearticle"/>
        <w:rPr>
          <w:b/>
          <w:noProof/>
        </w:rPr>
      </w:pPr>
      <w:r w:rsidRPr="00DD1DFA">
        <w:rPr>
          <w:b/>
          <w:noProof/>
        </w:rPr>
        <w:t>Ocena</w:t>
      </w:r>
    </w:p>
    <w:p w14:paraId="26E67366" w14:textId="6E37617B" w:rsidR="00775132" w:rsidRPr="00DD1DFA" w:rsidRDefault="00775132" w:rsidP="00775132">
      <w:pPr>
        <w:shd w:val="clear" w:color="auto" w:fill="FFFFFF" w:themeFill="background1"/>
        <w:spacing w:after="0"/>
        <w:rPr>
          <w:noProof/>
          <w:color w:val="000000" w:themeColor="text1"/>
        </w:rPr>
      </w:pPr>
      <w:r w:rsidRPr="00DD1DFA">
        <w:rPr>
          <w:noProof/>
          <w:color w:val="000000" w:themeColor="text1"/>
        </w:rPr>
        <w:t xml:space="preserve">Nie wcześniej niż osiem lat od daty rozpoczęcia stosowania niniejszego rozporządzenia Komisja przeprowadza ocenę niniejszego rozporządzenia </w:t>
      </w:r>
      <w:r w:rsidRPr="00DD1DFA">
        <w:rPr>
          <w:noProof/>
        </w:rPr>
        <w:t>oraz jego wkładu</w:t>
      </w:r>
      <w:r w:rsidR="00DD1DFA" w:rsidRPr="00DD1DFA">
        <w:rPr>
          <w:noProof/>
        </w:rPr>
        <w:t xml:space="preserve"> w</w:t>
      </w:r>
      <w:r w:rsidR="00DD1DFA">
        <w:rPr>
          <w:noProof/>
        </w:rPr>
        <w:t> </w:t>
      </w:r>
      <w:r w:rsidR="00DD1DFA" w:rsidRPr="00DD1DFA">
        <w:rPr>
          <w:noProof/>
        </w:rPr>
        <w:t>fun</w:t>
      </w:r>
      <w:r w:rsidRPr="00DD1DFA">
        <w:rPr>
          <w:noProof/>
        </w:rPr>
        <w:t>kcjonowanie rynku wewnętrznego</w:t>
      </w:r>
      <w:r w:rsidR="00DD1DFA" w:rsidRPr="00DD1DFA">
        <w:rPr>
          <w:noProof/>
        </w:rPr>
        <w:t xml:space="preserve"> i</w:t>
      </w:r>
      <w:r w:rsidR="00DD1DFA">
        <w:rPr>
          <w:noProof/>
        </w:rPr>
        <w:t> </w:t>
      </w:r>
      <w:r w:rsidR="00DD1DFA" w:rsidRPr="00DD1DFA">
        <w:rPr>
          <w:noProof/>
        </w:rPr>
        <w:t>pop</w:t>
      </w:r>
      <w:r w:rsidRPr="00DD1DFA">
        <w:rPr>
          <w:noProof/>
        </w:rPr>
        <w:t>rawę zrównoważenia środowiskowego wyrobów</w:t>
      </w:r>
      <w:r w:rsidR="00DD1DFA" w:rsidRPr="00DD1DFA">
        <w:rPr>
          <w:noProof/>
        </w:rPr>
        <w:t xml:space="preserve"> i</w:t>
      </w:r>
      <w:r w:rsidR="00DD1DFA">
        <w:rPr>
          <w:noProof/>
        </w:rPr>
        <w:t> </w:t>
      </w:r>
      <w:r w:rsidR="00DD1DFA" w:rsidRPr="00DD1DFA">
        <w:rPr>
          <w:noProof/>
        </w:rPr>
        <w:t>obi</w:t>
      </w:r>
      <w:r w:rsidRPr="00DD1DFA">
        <w:rPr>
          <w:noProof/>
        </w:rPr>
        <w:t xml:space="preserve">ektów budowlanych oraz środowiska zbudowanego. </w:t>
      </w:r>
      <w:r w:rsidRPr="00DD1DFA">
        <w:rPr>
          <w:noProof/>
          <w:color w:val="000000" w:themeColor="text1"/>
        </w:rPr>
        <w:t>Komisja przedstawia Parlamentowi Europejskiemu, Radzie, Europejskiemu Komitetowi Ekonomiczno-Społecznego</w:t>
      </w:r>
      <w:r w:rsidR="00DD1DFA" w:rsidRPr="00DD1DFA">
        <w:rPr>
          <w:noProof/>
          <w:color w:val="000000" w:themeColor="text1"/>
        </w:rPr>
        <w:t xml:space="preserve"> i</w:t>
      </w:r>
      <w:r w:rsidR="00DD1DFA">
        <w:rPr>
          <w:noProof/>
          <w:color w:val="000000" w:themeColor="text1"/>
        </w:rPr>
        <w:t> </w:t>
      </w:r>
      <w:r w:rsidR="00DD1DFA" w:rsidRPr="00DD1DFA">
        <w:rPr>
          <w:noProof/>
          <w:color w:val="000000" w:themeColor="text1"/>
        </w:rPr>
        <w:t>Kom</w:t>
      </w:r>
      <w:r w:rsidRPr="00DD1DFA">
        <w:rPr>
          <w:noProof/>
          <w:color w:val="000000" w:themeColor="text1"/>
        </w:rPr>
        <w:t>itetowi Regionów sprawozdanie dotyczące najważniejszych ustaleń. Państwa członkowskie przekazują Komisji informacje niezbędne do przygotowania tego sprawozdania.</w:t>
      </w:r>
    </w:p>
    <w:p w14:paraId="71E5CA92" w14:textId="77777777" w:rsidR="00696AAA" w:rsidRPr="00DD1DFA" w:rsidRDefault="00775132" w:rsidP="00775132">
      <w:pPr>
        <w:shd w:val="clear" w:color="auto" w:fill="FFFFFF" w:themeFill="background1"/>
        <w:spacing w:after="0"/>
        <w:rPr>
          <w:rFonts w:eastAsia="Times New Roman"/>
          <w:noProof/>
          <w:color w:val="000000" w:themeColor="text1"/>
        </w:rPr>
      </w:pPr>
      <w:r w:rsidRPr="00DD1DFA">
        <w:rPr>
          <w:noProof/>
        </w:rPr>
        <w:t>W stosownych przypadkach sprawozdaniu temu towarzyszy wniosek ustawodawczy dotyczący zmiany odpowiednich przepisów niniejszego rozporządzenia.</w:t>
      </w:r>
    </w:p>
    <w:p w14:paraId="17993DED" w14:textId="6C2FC781" w:rsidR="00F13919" w:rsidRPr="00DD1DFA" w:rsidRDefault="00237A9E" w:rsidP="001D72F7">
      <w:pPr>
        <w:pStyle w:val="Titrearticle"/>
        <w:rPr>
          <w:noProof/>
        </w:rPr>
      </w:pPr>
      <w:r w:rsidRPr="00DD1DFA">
        <w:rPr>
          <w:noProof/>
        </w:rPr>
        <w:t>Artykuł 92</w:t>
      </w:r>
    </w:p>
    <w:p w14:paraId="6CE95C60" w14:textId="77777777" w:rsidR="00F13919" w:rsidRPr="00DD1DFA" w:rsidRDefault="00F13919" w:rsidP="001D72F7">
      <w:pPr>
        <w:pStyle w:val="Titrearticle"/>
        <w:rPr>
          <w:b/>
          <w:noProof/>
        </w:rPr>
      </w:pPr>
      <w:r w:rsidRPr="00DD1DFA">
        <w:rPr>
          <w:b/>
          <w:noProof/>
        </w:rPr>
        <w:t>Uchylenie</w:t>
      </w:r>
    </w:p>
    <w:p w14:paraId="4F89C051" w14:textId="77777777" w:rsidR="000F2CFA" w:rsidRPr="00DD1DFA" w:rsidRDefault="000F2CFA" w:rsidP="00775132">
      <w:pPr>
        <w:rPr>
          <w:noProof/>
        </w:rPr>
      </w:pPr>
      <w:r w:rsidRPr="00DD1DFA">
        <w:rPr>
          <w:noProof/>
        </w:rPr>
        <w:t xml:space="preserve">Rozporządzenie (UE) 305/2011 traci moc </w:t>
      </w:r>
      <w:r w:rsidRPr="00DD1DFA">
        <w:rPr>
          <w:noProof/>
          <w:color w:val="000000"/>
          <w:shd w:val="clear" w:color="auto" w:fill="FFFFFF"/>
        </w:rPr>
        <w:t>ze skutkiem od dnia 1</w:t>
      </w:r>
      <w:r w:rsidRPr="00DD1DFA">
        <w:rPr>
          <w:noProof/>
        </w:rPr>
        <w:t xml:space="preserve"> stycznia 2045 r. </w:t>
      </w:r>
    </w:p>
    <w:p w14:paraId="72A3BD90" w14:textId="1D8925E3" w:rsidR="00F13919" w:rsidRPr="00DD1DFA" w:rsidRDefault="00775132" w:rsidP="00775132">
      <w:pPr>
        <w:rPr>
          <w:rFonts w:ascii="Calibri" w:eastAsia="Calibri" w:hAnsi="Calibri" w:cs="DejaVu Sans"/>
          <w:noProof/>
          <w:color w:val="00000A"/>
          <w:sz w:val="22"/>
        </w:rPr>
      </w:pPr>
      <w:r w:rsidRPr="00DD1DFA">
        <w:rPr>
          <w:noProof/>
        </w:rPr>
        <w:t>Odesłania do rozporządzenia (UE) nr</w:t>
      </w:r>
      <w:r w:rsidR="00DD1DFA" w:rsidRPr="00DD1DFA">
        <w:rPr>
          <w:noProof/>
        </w:rPr>
        <w:t> </w:t>
      </w:r>
      <w:r w:rsidRPr="00DD1DFA">
        <w:rPr>
          <w:noProof/>
        </w:rPr>
        <w:t>305/2011 traktuje się tak jak odesłania do niniejszego rozporządzenia zgodnie</w:t>
      </w:r>
      <w:r w:rsidR="00DD1DFA" w:rsidRPr="00DD1DFA">
        <w:rPr>
          <w:noProof/>
        </w:rPr>
        <w:t xml:space="preserve"> z</w:t>
      </w:r>
      <w:r w:rsidR="00DD1DFA">
        <w:rPr>
          <w:noProof/>
        </w:rPr>
        <w:t> </w:t>
      </w:r>
      <w:r w:rsidR="00DD1DFA" w:rsidRPr="00DD1DFA">
        <w:rPr>
          <w:noProof/>
        </w:rPr>
        <w:t>tab</w:t>
      </w:r>
      <w:r w:rsidRPr="00DD1DFA">
        <w:rPr>
          <w:noProof/>
        </w:rPr>
        <w:t>elą korelacji znajdującą się</w:t>
      </w:r>
      <w:r w:rsidR="00DD1DFA" w:rsidRPr="00DD1DFA">
        <w:rPr>
          <w:noProof/>
        </w:rPr>
        <w:t xml:space="preserve"> w</w:t>
      </w:r>
      <w:r w:rsidR="00DD1DFA">
        <w:rPr>
          <w:noProof/>
        </w:rPr>
        <w:t> </w:t>
      </w:r>
      <w:r w:rsidR="00DD1DFA" w:rsidRPr="00DD1DFA">
        <w:rPr>
          <w:noProof/>
        </w:rPr>
        <w:t>zał</w:t>
      </w:r>
      <w:r w:rsidRPr="00DD1DFA">
        <w:rPr>
          <w:noProof/>
        </w:rPr>
        <w:t>ączniku VII.</w:t>
      </w:r>
    </w:p>
    <w:p w14:paraId="0EAC2ADC" w14:textId="00059DBF" w:rsidR="00F13919" w:rsidRPr="00DD1DFA" w:rsidRDefault="00237A9E" w:rsidP="001D72F7">
      <w:pPr>
        <w:pStyle w:val="Titrearticle"/>
        <w:rPr>
          <w:noProof/>
        </w:rPr>
      </w:pPr>
      <w:r w:rsidRPr="00DD1DFA">
        <w:rPr>
          <w:noProof/>
        </w:rPr>
        <w:t>Artykuł 93</w:t>
      </w:r>
    </w:p>
    <w:p w14:paraId="7DF502F9" w14:textId="3D5EB3FA" w:rsidR="00F13919" w:rsidRPr="00DD1DFA" w:rsidRDefault="00F1207F" w:rsidP="001D72F7">
      <w:pPr>
        <w:pStyle w:val="Titrearticle"/>
        <w:rPr>
          <w:b/>
          <w:noProof/>
        </w:rPr>
      </w:pPr>
      <w:r w:rsidRPr="00DD1DFA">
        <w:rPr>
          <w:b/>
          <w:noProof/>
        </w:rPr>
        <w:t>Odstępstwa</w:t>
      </w:r>
      <w:r w:rsidR="00DD1DFA" w:rsidRPr="00DD1DFA">
        <w:rPr>
          <w:b/>
          <w:noProof/>
        </w:rPr>
        <w:t xml:space="preserve"> i</w:t>
      </w:r>
      <w:r w:rsidR="00DD1DFA">
        <w:rPr>
          <w:b/>
          <w:noProof/>
        </w:rPr>
        <w:t> </w:t>
      </w:r>
      <w:r w:rsidR="00DD1DFA" w:rsidRPr="00DD1DFA">
        <w:rPr>
          <w:b/>
          <w:noProof/>
        </w:rPr>
        <w:t>prz</w:t>
      </w:r>
      <w:r w:rsidRPr="00DD1DFA">
        <w:rPr>
          <w:b/>
          <w:noProof/>
        </w:rPr>
        <w:t>episy przejściowe</w:t>
      </w:r>
    </w:p>
    <w:p w14:paraId="3B800E7B" w14:textId="6D443234" w:rsidR="00775132" w:rsidRPr="00DD1DFA" w:rsidRDefault="005F7EFA" w:rsidP="005F7EFA">
      <w:pPr>
        <w:pStyle w:val="ManualNumPar1"/>
        <w:rPr>
          <w:noProof/>
        </w:rPr>
      </w:pPr>
      <w:r w:rsidRPr="005F7EFA">
        <w:t>1.</w:t>
      </w:r>
      <w:r w:rsidRPr="005F7EFA">
        <w:tab/>
      </w:r>
      <w:r w:rsidR="00775132" w:rsidRPr="00DD1DFA">
        <w:rPr>
          <w:noProof/>
        </w:rPr>
        <w:t>Punkty kontaktowe ds. wyrobów budowlanych wyznaczone na podstawie rozporządzenia (UE) nr</w:t>
      </w:r>
      <w:r w:rsidR="00DD1DFA" w:rsidRPr="00DD1DFA">
        <w:rPr>
          <w:noProof/>
        </w:rPr>
        <w:t> </w:t>
      </w:r>
      <w:r w:rsidR="00775132" w:rsidRPr="00DD1DFA">
        <w:rPr>
          <w:noProof/>
        </w:rPr>
        <w:t>305/2011 uznaje się za wyznaczone również na podstawie niniejszego rozporządzenia.</w:t>
      </w:r>
    </w:p>
    <w:p w14:paraId="3AB8609F" w14:textId="2EC240FF" w:rsidR="00775132" w:rsidRPr="00DD1DFA" w:rsidRDefault="005F7EFA" w:rsidP="005F7EFA">
      <w:pPr>
        <w:pStyle w:val="ManualNumPar1"/>
        <w:rPr>
          <w:noProof/>
        </w:rPr>
      </w:pPr>
      <w:r w:rsidRPr="005F7EFA">
        <w:t>2.</w:t>
      </w:r>
      <w:r w:rsidRPr="005F7EFA">
        <w:tab/>
      </w:r>
      <w:r w:rsidR="00775132" w:rsidRPr="00DD1DFA">
        <w:rPr>
          <w:noProof/>
        </w:rPr>
        <w:t>JOT</w:t>
      </w:r>
      <w:r w:rsidR="00DD1DFA" w:rsidRPr="00DD1DFA">
        <w:rPr>
          <w:noProof/>
        </w:rPr>
        <w:t xml:space="preserve"> i</w:t>
      </w:r>
      <w:r w:rsidR="00DD1DFA">
        <w:rPr>
          <w:noProof/>
        </w:rPr>
        <w:t> </w:t>
      </w:r>
      <w:r w:rsidR="00DD1DFA" w:rsidRPr="00DD1DFA">
        <w:rPr>
          <w:noProof/>
        </w:rPr>
        <w:t>jed</w:t>
      </w:r>
      <w:r w:rsidR="00775132" w:rsidRPr="00DD1DFA">
        <w:rPr>
          <w:noProof/>
        </w:rPr>
        <w:t>nostki notyfikowane wyznaczone na podstawie rozporządzenia (UE) nr</w:t>
      </w:r>
      <w:r w:rsidR="00DD1DFA" w:rsidRPr="00DD1DFA">
        <w:rPr>
          <w:noProof/>
        </w:rPr>
        <w:t> </w:t>
      </w:r>
      <w:r w:rsidR="00775132" w:rsidRPr="00DD1DFA">
        <w:rPr>
          <w:noProof/>
        </w:rPr>
        <w:t>305/2011 uznaje się za wyznaczone również na podstawie niniejszego rozporządzenia. Są one jednak oceniane</w:t>
      </w:r>
      <w:r w:rsidR="00DD1DFA" w:rsidRPr="00DD1DFA">
        <w:rPr>
          <w:noProof/>
        </w:rPr>
        <w:t xml:space="preserve"> i</w:t>
      </w:r>
      <w:r w:rsidR="00DD1DFA">
        <w:rPr>
          <w:noProof/>
        </w:rPr>
        <w:t> </w:t>
      </w:r>
      <w:r w:rsidR="00DD1DFA" w:rsidRPr="00DD1DFA">
        <w:rPr>
          <w:noProof/>
        </w:rPr>
        <w:t>wyz</w:t>
      </w:r>
      <w:r w:rsidR="00775132" w:rsidRPr="00DD1DFA">
        <w:rPr>
          <w:noProof/>
        </w:rPr>
        <w:t>naczane na nowo przez wyznaczające państwa członkowskie zgodnie</w:t>
      </w:r>
      <w:r w:rsidR="00DD1DFA" w:rsidRPr="00DD1DFA">
        <w:rPr>
          <w:noProof/>
        </w:rPr>
        <w:t xml:space="preserve"> z</w:t>
      </w:r>
      <w:r w:rsidR="00DD1DFA">
        <w:rPr>
          <w:noProof/>
        </w:rPr>
        <w:t> </w:t>
      </w:r>
      <w:r w:rsidR="00DD1DFA" w:rsidRPr="00DD1DFA">
        <w:rPr>
          <w:noProof/>
        </w:rPr>
        <w:t>cyk</w:t>
      </w:r>
      <w:r w:rsidR="00775132" w:rsidRPr="00DD1DFA">
        <w:rPr>
          <w:noProof/>
        </w:rPr>
        <w:t>lem okresowej ponownej oceny</w:t>
      </w:r>
      <w:r w:rsidR="00DD1DFA" w:rsidRPr="00DD1DFA">
        <w:rPr>
          <w:noProof/>
        </w:rPr>
        <w:t xml:space="preserve"> i</w:t>
      </w:r>
      <w:r w:rsidR="00DD1DFA">
        <w:rPr>
          <w:noProof/>
        </w:rPr>
        <w:t> </w:t>
      </w:r>
      <w:r w:rsidR="00DD1DFA" w:rsidRPr="00DD1DFA">
        <w:rPr>
          <w:noProof/>
        </w:rPr>
        <w:t>naj</w:t>
      </w:r>
      <w:r w:rsidR="00775132" w:rsidRPr="00DD1DFA">
        <w:rPr>
          <w:noProof/>
        </w:rPr>
        <w:t>później [5 lat po wejściu</w:t>
      </w:r>
      <w:r w:rsidR="00DD1DFA" w:rsidRPr="00DD1DFA">
        <w:rPr>
          <w:noProof/>
        </w:rPr>
        <w:t xml:space="preserve"> w</w:t>
      </w:r>
      <w:r w:rsidR="00DD1DFA">
        <w:rPr>
          <w:noProof/>
        </w:rPr>
        <w:t> </w:t>
      </w:r>
      <w:r w:rsidR="00DD1DFA" w:rsidRPr="00DD1DFA">
        <w:rPr>
          <w:noProof/>
        </w:rPr>
        <w:t>życ</w:t>
      </w:r>
      <w:r w:rsidR="00775132" w:rsidRPr="00DD1DFA">
        <w:rPr>
          <w:noProof/>
        </w:rPr>
        <w:t>ie niniejszego rozporządzenia]. Zastosowanie ma procedura sprzeciwu określona</w:t>
      </w:r>
      <w:r w:rsidR="00DD1DFA" w:rsidRPr="00DD1DFA">
        <w:rPr>
          <w:noProof/>
        </w:rPr>
        <w:t xml:space="preserve"> w</w:t>
      </w:r>
      <w:r w:rsidR="00DD1DFA">
        <w:rPr>
          <w:noProof/>
        </w:rPr>
        <w:t> </w:t>
      </w:r>
      <w:r w:rsidR="00DD1DFA" w:rsidRPr="00DD1DFA">
        <w:rPr>
          <w:noProof/>
        </w:rPr>
        <w:t>art</w:t>
      </w:r>
      <w:r w:rsidR="00775132" w:rsidRPr="00DD1DFA">
        <w:rPr>
          <w:noProof/>
        </w:rPr>
        <w:t>.</w:t>
      </w:r>
      <w:r w:rsidR="00DD1DFA" w:rsidRPr="00DD1DFA">
        <w:rPr>
          <w:noProof/>
        </w:rPr>
        <w:t> </w:t>
      </w:r>
      <w:r w:rsidR="00775132" w:rsidRPr="00DD1DFA">
        <w:rPr>
          <w:noProof/>
        </w:rPr>
        <w:t>56 ust.</w:t>
      </w:r>
      <w:r w:rsidR="00DD1DFA" w:rsidRPr="00DD1DFA">
        <w:rPr>
          <w:noProof/>
        </w:rPr>
        <w:t> </w:t>
      </w:r>
      <w:r w:rsidR="00775132" w:rsidRPr="00DD1DFA">
        <w:rPr>
          <w:noProof/>
        </w:rPr>
        <w:t>5, mająca zastosowanie również do JOT zgodnie</w:t>
      </w:r>
      <w:r w:rsidR="00DD1DFA" w:rsidRPr="00DD1DFA">
        <w:rPr>
          <w:noProof/>
        </w:rPr>
        <w:t xml:space="preserve"> z</w:t>
      </w:r>
      <w:r w:rsidR="00DD1DFA">
        <w:rPr>
          <w:noProof/>
        </w:rPr>
        <w:t> </w:t>
      </w:r>
      <w:r w:rsidR="00DD1DFA" w:rsidRPr="00DD1DFA">
        <w:rPr>
          <w:noProof/>
        </w:rPr>
        <w:t>art</w:t>
      </w:r>
      <w:r w:rsidR="00775132" w:rsidRPr="00DD1DFA">
        <w:rPr>
          <w:noProof/>
        </w:rPr>
        <w:t>.</w:t>
      </w:r>
      <w:r w:rsidR="00DD1DFA" w:rsidRPr="00DD1DFA">
        <w:rPr>
          <w:noProof/>
        </w:rPr>
        <w:t> </w:t>
      </w:r>
      <w:r w:rsidR="00775132" w:rsidRPr="00DD1DFA">
        <w:rPr>
          <w:noProof/>
        </w:rPr>
        <w:t>43 ust.</w:t>
      </w:r>
      <w:r w:rsidR="00DD1DFA" w:rsidRPr="00DD1DFA">
        <w:rPr>
          <w:noProof/>
        </w:rPr>
        <w:t> </w:t>
      </w:r>
      <w:r w:rsidR="00775132" w:rsidRPr="00DD1DFA">
        <w:rPr>
          <w:noProof/>
        </w:rPr>
        <w:t>2.</w:t>
      </w:r>
    </w:p>
    <w:p w14:paraId="4E5F88BB" w14:textId="7052ACF6" w:rsidR="00775132" w:rsidRPr="00DD1DFA" w:rsidRDefault="005F7EFA" w:rsidP="005F7EFA">
      <w:pPr>
        <w:pStyle w:val="ManualNumPar1"/>
        <w:rPr>
          <w:noProof/>
        </w:rPr>
      </w:pPr>
      <w:r w:rsidRPr="005F7EFA">
        <w:t>3.</w:t>
      </w:r>
      <w:r w:rsidRPr="005F7EFA">
        <w:tab/>
      </w:r>
      <w:r w:rsidR="00F1207F" w:rsidRPr="00DD1DFA">
        <w:rPr>
          <w:noProof/>
        </w:rPr>
        <w:t>Na mocy niniejszego rozporządzenia, jako normy,</w:t>
      </w:r>
      <w:r w:rsidR="00DD1DFA" w:rsidRPr="00DD1DFA">
        <w:rPr>
          <w:noProof/>
        </w:rPr>
        <w:t xml:space="preserve"> o</w:t>
      </w:r>
      <w:r w:rsidR="00DD1DFA">
        <w:rPr>
          <w:noProof/>
        </w:rPr>
        <w:t> </w:t>
      </w:r>
      <w:r w:rsidR="00DD1DFA" w:rsidRPr="00DD1DFA">
        <w:rPr>
          <w:noProof/>
        </w:rPr>
        <w:t>któ</w:t>
      </w:r>
      <w:r w:rsidR="00F1207F" w:rsidRPr="00DD1DFA">
        <w:rPr>
          <w:noProof/>
        </w:rPr>
        <w:t>rych mowa</w:t>
      </w:r>
      <w:r w:rsidR="00DD1DFA" w:rsidRPr="00DD1DFA">
        <w:rPr>
          <w:noProof/>
        </w:rPr>
        <w:t xml:space="preserve"> w</w:t>
      </w:r>
      <w:r w:rsidR="00DD1DFA">
        <w:rPr>
          <w:noProof/>
        </w:rPr>
        <w:t> </w:t>
      </w:r>
      <w:r w:rsidR="00DD1DFA" w:rsidRPr="00DD1DFA">
        <w:rPr>
          <w:noProof/>
        </w:rPr>
        <w:t>art</w:t>
      </w:r>
      <w:r w:rsidR="00F1207F" w:rsidRPr="00DD1DFA">
        <w:rPr>
          <w:noProof/>
        </w:rPr>
        <w:t>.</w:t>
      </w:r>
      <w:r w:rsidR="00DD1DFA" w:rsidRPr="00DD1DFA">
        <w:rPr>
          <w:noProof/>
        </w:rPr>
        <w:t> </w:t>
      </w:r>
      <w:r w:rsidR="00F1207F" w:rsidRPr="00DD1DFA">
        <w:rPr>
          <w:noProof/>
        </w:rPr>
        <w:t>4 ust.</w:t>
      </w:r>
      <w:r w:rsidR="00DD1DFA" w:rsidRPr="00DD1DFA">
        <w:rPr>
          <w:noProof/>
        </w:rPr>
        <w:t> </w:t>
      </w:r>
      <w:r w:rsidR="00F1207F" w:rsidRPr="00DD1DFA">
        <w:rPr>
          <w:noProof/>
        </w:rPr>
        <w:t>2 akapit pierwszy, ważność zachowują następujące normy:</w:t>
      </w:r>
    </w:p>
    <w:p w14:paraId="420D4706" w14:textId="13773210" w:rsidR="00775132" w:rsidRPr="00DD1DFA" w:rsidRDefault="003C1401" w:rsidP="003C1401">
      <w:pPr>
        <w:pStyle w:val="Point1"/>
        <w:rPr>
          <w:noProof/>
        </w:rPr>
      </w:pPr>
      <w:r w:rsidRPr="003C1401">
        <w:rPr>
          <w:noProof/>
        </w:rPr>
        <w:t>a)</w:t>
      </w:r>
      <w:r w:rsidRPr="003C1401">
        <w:rPr>
          <w:noProof/>
        </w:rPr>
        <w:tab/>
      </w:r>
    </w:p>
    <w:p w14:paraId="126A89E6" w14:textId="571D7FBB" w:rsidR="00775132" w:rsidRPr="00DD1DFA" w:rsidRDefault="003C1401" w:rsidP="003C1401">
      <w:pPr>
        <w:pStyle w:val="Point1"/>
        <w:rPr>
          <w:noProof/>
        </w:rPr>
      </w:pPr>
      <w:r w:rsidRPr="003C1401">
        <w:rPr>
          <w:noProof/>
        </w:rPr>
        <w:t>b)</w:t>
      </w:r>
      <w:r w:rsidRPr="003C1401">
        <w:rPr>
          <w:noProof/>
        </w:rPr>
        <w:tab/>
      </w:r>
    </w:p>
    <w:p w14:paraId="1C38F26E" w14:textId="06E86B05" w:rsidR="00775132" w:rsidRPr="00DD1DFA" w:rsidRDefault="003C1401" w:rsidP="003C1401">
      <w:pPr>
        <w:pStyle w:val="Point1"/>
        <w:rPr>
          <w:noProof/>
        </w:rPr>
      </w:pPr>
      <w:r w:rsidRPr="003C1401">
        <w:rPr>
          <w:noProof/>
        </w:rPr>
        <w:t>c)</w:t>
      </w:r>
      <w:r w:rsidRPr="003C1401">
        <w:rPr>
          <w:noProof/>
        </w:rPr>
        <w:tab/>
      </w:r>
      <w:r w:rsidR="00775132" w:rsidRPr="00DD1DFA">
        <w:rPr>
          <w:noProof/>
          <w:highlight w:val="yellow"/>
        </w:rPr>
        <w:t>[do wstawienia</w:t>
      </w:r>
      <w:r w:rsidR="00DD1DFA" w:rsidRPr="00DD1DFA">
        <w:rPr>
          <w:noProof/>
          <w:highlight w:val="yellow"/>
        </w:rPr>
        <w:t xml:space="preserve"> w</w:t>
      </w:r>
      <w:r w:rsidR="00DD1DFA">
        <w:rPr>
          <w:noProof/>
          <w:highlight w:val="yellow"/>
        </w:rPr>
        <w:t> </w:t>
      </w:r>
      <w:r w:rsidR="00DD1DFA" w:rsidRPr="00DD1DFA">
        <w:rPr>
          <w:noProof/>
          <w:highlight w:val="yellow"/>
        </w:rPr>
        <w:t>tra</w:t>
      </w:r>
      <w:r w:rsidR="00775132" w:rsidRPr="00DD1DFA">
        <w:rPr>
          <w:noProof/>
          <w:highlight w:val="yellow"/>
        </w:rPr>
        <w:t>kcie negocjacji ustawodawców].</w:t>
      </w:r>
    </w:p>
    <w:p w14:paraId="4FB93070" w14:textId="082011EB" w:rsidR="00775132" w:rsidRPr="00DD1DFA" w:rsidRDefault="00775132" w:rsidP="00775132">
      <w:pPr>
        <w:pStyle w:val="Text1"/>
        <w:rPr>
          <w:rFonts w:ascii="Calibri" w:hAnsi="Calibri"/>
          <w:noProof/>
          <w:color w:val="00000A"/>
          <w:sz w:val="22"/>
        </w:rPr>
      </w:pPr>
    </w:p>
    <w:p w14:paraId="0E8427A9" w14:textId="7700AF51" w:rsidR="00775132" w:rsidRPr="00DD1DFA" w:rsidRDefault="005F7EFA" w:rsidP="005F7EFA">
      <w:pPr>
        <w:pStyle w:val="ManualNumPar1"/>
        <w:rPr>
          <w:noProof/>
        </w:rPr>
      </w:pPr>
      <w:r w:rsidRPr="005F7EFA">
        <w:t>4.</w:t>
      </w:r>
      <w:r w:rsidRPr="005F7EFA">
        <w:tab/>
      </w:r>
      <w:r w:rsidR="00775132" w:rsidRPr="00DD1DFA">
        <w:rPr>
          <w:noProof/>
        </w:rPr>
        <w:t>Europejskie dokumenty oceny wydane przed [1 rok po wejściu</w:t>
      </w:r>
      <w:r w:rsidR="00DD1DFA" w:rsidRPr="00DD1DFA">
        <w:rPr>
          <w:noProof/>
        </w:rPr>
        <w:t xml:space="preserve"> w</w:t>
      </w:r>
      <w:r w:rsidR="00DD1DFA">
        <w:rPr>
          <w:noProof/>
        </w:rPr>
        <w:t> </w:t>
      </w:r>
      <w:r w:rsidR="00DD1DFA" w:rsidRPr="00DD1DFA">
        <w:rPr>
          <w:noProof/>
        </w:rPr>
        <w:t>życ</w:t>
      </w:r>
      <w:r w:rsidR="00775132" w:rsidRPr="00DD1DFA">
        <w:rPr>
          <w:noProof/>
        </w:rPr>
        <w:t>ie niniejszego rozporządzenia] zachowują ważność do [3 lat po wejściu</w:t>
      </w:r>
      <w:r w:rsidR="00DD1DFA" w:rsidRPr="00DD1DFA">
        <w:rPr>
          <w:noProof/>
        </w:rPr>
        <w:t xml:space="preserve"> w</w:t>
      </w:r>
      <w:r w:rsidR="00DD1DFA">
        <w:rPr>
          <w:noProof/>
        </w:rPr>
        <w:t> </w:t>
      </w:r>
      <w:r w:rsidR="00DD1DFA" w:rsidRPr="00DD1DFA">
        <w:rPr>
          <w:noProof/>
        </w:rPr>
        <w:t>życ</w:t>
      </w:r>
      <w:r w:rsidR="00775132" w:rsidRPr="00DD1DFA">
        <w:rPr>
          <w:noProof/>
        </w:rPr>
        <w:t>ie niniejszego rozporządzenia], chyba że ich termin ważności wygasł</w:t>
      </w:r>
      <w:r w:rsidR="00DD1DFA" w:rsidRPr="00DD1DFA">
        <w:rPr>
          <w:noProof/>
        </w:rPr>
        <w:t xml:space="preserve"> z</w:t>
      </w:r>
      <w:r w:rsidR="00DD1DFA">
        <w:rPr>
          <w:noProof/>
        </w:rPr>
        <w:t> </w:t>
      </w:r>
      <w:r w:rsidR="00DD1DFA" w:rsidRPr="00DD1DFA">
        <w:rPr>
          <w:noProof/>
        </w:rPr>
        <w:t>inn</w:t>
      </w:r>
      <w:r w:rsidR="00775132" w:rsidRPr="00DD1DFA">
        <w:rPr>
          <w:noProof/>
        </w:rPr>
        <w:t>ych powodów. Wyroby wprowadzone do obrotu na ich podstawie mogą być dalej udostępniane na rynku przez kolejne pięć lat.</w:t>
      </w:r>
    </w:p>
    <w:p w14:paraId="7EF2323E" w14:textId="427AAB0B" w:rsidR="00F13919" w:rsidRPr="00DD1DFA" w:rsidRDefault="005F7EFA" w:rsidP="005F7EFA">
      <w:pPr>
        <w:pStyle w:val="ManualNumPar1"/>
        <w:rPr>
          <w:noProof/>
        </w:rPr>
      </w:pPr>
      <w:r w:rsidRPr="005F7EFA">
        <w:t>5.</w:t>
      </w:r>
      <w:r w:rsidRPr="005F7EFA">
        <w:tab/>
      </w:r>
      <w:r w:rsidR="00775132" w:rsidRPr="00DD1DFA">
        <w:rPr>
          <w:noProof/>
        </w:rPr>
        <w:t>Certyfikaty lub sprawozdania</w:t>
      </w:r>
      <w:r w:rsidR="00DD1DFA" w:rsidRPr="00DD1DFA">
        <w:rPr>
          <w:noProof/>
        </w:rPr>
        <w:t xml:space="preserve"> z</w:t>
      </w:r>
      <w:r w:rsidR="00DD1DFA">
        <w:rPr>
          <w:noProof/>
        </w:rPr>
        <w:t> </w:t>
      </w:r>
      <w:r w:rsidR="00DD1DFA" w:rsidRPr="00DD1DFA">
        <w:rPr>
          <w:noProof/>
        </w:rPr>
        <w:t>bad</w:t>
      </w:r>
      <w:r w:rsidR="00775132" w:rsidRPr="00DD1DFA">
        <w:rPr>
          <w:noProof/>
        </w:rPr>
        <w:t>ań jednostek notyfikowanych oraz europejskie oceny techniczne wydane na podstawie rozporządzenia (UE) nr</w:t>
      </w:r>
      <w:r w:rsidR="00DD1DFA" w:rsidRPr="00DD1DFA">
        <w:rPr>
          <w:noProof/>
        </w:rPr>
        <w:t> </w:t>
      </w:r>
      <w:r w:rsidR="00775132" w:rsidRPr="00DD1DFA">
        <w:rPr>
          <w:noProof/>
        </w:rPr>
        <w:t>305/2011 zachowują ważność przez pięć lat po wejściu</w:t>
      </w:r>
      <w:r w:rsidR="00DD1DFA" w:rsidRPr="00DD1DFA">
        <w:rPr>
          <w:noProof/>
        </w:rPr>
        <w:t xml:space="preserve"> w</w:t>
      </w:r>
      <w:r w:rsidR="00DD1DFA">
        <w:rPr>
          <w:noProof/>
        </w:rPr>
        <w:t> </w:t>
      </w:r>
      <w:r w:rsidR="00DD1DFA" w:rsidRPr="00DD1DFA">
        <w:rPr>
          <w:noProof/>
        </w:rPr>
        <w:t>życ</w:t>
      </w:r>
      <w:r w:rsidR="00775132" w:rsidRPr="00DD1DFA">
        <w:rPr>
          <w:noProof/>
        </w:rPr>
        <w:t>ie zharmonizowanych specyfikacji technicznych dotyczących danej rodziny lub kategorii wyrobów przyjętych zgodnie</w:t>
      </w:r>
      <w:r w:rsidR="00DD1DFA" w:rsidRPr="00DD1DFA">
        <w:rPr>
          <w:noProof/>
        </w:rPr>
        <w:t xml:space="preserve"> z</w:t>
      </w:r>
      <w:r w:rsidR="00DD1DFA">
        <w:rPr>
          <w:noProof/>
        </w:rPr>
        <w:t> </w:t>
      </w:r>
      <w:r w:rsidR="00DD1DFA" w:rsidRPr="00DD1DFA">
        <w:rPr>
          <w:noProof/>
        </w:rPr>
        <w:t>art</w:t>
      </w:r>
      <w:r w:rsidR="00775132" w:rsidRPr="00DD1DFA">
        <w:rPr>
          <w:noProof/>
        </w:rPr>
        <w:t>.</w:t>
      </w:r>
      <w:r w:rsidR="00DD1DFA" w:rsidRPr="00DD1DFA">
        <w:rPr>
          <w:noProof/>
        </w:rPr>
        <w:t> </w:t>
      </w:r>
      <w:r w:rsidR="00775132" w:rsidRPr="00DD1DFA">
        <w:rPr>
          <w:noProof/>
        </w:rPr>
        <w:t>4 ust.</w:t>
      </w:r>
      <w:r w:rsidR="00DD1DFA" w:rsidRPr="00DD1DFA">
        <w:rPr>
          <w:noProof/>
        </w:rPr>
        <w:t> </w:t>
      </w:r>
      <w:r w:rsidR="00775132" w:rsidRPr="00DD1DFA">
        <w:rPr>
          <w:noProof/>
        </w:rPr>
        <w:t>2, chyba że termin ważności tych dokumentów wygasł</w:t>
      </w:r>
      <w:r w:rsidR="00DD1DFA" w:rsidRPr="00DD1DFA">
        <w:rPr>
          <w:noProof/>
        </w:rPr>
        <w:t xml:space="preserve"> z</w:t>
      </w:r>
      <w:r w:rsidR="00DD1DFA">
        <w:rPr>
          <w:noProof/>
        </w:rPr>
        <w:t> </w:t>
      </w:r>
      <w:r w:rsidR="00DD1DFA" w:rsidRPr="00DD1DFA">
        <w:rPr>
          <w:noProof/>
        </w:rPr>
        <w:t>inn</w:t>
      </w:r>
      <w:r w:rsidR="00775132" w:rsidRPr="00DD1DFA">
        <w:rPr>
          <w:noProof/>
        </w:rPr>
        <w:t>ych powodów. Wyroby wprowadzone do obrotu na podstawie tych dokumentów mogą być dalej udostępniane na rynku przez kolejne pięć lat.</w:t>
      </w:r>
    </w:p>
    <w:p w14:paraId="3B0760C2" w14:textId="754DBDE3" w:rsidR="00761071" w:rsidRPr="00DD1DFA" w:rsidRDefault="005F7EFA" w:rsidP="005F7EFA">
      <w:pPr>
        <w:pStyle w:val="ManualNumPar1"/>
        <w:rPr>
          <w:noProof/>
        </w:rPr>
      </w:pPr>
      <w:r w:rsidRPr="005F7EFA">
        <w:t>6.</w:t>
      </w:r>
      <w:r w:rsidRPr="005F7EFA">
        <w:tab/>
      </w:r>
      <w:r w:rsidR="00761071" w:rsidRPr="00DD1DFA">
        <w:rPr>
          <w:noProof/>
        </w:rPr>
        <w:t>Wymogi określone</w:t>
      </w:r>
      <w:r w:rsidR="00DD1DFA" w:rsidRPr="00DD1DFA">
        <w:rPr>
          <w:noProof/>
        </w:rPr>
        <w:t xml:space="preserve"> w</w:t>
      </w:r>
      <w:r w:rsidR="00DD1DFA">
        <w:rPr>
          <w:noProof/>
        </w:rPr>
        <w:t> </w:t>
      </w:r>
      <w:r w:rsidR="00DD1DFA" w:rsidRPr="00DD1DFA">
        <w:rPr>
          <w:noProof/>
        </w:rPr>
        <w:t>roz</w:t>
      </w:r>
      <w:r w:rsidR="00761071" w:rsidRPr="00DD1DFA">
        <w:rPr>
          <w:noProof/>
        </w:rPr>
        <w:t>działach I, II i III mające zastosowanie do podmiotów gospodarczych</w:t>
      </w:r>
      <w:r w:rsidR="00DD1DFA" w:rsidRPr="00DD1DFA">
        <w:rPr>
          <w:noProof/>
        </w:rPr>
        <w:t xml:space="preserve"> w</w:t>
      </w:r>
      <w:r w:rsidR="00DD1DFA">
        <w:rPr>
          <w:noProof/>
        </w:rPr>
        <w:t> </w:t>
      </w:r>
      <w:r w:rsidR="00DD1DFA" w:rsidRPr="00DD1DFA">
        <w:rPr>
          <w:noProof/>
        </w:rPr>
        <w:t>odn</w:t>
      </w:r>
      <w:r w:rsidR="00761071" w:rsidRPr="00DD1DFA">
        <w:rPr>
          <w:noProof/>
        </w:rPr>
        <w:t>iesieniu do określonej grupy wyrobów lub rodziny wyrobów stosuje się po upływie roku od wejścia</w:t>
      </w:r>
      <w:r w:rsidR="00DD1DFA" w:rsidRPr="00DD1DFA">
        <w:rPr>
          <w:noProof/>
        </w:rPr>
        <w:t xml:space="preserve"> w</w:t>
      </w:r>
      <w:r w:rsidR="00DD1DFA">
        <w:rPr>
          <w:noProof/>
        </w:rPr>
        <w:t> </w:t>
      </w:r>
      <w:r w:rsidR="00DD1DFA" w:rsidRPr="00DD1DFA">
        <w:rPr>
          <w:noProof/>
        </w:rPr>
        <w:t>życ</w:t>
      </w:r>
      <w:r w:rsidR="00761071" w:rsidRPr="00DD1DFA">
        <w:rPr>
          <w:noProof/>
        </w:rPr>
        <w:t>ie zharmonizowanej specyfikacji technicznej obejmującej tę grupę lub rodzinę wyrobów. Podmioty gospodarcze mogą jednak stosować te zharmonizowane specyfikacje techniczne od momentu ich wejścia</w:t>
      </w:r>
      <w:r w:rsidR="00DD1DFA" w:rsidRPr="00DD1DFA">
        <w:rPr>
          <w:noProof/>
        </w:rPr>
        <w:t xml:space="preserve"> w</w:t>
      </w:r>
      <w:r w:rsidR="00DD1DFA">
        <w:rPr>
          <w:noProof/>
        </w:rPr>
        <w:t> </w:t>
      </w:r>
      <w:r w:rsidR="00DD1DFA" w:rsidRPr="00DD1DFA">
        <w:rPr>
          <w:noProof/>
        </w:rPr>
        <w:t>życ</w:t>
      </w:r>
      <w:r w:rsidR="00761071" w:rsidRPr="00DD1DFA">
        <w:rPr>
          <w:noProof/>
        </w:rPr>
        <w:t xml:space="preserve">ie, przeprowadzając procedurę prowadzącą do uzyskania deklaracji właściwości użytkowych lub deklaracji zgodności. </w:t>
      </w:r>
    </w:p>
    <w:p w14:paraId="507E2C63" w14:textId="35861E86" w:rsidR="00761071" w:rsidRPr="00DD1DFA" w:rsidRDefault="005F7EFA" w:rsidP="005F7EFA">
      <w:pPr>
        <w:pStyle w:val="ManualNumPar1"/>
        <w:rPr>
          <w:noProof/>
        </w:rPr>
      </w:pPr>
      <w:r w:rsidRPr="005F7EFA">
        <w:t>7.</w:t>
      </w:r>
      <w:r w:rsidRPr="005F7EFA">
        <w:tab/>
      </w:r>
      <w:r w:rsidR="00761071" w:rsidRPr="00DD1DFA">
        <w:rPr>
          <w:noProof/>
        </w:rPr>
        <w:t>W ciągu dwóch lat od wejścia</w:t>
      </w:r>
      <w:r w:rsidR="00DD1DFA" w:rsidRPr="00DD1DFA">
        <w:rPr>
          <w:noProof/>
        </w:rPr>
        <w:t xml:space="preserve"> w</w:t>
      </w:r>
      <w:r w:rsidR="00DD1DFA">
        <w:rPr>
          <w:noProof/>
        </w:rPr>
        <w:t> </w:t>
      </w:r>
      <w:r w:rsidR="00DD1DFA" w:rsidRPr="00DD1DFA">
        <w:rPr>
          <w:noProof/>
        </w:rPr>
        <w:t>życ</w:t>
      </w:r>
      <w:r w:rsidR="00761071" w:rsidRPr="00DD1DFA">
        <w:rPr>
          <w:noProof/>
        </w:rPr>
        <w:t>ie zharmonizowanej specyfikacji technicznej obejmującej określoną grupę lub rodzinę wyrobów Komisja wycofuje</w:t>
      </w:r>
      <w:r w:rsidR="00DD1DFA" w:rsidRPr="00DD1DFA">
        <w:rPr>
          <w:noProof/>
        </w:rPr>
        <w:t xml:space="preserve"> z</w:t>
      </w:r>
      <w:r w:rsidR="00DD1DFA">
        <w:rPr>
          <w:noProof/>
        </w:rPr>
        <w:t> </w:t>
      </w:r>
      <w:r w:rsidR="00DD1DFA" w:rsidRPr="00DD1DFA">
        <w:rPr>
          <w:noProof/>
        </w:rPr>
        <w:t>Dzi</w:t>
      </w:r>
      <w:r w:rsidR="00761071" w:rsidRPr="00DD1DFA">
        <w:rPr>
          <w:noProof/>
        </w:rPr>
        <w:t>ennika Urzędowego odniesienia do norm zharmonizowanych</w:t>
      </w:r>
      <w:r w:rsidR="00DD1DFA" w:rsidRPr="00DD1DFA">
        <w:rPr>
          <w:noProof/>
        </w:rPr>
        <w:t xml:space="preserve"> i</w:t>
      </w:r>
      <w:r w:rsidR="00DD1DFA">
        <w:rPr>
          <w:noProof/>
        </w:rPr>
        <w:t> </w:t>
      </w:r>
      <w:r w:rsidR="00DD1DFA" w:rsidRPr="00DD1DFA">
        <w:rPr>
          <w:noProof/>
        </w:rPr>
        <w:t>eur</w:t>
      </w:r>
      <w:r w:rsidR="00761071" w:rsidRPr="00DD1DFA">
        <w:rPr>
          <w:noProof/>
        </w:rPr>
        <w:t>opejskich dokumentów oceny obejmujących daną grupę lub rodzinę wyrobów.</w:t>
      </w:r>
    </w:p>
    <w:p w14:paraId="2C7E690A" w14:textId="515C234F" w:rsidR="00F13919" w:rsidRPr="00DD1DFA" w:rsidRDefault="00237A9E" w:rsidP="00EB4BAD">
      <w:pPr>
        <w:pStyle w:val="Titrearticle"/>
        <w:rPr>
          <w:noProof/>
        </w:rPr>
      </w:pPr>
      <w:r w:rsidRPr="00DD1DFA">
        <w:rPr>
          <w:noProof/>
        </w:rPr>
        <w:t>Artykuł 94</w:t>
      </w:r>
    </w:p>
    <w:p w14:paraId="0890697F" w14:textId="272F04D3" w:rsidR="00F13919" w:rsidRPr="00DD1DFA" w:rsidRDefault="00F13919" w:rsidP="00EB4BAD">
      <w:pPr>
        <w:pStyle w:val="Titrearticle"/>
        <w:rPr>
          <w:b/>
          <w:bCs/>
          <w:noProof/>
        </w:rPr>
      </w:pPr>
      <w:r w:rsidRPr="00DD1DFA">
        <w:rPr>
          <w:b/>
          <w:bCs/>
          <w:noProof/>
        </w:rPr>
        <w:t>Wejście</w:t>
      </w:r>
      <w:r w:rsidR="00DD1DFA" w:rsidRPr="00DD1DFA">
        <w:rPr>
          <w:b/>
          <w:bCs/>
          <w:noProof/>
        </w:rPr>
        <w:t xml:space="preserve"> w</w:t>
      </w:r>
      <w:r w:rsidR="00DD1DFA">
        <w:rPr>
          <w:b/>
          <w:bCs/>
          <w:noProof/>
        </w:rPr>
        <w:t> </w:t>
      </w:r>
      <w:r w:rsidR="00DD1DFA" w:rsidRPr="00DD1DFA">
        <w:rPr>
          <w:b/>
          <w:bCs/>
          <w:noProof/>
        </w:rPr>
        <w:t>życ</w:t>
      </w:r>
      <w:r w:rsidRPr="00DD1DFA">
        <w:rPr>
          <w:b/>
          <w:bCs/>
          <w:noProof/>
        </w:rPr>
        <w:t>ie</w:t>
      </w:r>
    </w:p>
    <w:p w14:paraId="272BDDD8" w14:textId="2886B137" w:rsidR="00E26A8A" w:rsidRPr="00DD1DFA" w:rsidRDefault="00E26A8A" w:rsidP="00E26A8A">
      <w:pPr>
        <w:rPr>
          <w:rFonts w:ascii="Calibri" w:hAnsi="Calibri"/>
          <w:noProof/>
          <w:color w:val="00000A"/>
          <w:sz w:val="22"/>
        </w:rPr>
      </w:pPr>
      <w:r w:rsidRPr="00DD1DFA">
        <w:rPr>
          <w:noProof/>
        </w:rPr>
        <w:t>Niniejsze rozporządzenie wchodzi</w:t>
      </w:r>
      <w:r w:rsidR="00DD1DFA" w:rsidRPr="00DD1DFA">
        <w:rPr>
          <w:noProof/>
        </w:rPr>
        <w:t xml:space="preserve"> w</w:t>
      </w:r>
      <w:r w:rsidR="00DD1DFA">
        <w:rPr>
          <w:noProof/>
        </w:rPr>
        <w:t> </w:t>
      </w:r>
      <w:r w:rsidR="00DD1DFA" w:rsidRPr="00DD1DFA">
        <w:rPr>
          <w:noProof/>
        </w:rPr>
        <w:t>życ</w:t>
      </w:r>
      <w:r w:rsidRPr="00DD1DFA">
        <w:rPr>
          <w:noProof/>
        </w:rPr>
        <w:t>ie dwudziestego dnia po jego opublikowaniu</w:t>
      </w:r>
      <w:r w:rsidR="00DD1DFA" w:rsidRPr="00DD1DFA">
        <w:rPr>
          <w:noProof/>
        </w:rPr>
        <w:t xml:space="preserve"> w</w:t>
      </w:r>
      <w:r w:rsidR="00DD1DFA">
        <w:rPr>
          <w:noProof/>
        </w:rPr>
        <w:t> </w:t>
      </w:r>
      <w:r w:rsidR="00DD1DFA" w:rsidRPr="00DD1DFA">
        <w:rPr>
          <w:i/>
          <w:iCs/>
          <w:noProof/>
        </w:rPr>
        <w:t>Dzi</w:t>
      </w:r>
      <w:r w:rsidRPr="00DD1DFA">
        <w:rPr>
          <w:i/>
          <w:iCs/>
          <w:noProof/>
        </w:rPr>
        <w:t>enniku Urzędowym Unii Europejskiej</w:t>
      </w:r>
      <w:r w:rsidRPr="00DD1DFA">
        <w:rPr>
          <w:noProof/>
        </w:rPr>
        <w:t>.</w:t>
      </w:r>
    </w:p>
    <w:p w14:paraId="58EA5D7E" w14:textId="5A843F02" w:rsidR="00E26A8A" w:rsidRPr="00DD1DFA" w:rsidRDefault="00E26A8A" w:rsidP="00E26A8A">
      <w:pPr>
        <w:rPr>
          <w:noProof/>
        </w:rPr>
      </w:pPr>
      <w:r w:rsidRPr="00DD1DFA">
        <w:rPr>
          <w:noProof/>
        </w:rPr>
        <w:t>Niniejsze rozporządzenie stosuje się od dnia [1 miesiąc po wejściu</w:t>
      </w:r>
      <w:r w:rsidR="00DD1DFA" w:rsidRPr="00DD1DFA">
        <w:rPr>
          <w:noProof/>
        </w:rPr>
        <w:t xml:space="preserve"> w</w:t>
      </w:r>
      <w:r w:rsidR="00DD1DFA">
        <w:rPr>
          <w:noProof/>
        </w:rPr>
        <w:t> </w:t>
      </w:r>
      <w:r w:rsidR="00DD1DFA" w:rsidRPr="00DD1DFA">
        <w:rPr>
          <w:noProof/>
        </w:rPr>
        <w:t>życ</w:t>
      </w:r>
      <w:r w:rsidRPr="00DD1DFA">
        <w:rPr>
          <w:noProof/>
        </w:rPr>
        <w:t xml:space="preserve">ie niniejszego rozporządzenia] r. </w:t>
      </w:r>
    </w:p>
    <w:p w14:paraId="6766B938" w14:textId="0D9D2502" w:rsidR="00E26A8A" w:rsidRPr="00DD1DFA" w:rsidRDefault="00E26A8A" w:rsidP="00E26A8A">
      <w:pPr>
        <w:rPr>
          <w:noProof/>
        </w:rPr>
      </w:pPr>
      <w:r w:rsidRPr="00DD1DFA">
        <w:rPr>
          <w:noProof/>
        </w:rPr>
        <w:t>Niniejsze rozporządzenie wiąże</w:t>
      </w:r>
      <w:r w:rsidR="00DD1DFA" w:rsidRPr="00DD1DFA">
        <w:rPr>
          <w:noProof/>
        </w:rPr>
        <w:t xml:space="preserve"> w</w:t>
      </w:r>
      <w:r w:rsidR="00DD1DFA">
        <w:rPr>
          <w:noProof/>
        </w:rPr>
        <w:t> </w:t>
      </w:r>
      <w:r w:rsidR="00DD1DFA" w:rsidRPr="00DD1DFA">
        <w:rPr>
          <w:noProof/>
        </w:rPr>
        <w:t>cał</w:t>
      </w:r>
      <w:r w:rsidRPr="00DD1DFA">
        <w:rPr>
          <w:noProof/>
        </w:rPr>
        <w:t>ości</w:t>
      </w:r>
      <w:r w:rsidR="00DD1DFA" w:rsidRPr="00DD1DFA">
        <w:rPr>
          <w:noProof/>
        </w:rPr>
        <w:t xml:space="preserve"> i</w:t>
      </w:r>
      <w:r w:rsidR="00DD1DFA">
        <w:rPr>
          <w:noProof/>
        </w:rPr>
        <w:t> </w:t>
      </w:r>
      <w:r w:rsidR="00DD1DFA" w:rsidRPr="00DD1DFA">
        <w:rPr>
          <w:noProof/>
        </w:rPr>
        <w:t>jes</w:t>
      </w:r>
      <w:r w:rsidRPr="00DD1DFA">
        <w:rPr>
          <w:noProof/>
        </w:rPr>
        <w:t>t bezpośrednio stosowane we wszystkich państwach członkowskich.</w:t>
      </w:r>
    </w:p>
    <w:p w14:paraId="6ADC86D0" w14:textId="518CB3CF" w:rsidR="00E26A8A" w:rsidRPr="00DD1DFA" w:rsidRDefault="00ED1B02" w:rsidP="00C96D7B">
      <w:pPr>
        <w:pStyle w:val="Fait"/>
        <w:rPr>
          <w:noProof/>
        </w:rPr>
      </w:pPr>
      <w:r w:rsidRPr="00ED1B02">
        <w:t xml:space="preserve">Sporządzono w Brukseli dnia </w:t>
      </w:r>
      <w:r w:rsidRPr="00ED1B02">
        <w:rPr>
          <w:rStyle w:val="Marker"/>
        </w:rPr>
        <w:t>[…]</w:t>
      </w:r>
      <w:r w:rsidRPr="00ED1B02">
        <w:t xml:space="preserve"> r.</w:t>
      </w:r>
    </w:p>
    <w:p w14:paraId="292CC1DD" w14:textId="77777777" w:rsidR="00BB2C85" w:rsidRPr="00DD1DFA" w:rsidRDefault="00BB2C85" w:rsidP="00C96D7B">
      <w:pPr>
        <w:pStyle w:val="Institutionquisigne"/>
        <w:rPr>
          <w:noProof/>
        </w:rPr>
      </w:pPr>
      <w:r w:rsidRPr="00DD1DFA">
        <w:rPr>
          <w:noProof/>
        </w:rPr>
        <w:t>W imieniu Parlamentu Europejskiego</w:t>
      </w:r>
      <w:r w:rsidRPr="00DD1DFA">
        <w:rPr>
          <w:noProof/>
        </w:rPr>
        <w:tab/>
        <w:t>W imieniu Rady</w:t>
      </w:r>
    </w:p>
    <w:p w14:paraId="35160F22" w14:textId="77777777" w:rsidR="00BB2C85" w:rsidRPr="00DD1DFA" w:rsidRDefault="00BB2C85" w:rsidP="00BB2C85">
      <w:pPr>
        <w:pStyle w:val="Personnequisigne"/>
        <w:rPr>
          <w:noProof/>
        </w:rPr>
      </w:pPr>
      <w:r w:rsidRPr="00DD1DFA">
        <w:rPr>
          <w:noProof/>
        </w:rPr>
        <w:t>Przewodnicząca</w:t>
      </w:r>
      <w:r w:rsidRPr="00DD1DFA">
        <w:rPr>
          <w:noProof/>
        </w:rPr>
        <w:tab/>
        <w:t>Przewodniczący</w:t>
      </w:r>
    </w:p>
    <w:p w14:paraId="2A4F48A5" w14:textId="77777777" w:rsidR="00B16F96" w:rsidRPr="00DD1DFA" w:rsidRDefault="00B16F96" w:rsidP="00B16F96">
      <w:pPr>
        <w:rPr>
          <w:noProof/>
        </w:rPr>
        <w:sectPr w:rsidR="00B16F96" w:rsidRPr="00DD1DFA" w:rsidSect="0037392B">
          <w:pgSz w:w="11907" w:h="16839"/>
          <w:pgMar w:top="1134" w:right="1417" w:bottom="1134" w:left="1417" w:header="709" w:footer="709" w:gutter="0"/>
          <w:cols w:space="708"/>
          <w:docGrid w:linePitch="360"/>
        </w:sectPr>
      </w:pPr>
    </w:p>
    <w:p w14:paraId="3EA2ABBF" w14:textId="77777777" w:rsidR="00C52EF2" w:rsidRPr="00DD1DFA" w:rsidRDefault="00C52EF2" w:rsidP="00C52EF2">
      <w:pPr>
        <w:pStyle w:val="Fichefinanciretitre"/>
        <w:keepNext/>
        <w:rPr>
          <w:noProof/>
        </w:rPr>
      </w:pPr>
      <w:r w:rsidRPr="00DD1DFA">
        <w:rPr>
          <w:noProof/>
        </w:rPr>
        <w:t>OCENA SKUTKÓW FINANSOWYCH REGULACJI</w:t>
      </w:r>
    </w:p>
    <w:p w14:paraId="01A39502" w14:textId="77777777" w:rsidR="005D44AF" w:rsidRPr="00DD1DFA" w:rsidRDefault="005D44AF" w:rsidP="005D44AF">
      <w:pPr>
        <w:tabs>
          <w:tab w:val="left" w:pos="-720"/>
          <w:tab w:val="left" w:pos="480"/>
          <w:tab w:val="left" w:pos="960"/>
          <w:tab w:val="left" w:pos="1320"/>
          <w:tab w:val="left" w:pos="6840"/>
          <w:tab w:val="left" w:pos="8520"/>
        </w:tabs>
        <w:spacing w:before="0" w:after="0"/>
        <w:jc w:val="center"/>
        <w:rPr>
          <w:rFonts w:eastAsia="Times New Roman"/>
          <w:b/>
          <w:noProof/>
          <w:szCs w:val="24"/>
          <w:lang w:eastAsia="en-GB"/>
        </w:rPr>
      </w:pPr>
    </w:p>
    <w:p w14:paraId="7B98204D" w14:textId="1E8A2A51" w:rsidR="00F2740F" w:rsidRPr="00DD1DFA" w:rsidRDefault="005F7EFA" w:rsidP="005F7EFA">
      <w:pPr>
        <w:pStyle w:val="ManualHeading1"/>
        <w:rPr>
          <w:noProof/>
        </w:rPr>
      </w:pPr>
      <w:bookmarkStart w:id="5" w:name="_Toc514938007"/>
      <w:bookmarkStart w:id="6" w:name="_Toc95761270"/>
      <w:bookmarkStart w:id="7" w:name="_Toc514938008"/>
      <w:bookmarkStart w:id="8" w:name="_Toc95761271"/>
      <w:r w:rsidRPr="005F7EFA">
        <w:t>1.</w:t>
      </w:r>
      <w:r w:rsidRPr="005F7EFA">
        <w:tab/>
      </w:r>
      <w:r w:rsidR="00F2740F" w:rsidRPr="00DD1DFA">
        <w:rPr>
          <w:noProof/>
        </w:rPr>
        <w:t>STRUKTURA WNIOSKU/INICJATYWY</w:t>
      </w:r>
      <w:bookmarkEnd w:id="5"/>
      <w:bookmarkEnd w:id="6"/>
      <w:r w:rsidR="00F2740F" w:rsidRPr="00DD1DFA">
        <w:rPr>
          <w:noProof/>
        </w:rPr>
        <w:t xml:space="preserve"> </w:t>
      </w:r>
    </w:p>
    <w:bookmarkEnd w:id="7"/>
    <w:bookmarkEnd w:id="8"/>
    <w:p w14:paraId="161C1B1E" w14:textId="40E4A491" w:rsidR="00F2740F" w:rsidRPr="00DD1DFA" w:rsidRDefault="005F7EFA" w:rsidP="005F7EFA">
      <w:pPr>
        <w:pStyle w:val="ManualHeading2"/>
        <w:rPr>
          <w:noProof/>
        </w:rPr>
      </w:pPr>
      <w:r w:rsidRPr="005F7EFA">
        <w:t>1.1.</w:t>
      </w:r>
      <w:r w:rsidRPr="005F7EFA">
        <w:tab/>
      </w:r>
      <w:r w:rsidR="00F2740F" w:rsidRPr="00DD1DFA">
        <w:rPr>
          <w:noProof/>
        </w:rPr>
        <w:t>Tytuł wniosku/inicjatywy</w:t>
      </w:r>
    </w:p>
    <w:p w14:paraId="4F49178D" w14:textId="6D35663D"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Wniosek dotyczący rozporządzenia Parlamentu Europejskiego</w:t>
      </w:r>
      <w:r w:rsidR="00DD1DFA" w:rsidRPr="00DD1DFA">
        <w:rPr>
          <w:noProof/>
        </w:rPr>
        <w:t xml:space="preserve"> i</w:t>
      </w:r>
      <w:r w:rsidR="00DD1DFA">
        <w:rPr>
          <w:noProof/>
        </w:rPr>
        <w:t> </w:t>
      </w:r>
      <w:r w:rsidR="00DD1DFA" w:rsidRPr="00DD1DFA">
        <w:rPr>
          <w:noProof/>
        </w:rPr>
        <w:t>Rad</w:t>
      </w:r>
      <w:r w:rsidRPr="00DD1DFA">
        <w:rPr>
          <w:noProof/>
        </w:rPr>
        <w:t>y ustanawiającego zharmonizowane warunki wprowadzania do obrotu wyrobów budowlanych, zmieniającego rozporządzenie (UE) 2019/1020</w:t>
      </w:r>
      <w:r w:rsidR="00DD1DFA" w:rsidRPr="00DD1DFA">
        <w:rPr>
          <w:noProof/>
        </w:rPr>
        <w:t xml:space="preserve"> i</w:t>
      </w:r>
      <w:r w:rsidR="00DD1DFA">
        <w:rPr>
          <w:noProof/>
        </w:rPr>
        <w:t> </w:t>
      </w:r>
      <w:r w:rsidR="00DD1DFA" w:rsidRPr="00DD1DFA">
        <w:rPr>
          <w:noProof/>
        </w:rPr>
        <w:t>uch</w:t>
      </w:r>
      <w:r w:rsidRPr="00DD1DFA">
        <w:rPr>
          <w:noProof/>
        </w:rPr>
        <w:t>ylającego rozporządzenie (UE) nr</w:t>
      </w:r>
      <w:r w:rsidR="00DD1DFA" w:rsidRPr="00DD1DFA">
        <w:rPr>
          <w:noProof/>
        </w:rPr>
        <w:t> </w:t>
      </w:r>
      <w:r w:rsidRPr="00DD1DFA">
        <w:rPr>
          <w:noProof/>
        </w:rPr>
        <w:t>305/2011</w:t>
      </w:r>
    </w:p>
    <w:p w14:paraId="42196B44" w14:textId="7B77E04B" w:rsidR="005D44AF" w:rsidRPr="00DD1DFA" w:rsidRDefault="005F7EFA" w:rsidP="005F7EFA">
      <w:pPr>
        <w:pStyle w:val="ManualHeading2"/>
        <w:rPr>
          <w:noProof/>
        </w:rPr>
      </w:pPr>
      <w:bookmarkStart w:id="9" w:name="_Toc514938011"/>
      <w:bookmarkStart w:id="10" w:name="_Toc95761272"/>
      <w:r w:rsidRPr="005F7EFA">
        <w:t>1.2.</w:t>
      </w:r>
      <w:r w:rsidRPr="005F7EFA">
        <w:tab/>
      </w:r>
      <w:r w:rsidR="005D44AF" w:rsidRPr="00DD1DFA">
        <w:rPr>
          <w:noProof/>
        </w:rPr>
        <w:t>Dziedziny polityki, których dotyczy wniosek/inicjatywa</w:t>
      </w:r>
      <w:bookmarkEnd w:id="9"/>
      <w:bookmarkEnd w:id="10"/>
      <w:r w:rsidR="005D44AF" w:rsidRPr="00DD1DFA">
        <w:rPr>
          <w:noProof/>
        </w:rPr>
        <w:t xml:space="preserve"> </w:t>
      </w:r>
    </w:p>
    <w:p w14:paraId="6434F0E2" w14:textId="77777777" w:rsidR="005D44AF" w:rsidRPr="00DD1DFA" w:rsidRDefault="00A319C5" w:rsidP="005D44AF">
      <w:pPr>
        <w:pBdr>
          <w:top w:val="single" w:sz="4" w:space="1" w:color="auto"/>
          <w:left w:val="single" w:sz="4" w:space="4" w:color="auto"/>
          <w:bottom w:val="single" w:sz="4" w:space="1" w:color="auto"/>
          <w:right w:val="single" w:sz="4" w:space="4" w:color="auto"/>
        </w:pBdr>
        <w:ind w:left="850"/>
        <w:rPr>
          <w:noProof/>
        </w:rPr>
      </w:pPr>
      <w:r w:rsidRPr="00DD1DFA">
        <w:rPr>
          <w:noProof/>
        </w:rPr>
        <w:t xml:space="preserve">Jednolity rynek wyrobów budowlanych. </w:t>
      </w:r>
    </w:p>
    <w:p w14:paraId="5E09FE7E" w14:textId="77777777"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Niniejszy wniosek przyczynia się do osiągania następujących naczelnych celów Komisji Europejskiej: Zielonego Ładu, Europy na miarę ery cyfrowej, gospodarki służącej ludziom, Silniejszej pozycji Europy na świecie.</w:t>
      </w:r>
    </w:p>
    <w:p w14:paraId="4075134C" w14:textId="4C412D69" w:rsidR="005D44AF" w:rsidRPr="00DD1DFA" w:rsidRDefault="005F7EFA" w:rsidP="005F7EFA">
      <w:pPr>
        <w:pStyle w:val="ManualHeading2"/>
        <w:rPr>
          <w:noProof/>
        </w:rPr>
      </w:pPr>
      <w:bookmarkStart w:id="11" w:name="_Toc514938014"/>
      <w:bookmarkStart w:id="12" w:name="_Toc95761273"/>
      <w:r w:rsidRPr="005F7EFA">
        <w:t>1.3.</w:t>
      </w:r>
      <w:r w:rsidRPr="005F7EFA">
        <w:tab/>
      </w:r>
      <w:r w:rsidR="005D44AF" w:rsidRPr="00DD1DFA">
        <w:rPr>
          <w:noProof/>
        </w:rPr>
        <w:t>Wniosek/inicjatywa dotyczy:</w:t>
      </w:r>
      <w:bookmarkEnd w:id="11"/>
      <w:bookmarkEnd w:id="12"/>
      <w:r w:rsidR="005D44AF" w:rsidRPr="00DD1DFA">
        <w:rPr>
          <w:noProof/>
        </w:rPr>
        <w:t xml:space="preserve"> </w:t>
      </w:r>
    </w:p>
    <w:p w14:paraId="6672172F" w14:textId="77777777" w:rsidR="005D44AF" w:rsidRPr="00DD1DFA" w:rsidRDefault="005D44AF" w:rsidP="005D44AF">
      <w:pPr>
        <w:ind w:left="850"/>
        <w:rPr>
          <w:b/>
          <w:bCs/>
          <w:noProof/>
          <w:sz w:val="22"/>
        </w:rPr>
      </w:pPr>
      <w:r w:rsidRPr="00DD1DFA">
        <w:rPr>
          <w:rFonts w:ascii="Wingdings" w:hAnsi="Wingdings"/>
          <w:noProof/>
          <w:sz w:val="22"/>
        </w:rPr>
        <w:t></w:t>
      </w:r>
      <w:r w:rsidRPr="00DD1DFA">
        <w:rPr>
          <w:rFonts w:ascii="Wingdings" w:hAnsi="Wingdings"/>
          <w:noProof/>
          <w:sz w:val="22"/>
        </w:rPr>
        <w:t></w:t>
      </w:r>
      <w:r w:rsidRPr="00DD1DFA">
        <w:rPr>
          <w:b/>
          <w:bCs/>
          <w:noProof/>
        </w:rPr>
        <w:t>nowego działania</w:t>
      </w:r>
      <w:r w:rsidRPr="00DD1DFA">
        <w:rPr>
          <w:b/>
          <w:bCs/>
          <w:noProof/>
          <w:sz w:val="22"/>
        </w:rPr>
        <w:t xml:space="preserve"> </w:t>
      </w:r>
    </w:p>
    <w:p w14:paraId="41F05857" w14:textId="77777777" w:rsidR="005D44AF" w:rsidRPr="00DD1DFA" w:rsidRDefault="005D44AF" w:rsidP="005D44AF">
      <w:pPr>
        <w:ind w:left="850"/>
        <w:rPr>
          <w:noProof/>
          <w:sz w:val="22"/>
        </w:rPr>
      </w:pPr>
      <w:r w:rsidRPr="00DD1DFA">
        <w:rPr>
          <w:rFonts w:ascii="Wingdings" w:hAnsi="Wingdings"/>
          <w:noProof/>
          <w:sz w:val="22"/>
        </w:rPr>
        <w:t></w:t>
      </w:r>
      <w:r w:rsidRPr="00DD1DFA">
        <w:rPr>
          <w:i/>
          <w:noProof/>
          <w:sz w:val="22"/>
        </w:rPr>
        <w:t xml:space="preserve"> </w:t>
      </w:r>
      <w:r w:rsidRPr="00DD1DFA">
        <w:rPr>
          <w:b/>
          <w:noProof/>
        </w:rPr>
        <w:t>nowego działania, będącego następstwem projektu pilotażowego/działania przygotowawczego</w:t>
      </w:r>
      <w:r w:rsidRPr="00DD1DFA">
        <w:rPr>
          <w:rStyle w:val="Odwoanieprzypisudolnego"/>
          <w:noProof/>
        </w:rPr>
        <w:footnoteReference w:id="53"/>
      </w:r>
      <w:r w:rsidRPr="00DD1DFA">
        <w:rPr>
          <w:noProof/>
          <w:sz w:val="22"/>
        </w:rPr>
        <w:t xml:space="preserve"> </w:t>
      </w:r>
    </w:p>
    <w:p w14:paraId="3C79DB85" w14:textId="77777777" w:rsidR="005D44AF" w:rsidRPr="00DD1DFA" w:rsidRDefault="005D44AF" w:rsidP="005D44AF">
      <w:pPr>
        <w:ind w:left="850"/>
        <w:rPr>
          <w:noProof/>
          <w:sz w:val="22"/>
        </w:rPr>
      </w:pPr>
      <w:r w:rsidRPr="00DD1DFA">
        <w:rPr>
          <w:rFonts w:ascii="Wingdings" w:hAnsi="Wingdings"/>
          <w:noProof/>
          <w:sz w:val="22"/>
        </w:rPr>
        <w:t></w:t>
      </w:r>
      <w:r w:rsidRPr="00DD1DFA">
        <w:rPr>
          <w:i/>
          <w:noProof/>
          <w:sz w:val="22"/>
        </w:rPr>
        <w:t xml:space="preserve"> </w:t>
      </w:r>
      <w:r w:rsidRPr="00DD1DFA">
        <w:rPr>
          <w:b/>
          <w:noProof/>
        </w:rPr>
        <w:t>przedłużenia bieżącego działania</w:t>
      </w:r>
      <w:r w:rsidRPr="00DD1DFA">
        <w:rPr>
          <w:noProof/>
          <w:sz w:val="22"/>
        </w:rPr>
        <w:t xml:space="preserve"> </w:t>
      </w:r>
    </w:p>
    <w:p w14:paraId="29E755F5" w14:textId="77777777" w:rsidR="005D44AF" w:rsidRPr="00DD1DFA" w:rsidRDefault="005D44AF" w:rsidP="005D44AF">
      <w:pPr>
        <w:ind w:left="850"/>
        <w:rPr>
          <w:noProof/>
        </w:rPr>
      </w:pPr>
      <w:r w:rsidRPr="00DD1DFA">
        <w:rPr>
          <w:rFonts w:ascii="Wingdings" w:hAnsi="Wingdings"/>
          <w:noProof/>
          <w:sz w:val="22"/>
        </w:rPr>
        <w:t></w:t>
      </w:r>
      <w:r w:rsidRPr="00DD1DFA">
        <w:rPr>
          <w:i/>
          <w:noProof/>
          <w:sz w:val="22"/>
        </w:rPr>
        <w:t xml:space="preserve"> </w:t>
      </w:r>
      <w:r w:rsidRPr="00DD1DFA">
        <w:rPr>
          <w:b/>
          <w:noProof/>
        </w:rPr>
        <w:t>połączenia lub przekształcenia co najmniej jednego działania pod kątem innego/nowego działania</w:t>
      </w:r>
      <w:r w:rsidRPr="00DD1DFA">
        <w:rPr>
          <w:noProof/>
        </w:rPr>
        <w:t xml:space="preserve"> </w:t>
      </w:r>
    </w:p>
    <w:p w14:paraId="2AD96D46" w14:textId="76203293" w:rsidR="005D44AF" w:rsidRPr="00DD1DFA" w:rsidRDefault="005F7EFA" w:rsidP="005F7EFA">
      <w:pPr>
        <w:pStyle w:val="ManualHeading2"/>
        <w:rPr>
          <w:noProof/>
        </w:rPr>
      </w:pPr>
      <w:bookmarkStart w:id="13" w:name="_Toc514938015"/>
      <w:bookmarkStart w:id="14" w:name="_Toc95761274"/>
      <w:r w:rsidRPr="005F7EFA">
        <w:t>1.4.</w:t>
      </w:r>
      <w:r w:rsidRPr="005F7EFA">
        <w:tab/>
      </w:r>
      <w:r w:rsidR="005D44AF" w:rsidRPr="00DD1DFA">
        <w:rPr>
          <w:noProof/>
        </w:rPr>
        <w:t>Cel(e)</w:t>
      </w:r>
      <w:bookmarkEnd w:id="13"/>
      <w:bookmarkEnd w:id="14"/>
    </w:p>
    <w:p w14:paraId="7241E507" w14:textId="69EAF75A" w:rsidR="00F2740F" w:rsidRPr="00DD1DFA" w:rsidRDefault="005F7EFA" w:rsidP="005F7EFA">
      <w:pPr>
        <w:pStyle w:val="ManualHeading3"/>
        <w:rPr>
          <w:noProof/>
        </w:rPr>
      </w:pPr>
      <w:bookmarkStart w:id="15" w:name="_Toc514938016"/>
      <w:bookmarkStart w:id="16" w:name="_Toc95761275"/>
      <w:r w:rsidRPr="005F7EFA">
        <w:t>1.4.1.</w:t>
      </w:r>
      <w:r w:rsidRPr="005F7EFA">
        <w:tab/>
      </w:r>
      <w:r w:rsidR="00F2740F" w:rsidRPr="00DD1DFA">
        <w:rPr>
          <w:noProof/>
        </w:rPr>
        <w:t>Cel(e) ogólny(e)</w:t>
      </w:r>
      <w:bookmarkEnd w:id="15"/>
      <w:bookmarkEnd w:id="16"/>
    </w:p>
    <w:p w14:paraId="64FC2C23" w14:textId="77777777" w:rsidR="005D44AF" w:rsidRPr="00DD1DFA" w:rsidRDefault="005D44AF" w:rsidP="005D44AF">
      <w:pPr>
        <w:ind w:left="850"/>
        <w:rPr>
          <w:rFonts w:eastAsia="Calibri"/>
          <w:noProof/>
          <w:szCs w:val="24"/>
        </w:rPr>
      </w:pPr>
      <w:r w:rsidRPr="00DD1DFA">
        <w:rPr>
          <w:noProof/>
        </w:rPr>
        <w:t xml:space="preserve">Dwoma ogólnymi celami rewizji są: </w:t>
      </w:r>
    </w:p>
    <w:p w14:paraId="39361873" w14:textId="77777777" w:rsidR="005D44AF" w:rsidRPr="00DD1DFA" w:rsidRDefault="005D44AF" w:rsidP="005D44AF">
      <w:pPr>
        <w:ind w:left="850"/>
        <w:rPr>
          <w:rFonts w:eastAsia="Calibri"/>
          <w:noProof/>
          <w:szCs w:val="24"/>
        </w:rPr>
      </w:pPr>
      <w:r w:rsidRPr="00DD1DFA">
        <w:rPr>
          <w:noProof/>
        </w:rPr>
        <w:t xml:space="preserve">1. Stworzenie sprawnie funkcjonującego jednolitego rynku wyrobów budowlanych; oraz </w:t>
      </w:r>
    </w:p>
    <w:p w14:paraId="6B54D688" w14:textId="659341DE" w:rsidR="005D44AF" w:rsidRPr="00DD1DFA" w:rsidRDefault="005D44AF" w:rsidP="005D44AF">
      <w:pPr>
        <w:ind w:left="850"/>
        <w:rPr>
          <w:rFonts w:eastAsia="Calibri"/>
          <w:noProof/>
          <w:szCs w:val="24"/>
        </w:rPr>
      </w:pPr>
      <w:r w:rsidRPr="00DD1DFA">
        <w:rPr>
          <w:noProof/>
        </w:rPr>
        <w:t>2. Zapewnienie, by ramy mogły przyczynić się do osiągnięcia celów ekologicznej</w:t>
      </w:r>
      <w:r w:rsidR="00DD1DFA" w:rsidRPr="00DD1DFA">
        <w:rPr>
          <w:noProof/>
        </w:rPr>
        <w:t xml:space="preserve"> i</w:t>
      </w:r>
      <w:r w:rsidR="00DD1DFA">
        <w:rPr>
          <w:noProof/>
        </w:rPr>
        <w:t> </w:t>
      </w:r>
      <w:r w:rsidR="00DD1DFA" w:rsidRPr="00DD1DFA">
        <w:rPr>
          <w:noProof/>
        </w:rPr>
        <w:t>cyf</w:t>
      </w:r>
      <w:r w:rsidRPr="00DD1DFA">
        <w:rPr>
          <w:noProof/>
        </w:rPr>
        <w:t>rowej transformacji,</w:t>
      </w:r>
      <w:r w:rsidR="00DD1DFA" w:rsidRPr="00DD1DFA">
        <w:rPr>
          <w:noProof/>
        </w:rPr>
        <w:t xml:space="preserve"> w</w:t>
      </w:r>
      <w:r w:rsidR="00DD1DFA">
        <w:rPr>
          <w:noProof/>
        </w:rPr>
        <w:t> </w:t>
      </w:r>
      <w:r w:rsidR="00DD1DFA" w:rsidRPr="00DD1DFA">
        <w:rPr>
          <w:noProof/>
        </w:rPr>
        <w:t>szc</w:t>
      </w:r>
      <w:r w:rsidRPr="00DD1DFA">
        <w:rPr>
          <w:noProof/>
        </w:rPr>
        <w:t>zególności nowoczesnej, zasobooszczędnej</w:t>
      </w:r>
      <w:r w:rsidR="00DD1DFA" w:rsidRPr="00DD1DFA">
        <w:rPr>
          <w:noProof/>
        </w:rPr>
        <w:t xml:space="preserve"> i</w:t>
      </w:r>
      <w:r w:rsidR="00DD1DFA">
        <w:rPr>
          <w:noProof/>
        </w:rPr>
        <w:t> </w:t>
      </w:r>
      <w:r w:rsidR="00DD1DFA" w:rsidRPr="00DD1DFA">
        <w:rPr>
          <w:noProof/>
        </w:rPr>
        <w:t>kon</w:t>
      </w:r>
      <w:r w:rsidRPr="00DD1DFA">
        <w:rPr>
          <w:noProof/>
        </w:rPr>
        <w:t>kurencyjnej gospodarki.</w:t>
      </w:r>
    </w:p>
    <w:p w14:paraId="30B708AF" w14:textId="2F4AF6CE" w:rsidR="005D44AF" w:rsidRPr="00DD1DFA" w:rsidRDefault="005F7EFA" w:rsidP="005F7EFA">
      <w:pPr>
        <w:pStyle w:val="ManualHeading3"/>
        <w:rPr>
          <w:noProof/>
        </w:rPr>
      </w:pPr>
      <w:bookmarkStart w:id="17" w:name="_Toc514938018"/>
      <w:bookmarkStart w:id="18" w:name="_Toc95761276"/>
      <w:r w:rsidRPr="005F7EFA">
        <w:t>1.4.2.</w:t>
      </w:r>
      <w:r w:rsidRPr="005F7EFA">
        <w:tab/>
      </w:r>
      <w:r w:rsidR="005D44AF" w:rsidRPr="00DD1DFA">
        <w:rPr>
          <w:noProof/>
        </w:rPr>
        <w:t>Cel(e) szczegółowy(e)</w:t>
      </w:r>
      <w:bookmarkEnd w:id="17"/>
      <w:bookmarkEnd w:id="18"/>
    </w:p>
    <w:p w14:paraId="78D4DCFD" w14:textId="77777777" w:rsidR="005D44AF" w:rsidRPr="00DD1DFA" w:rsidRDefault="005D44AF" w:rsidP="005D44AF">
      <w:pPr>
        <w:ind w:left="850"/>
        <w:rPr>
          <w:rFonts w:eastAsia="Calibri"/>
          <w:noProof/>
          <w:szCs w:val="24"/>
        </w:rPr>
      </w:pPr>
      <w:r w:rsidRPr="00DD1DFA">
        <w:rPr>
          <w:noProof/>
        </w:rPr>
        <w:t>Celami szczegółowymi są:</w:t>
      </w:r>
    </w:p>
    <w:p w14:paraId="192ED7B0" w14:textId="77777777" w:rsidR="005D44AF" w:rsidRPr="00DD1DFA" w:rsidRDefault="005D44AF" w:rsidP="00D810F6">
      <w:pPr>
        <w:pStyle w:val="Bullet2"/>
        <w:numPr>
          <w:ilvl w:val="0"/>
          <w:numId w:val="41"/>
        </w:numPr>
        <w:rPr>
          <w:rFonts w:asciiTheme="minorHAnsi" w:eastAsiaTheme="minorEastAsia" w:hAnsiTheme="minorHAnsi" w:cstheme="minorBidi"/>
          <w:noProof/>
          <w:szCs w:val="24"/>
        </w:rPr>
      </w:pPr>
      <w:r w:rsidRPr="00DD1DFA">
        <w:rPr>
          <w:noProof/>
        </w:rPr>
        <w:t xml:space="preserve">odblokowanie systemu harmonizacji technicznej; </w:t>
      </w:r>
    </w:p>
    <w:p w14:paraId="3515457E" w14:textId="2511B329" w:rsidR="005D44AF" w:rsidRPr="00DD1DFA" w:rsidRDefault="005D44AF" w:rsidP="00CE6888">
      <w:pPr>
        <w:pStyle w:val="Bullet2"/>
        <w:rPr>
          <w:rFonts w:asciiTheme="minorHAnsi" w:eastAsiaTheme="minorEastAsia" w:hAnsiTheme="minorHAnsi" w:cstheme="minorBidi"/>
          <w:noProof/>
          <w:szCs w:val="24"/>
        </w:rPr>
      </w:pPr>
      <w:r w:rsidRPr="00DD1DFA">
        <w:rPr>
          <w:noProof/>
        </w:rPr>
        <w:t>zmniejszenie krajowych barier</w:t>
      </w:r>
      <w:r w:rsidR="00DD1DFA" w:rsidRPr="00DD1DFA">
        <w:rPr>
          <w:noProof/>
        </w:rPr>
        <w:t xml:space="preserve"> w</w:t>
      </w:r>
      <w:r w:rsidR="00DD1DFA">
        <w:rPr>
          <w:noProof/>
        </w:rPr>
        <w:t> </w:t>
      </w:r>
      <w:r w:rsidR="00DD1DFA" w:rsidRPr="00DD1DFA">
        <w:rPr>
          <w:noProof/>
        </w:rPr>
        <w:t>han</w:t>
      </w:r>
      <w:r w:rsidRPr="00DD1DFA">
        <w:rPr>
          <w:noProof/>
        </w:rPr>
        <w:t>dlu wyrobami objętymi rozporządzeniem</w:t>
      </w:r>
      <w:r w:rsidR="00DD1DFA" w:rsidRPr="00DD1DFA">
        <w:rPr>
          <w:noProof/>
        </w:rPr>
        <w:t xml:space="preserve"> w</w:t>
      </w:r>
      <w:r w:rsidR="00DD1DFA">
        <w:rPr>
          <w:noProof/>
        </w:rPr>
        <w:t> </w:t>
      </w:r>
      <w:r w:rsidR="00DD1DFA" w:rsidRPr="00DD1DFA">
        <w:rPr>
          <w:noProof/>
        </w:rPr>
        <w:t>spr</w:t>
      </w:r>
      <w:r w:rsidRPr="00DD1DFA">
        <w:rPr>
          <w:noProof/>
        </w:rPr>
        <w:t xml:space="preserve">awie wyrobów budowlanych; </w:t>
      </w:r>
    </w:p>
    <w:p w14:paraId="0C17C25A" w14:textId="3240FDC1" w:rsidR="005D44AF" w:rsidRPr="00DD1DFA" w:rsidRDefault="005D44AF" w:rsidP="00CE6888">
      <w:pPr>
        <w:pStyle w:val="Bullet2"/>
        <w:rPr>
          <w:rFonts w:asciiTheme="minorHAnsi" w:eastAsiaTheme="minorEastAsia" w:hAnsiTheme="minorHAnsi" w:cstheme="minorBidi"/>
          <w:noProof/>
          <w:szCs w:val="24"/>
        </w:rPr>
      </w:pPr>
      <w:r w:rsidRPr="00DD1DFA">
        <w:rPr>
          <w:noProof/>
        </w:rPr>
        <w:t>poprawa egzekwowania przepisów</w:t>
      </w:r>
      <w:r w:rsidR="00DD1DFA" w:rsidRPr="00DD1DFA">
        <w:rPr>
          <w:noProof/>
        </w:rPr>
        <w:t xml:space="preserve"> i</w:t>
      </w:r>
      <w:r w:rsidR="00DD1DFA">
        <w:rPr>
          <w:noProof/>
        </w:rPr>
        <w:t> </w:t>
      </w:r>
      <w:r w:rsidR="00DD1DFA" w:rsidRPr="00DD1DFA">
        <w:rPr>
          <w:noProof/>
        </w:rPr>
        <w:t>nad</w:t>
      </w:r>
      <w:r w:rsidRPr="00DD1DFA">
        <w:rPr>
          <w:noProof/>
        </w:rPr>
        <w:t xml:space="preserve">zoru rynku; </w:t>
      </w:r>
    </w:p>
    <w:p w14:paraId="0687A66E" w14:textId="14AAD5EF" w:rsidR="005D44AF" w:rsidRPr="00DD1DFA" w:rsidRDefault="005D44AF" w:rsidP="00CE6888">
      <w:pPr>
        <w:pStyle w:val="Bullet2"/>
        <w:rPr>
          <w:rFonts w:asciiTheme="minorHAnsi" w:eastAsiaTheme="minorEastAsia" w:hAnsiTheme="minorHAnsi" w:cstheme="minorBidi"/>
          <w:noProof/>
          <w:szCs w:val="24"/>
        </w:rPr>
      </w:pPr>
      <w:r w:rsidRPr="00DD1DFA">
        <w:rPr>
          <w:noProof/>
        </w:rPr>
        <w:t>zapewnienie większej jasności (bardziej wyczerpujące definicje, ograniczenie nakładania się przepisów, kolizja przepisów</w:t>
      </w:r>
      <w:r w:rsidR="00DD1DFA" w:rsidRPr="00DD1DFA">
        <w:rPr>
          <w:noProof/>
        </w:rPr>
        <w:t xml:space="preserve"> z</w:t>
      </w:r>
      <w:r w:rsidR="00DD1DFA">
        <w:rPr>
          <w:noProof/>
        </w:rPr>
        <w:t> </w:t>
      </w:r>
      <w:r w:rsidR="00DD1DFA" w:rsidRPr="00DD1DFA">
        <w:rPr>
          <w:noProof/>
        </w:rPr>
        <w:t>inn</w:t>
      </w:r>
      <w:r w:rsidRPr="00DD1DFA">
        <w:rPr>
          <w:noProof/>
        </w:rPr>
        <w:t>ymi aktami prawnymi)</w:t>
      </w:r>
      <w:r w:rsidR="00DD1DFA" w:rsidRPr="00DD1DFA">
        <w:rPr>
          <w:noProof/>
        </w:rPr>
        <w:t xml:space="preserve"> i</w:t>
      </w:r>
      <w:r w:rsidR="00DD1DFA">
        <w:rPr>
          <w:noProof/>
        </w:rPr>
        <w:t> </w:t>
      </w:r>
      <w:r w:rsidR="00DD1DFA" w:rsidRPr="00DD1DFA">
        <w:rPr>
          <w:noProof/>
        </w:rPr>
        <w:t>upr</w:t>
      </w:r>
      <w:r w:rsidRPr="00DD1DFA">
        <w:rPr>
          <w:noProof/>
        </w:rPr>
        <w:t xml:space="preserve">oszczenie; </w:t>
      </w:r>
    </w:p>
    <w:p w14:paraId="1D087220" w14:textId="252D89C4" w:rsidR="005D44AF" w:rsidRPr="00DD1DFA" w:rsidRDefault="005D44AF" w:rsidP="00CE6888">
      <w:pPr>
        <w:pStyle w:val="Bullet2"/>
        <w:rPr>
          <w:noProof/>
        </w:rPr>
      </w:pPr>
      <w:r w:rsidRPr="00DD1DFA">
        <w:rPr>
          <w:noProof/>
        </w:rPr>
        <w:t>zmniejszenie obciążeń administracyjnych,</w:t>
      </w:r>
      <w:r w:rsidR="00DD1DFA" w:rsidRPr="00DD1DFA">
        <w:rPr>
          <w:noProof/>
        </w:rPr>
        <w:t xml:space="preserve"> w</w:t>
      </w:r>
      <w:r w:rsidR="00DD1DFA">
        <w:rPr>
          <w:noProof/>
        </w:rPr>
        <w:t> </w:t>
      </w:r>
      <w:r w:rsidR="00DD1DFA" w:rsidRPr="00DD1DFA">
        <w:rPr>
          <w:noProof/>
        </w:rPr>
        <w:t>tym</w:t>
      </w:r>
      <w:r w:rsidRPr="00DD1DFA">
        <w:rPr>
          <w:noProof/>
        </w:rPr>
        <w:t xml:space="preserve"> poprzez uproszczenie</w:t>
      </w:r>
      <w:r w:rsidR="00DD1DFA" w:rsidRPr="00DD1DFA">
        <w:rPr>
          <w:noProof/>
        </w:rPr>
        <w:t xml:space="preserve"> i</w:t>
      </w:r>
      <w:r w:rsidR="00DD1DFA">
        <w:rPr>
          <w:noProof/>
        </w:rPr>
        <w:t> </w:t>
      </w:r>
      <w:r w:rsidR="00DD1DFA" w:rsidRPr="00DD1DFA">
        <w:rPr>
          <w:noProof/>
        </w:rPr>
        <w:t>cyf</w:t>
      </w:r>
      <w:r w:rsidRPr="00DD1DFA">
        <w:rPr>
          <w:noProof/>
        </w:rPr>
        <w:t>ryzację;</w:t>
      </w:r>
    </w:p>
    <w:p w14:paraId="680EF6E3" w14:textId="77777777" w:rsidR="005D44AF" w:rsidRPr="00DD1DFA" w:rsidRDefault="005D44AF" w:rsidP="00CE6888">
      <w:pPr>
        <w:pStyle w:val="Bullet2"/>
        <w:rPr>
          <w:rFonts w:asciiTheme="minorHAnsi" w:eastAsiaTheme="minorEastAsia" w:hAnsiTheme="minorHAnsi" w:cstheme="minorBidi"/>
          <w:noProof/>
          <w:szCs w:val="24"/>
        </w:rPr>
      </w:pPr>
      <w:r w:rsidRPr="00DD1DFA">
        <w:rPr>
          <w:noProof/>
        </w:rPr>
        <w:t xml:space="preserve">zapewnienie bezpiecznych wyrobów budowlanych; </w:t>
      </w:r>
    </w:p>
    <w:p w14:paraId="21224453" w14:textId="5CC082A7" w:rsidR="005D44AF" w:rsidRPr="00DD1DFA" w:rsidRDefault="005D44AF" w:rsidP="00CE6888">
      <w:pPr>
        <w:pStyle w:val="Bullet2"/>
        <w:rPr>
          <w:rFonts w:asciiTheme="minorHAnsi" w:eastAsiaTheme="minorEastAsia" w:hAnsiTheme="minorHAnsi" w:cstheme="minorBidi"/>
          <w:noProof/>
          <w:szCs w:val="24"/>
        </w:rPr>
      </w:pPr>
      <w:r w:rsidRPr="00DD1DFA">
        <w:rPr>
          <w:noProof/>
        </w:rPr>
        <w:t>przyczynianie się do zmniejszenia ogólnego wpływu wyrobów budowlanych na klimat</w:t>
      </w:r>
      <w:r w:rsidR="00DD1DFA" w:rsidRPr="00DD1DFA">
        <w:rPr>
          <w:noProof/>
        </w:rPr>
        <w:t xml:space="preserve"> i</w:t>
      </w:r>
      <w:r w:rsidR="00DD1DFA">
        <w:rPr>
          <w:noProof/>
        </w:rPr>
        <w:t> </w:t>
      </w:r>
      <w:r w:rsidR="00DD1DFA" w:rsidRPr="00DD1DFA">
        <w:rPr>
          <w:noProof/>
        </w:rPr>
        <w:t>śro</w:t>
      </w:r>
      <w:r w:rsidRPr="00DD1DFA">
        <w:rPr>
          <w:noProof/>
        </w:rPr>
        <w:t>dowisko,</w:t>
      </w:r>
      <w:r w:rsidR="00DD1DFA" w:rsidRPr="00DD1DFA">
        <w:rPr>
          <w:noProof/>
        </w:rPr>
        <w:t xml:space="preserve"> w</w:t>
      </w:r>
      <w:r w:rsidR="00DD1DFA">
        <w:rPr>
          <w:noProof/>
        </w:rPr>
        <w:t> </w:t>
      </w:r>
      <w:r w:rsidR="00DD1DFA" w:rsidRPr="00DD1DFA">
        <w:rPr>
          <w:noProof/>
        </w:rPr>
        <w:t>tym</w:t>
      </w:r>
      <w:r w:rsidRPr="00DD1DFA">
        <w:rPr>
          <w:noProof/>
        </w:rPr>
        <w:t xml:space="preserve"> dzięki stosowaniu narzędzi cyfrowych (cyfrowego paszportu).</w:t>
      </w:r>
    </w:p>
    <w:p w14:paraId="3AA3E02C" w14:textId="16EA22EF" w:rsidR="005D44AF" w:rsidRPr="00DD1DFA" w:rsidRDefault="005F7EFA" w:rsidP="005F7EFA">
      <w:pPr>
        <w:pStyle w:val="ManualHeading3"/>
        <w:rPr>
          <w:noProof/>
        </w:rPr>
      </w:pPr>
      <w:bookmarkStart w:id="19" w:name="_Toc514938019"/>
      <w:bookmarkStart w:id="20" w:name="_Toc95761277"/>
      <w:r w:rsidRPr="005F7EFA">
        <w:t>1.4.3.</w:t>
      </w:r>
      <w:r w:rsidRPr="005F7EFA">
        <w:tab/>
      </w:r>
      <w:r w:rsidR="005D44AF" w:rsidRPr="00DD1DFA">
        <w:rPr>
          <w:noProof/>
        </w:rPr>
        <w:t>Oczekiwane wyniki</w:t>
      </w:r>
      <w:r w:rsidR="00DD1DFA" w:rsidRPr="00DD1DFA">
        <w:rPr>
          <w:noProof/>
        </w:rPr>
        <w:t xml:space="preserve"> i</w:t>
      </w:r>
      <w:r w:rsidR="00DD1DFA">
        <w:rPr>
          <w:noProof/>
        </w:rPr>
        <w:t> </w:t>
      </w:r>
      <w:r w:rsidR="00DD1DFA" w:rsidRPr="00DD1DFA">
        <w:rPr>
          <w:noProof/>
        </w:rPr>
        <w:t>wpł</w:t>
      </w:r>
      <w:r w:rsidR="005D44AF" w:rsidRPr="00DD1DFA">
        <w:rPr>
          <w:noProof/>
        </w:rPr>
        <w:t>yw</w:t>
      </w:r>
      <w:bookmarkEnd w:id="19"/>
      <w:bookmarkEnd w:id="20"/>
    </w:p>
    <w:p w14:paraId="3BDBBE6B" w14:textId="77777777" w:rsidR="005D44AF" w:rsidRPr="00DD1DFA" w:rsidRDefault="005D44AF" w:rsidP="005D44AF">
      <w:pPr>
        <w:ind w:left="850"/>
        <w:rPr>
          <w:i/>
          <w:noProof/>
          <w:sz w:val="20"/>
        </w:rPr>
      </w:pPr>
      <w:r w:rsidRPr="00DD1DFA">
        <w:rPr>
          <w:i/>
          <w:noProof/>
          <w:sz w:val="20"/>
        </w:rPr>
        <w:t>Należy wskazać, jakie efekty przyniesie wniosek/inicjatywa beneficjentom/grupie docelowej.</w:t>
      </w:r>
    </w:p>
    <w:p w14:paraId="7824DED1" w14:textId="581BE8B4"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Rewizja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ma na celu naprawę</w:t>
      </w:r>
      <w:r w:rsidR="00DD1DFA" w:rsidRPr="00DD1DFA">
        <w:rPr>
          <w:noProof/>
        </w:rPr>
        <w:t xml:space="preserve"> i</w:t>
      </w:r>
      <w:r w:rsidR="00DD1DFA">
        <w:rPr>
          <w:noProof/>
        </w:rPr>
        <w:t> </w:t>
      </w:r>
      <w:r w:rsidR="00DD1DFA" w:rsidRPr="00DD1DFA">
        <w:rPr>
          <w:noProof/>
        </w:rPr>
        <w:t>usp</w:t>
      </w:r>
      <w:r w:rsidRPr="00DD1DFA">
        <w:rPr>
          <w:noProof/>
        </w:rPr>
        <w:t>rawnienie jednolitego rynku wyrobów budowlanych. Stworzy to równe szanse dla wszystkich producentów,</w:t>
      </w:r>
      <w:r w:rsidR="00DD1DFA" w:rsidRPr="00DD1DFA">
        <w:rPr>
          <w:noProof/>
        </w:rPr>
        <w:t xml:space="preserve"> a</w:t>
      </w:r>
      <w:r w:rsidR="00DD1DFA">
        <w:rPr>
          <w:noProof/>
        </w:rPr>
        <w:t> </w:t>
      </w:r>
      <w:r w:rsidR="00DD1DFA" w:rsidRPr="00DD1DFA">
        <w:rPr>
          <w:noProof/>
        </w:rPr>
        <w:t>zwł</w:t>
      </w:r>
      <w:r w:rsidRPr="00DD1DFA">
        <w:rPr>
          <w:noProof/>
        </w:rPr>
        <w:t>aszcza dla MŚP we wszystkich państwach członkowskich. Producenci będą musieli spełnić więcej obowiązków, aby wprowadzić swoje wyroby do obrotu, ale jednocześnie będą mieli więcej możliwości rynkowych. Ponadto państwa członkowskie będą uprawnione do zwolnienia niektórych mikroprzedsiębiorstw</w:t>
      </w:r>
      <w:r w:rsidR="00DD1DFA" w:rsidRPr="00DD1DFA">
        <w:rPr>
          <w:noProof/>
        </w:rPr>
        <w:t xml:space="preserve"> z</w:t>
      </w:r>
      <w:r w:rsidR="00DD1DFA">
        <w:rPr>
          <w:noProof/>
        </w:rPr>
        <w:t> </w:t>
      </w:r>
      <w:r w:rsidR="00DD1DFA" w:rsidRPr="00DD1DFA">
        <w:rPr>
          <w:noProof/>
        </w:rPr>
        <w:t>obo</w:t>
      </w:r>
      <w:r w:rsidRPr="00DD1DFA">
        <w:rPr>
          <w:noProof/>
        </w:rPr>
        <w:t>wiązków wynikających</w:t>
      </w:r>
      <w:r w:rsidR="00DD1DFA" w:rsidRPr="00DD1DFA">
        <w:rPr>
          <w:noProof/>
        </w:rPr>
        <w:t xml:space="preserve"> z</w:t>
      </w:r>
      <w:r w:rsidR="00DD1DFA">
        <w:rPr>
          <w:noProof/>
        </w:rPr>
        <w:t> </w:t>
      </w:r>
      <w:r w:rsidR="00DD1DFA" w:rsidRPr="00DD1DFA">
        <w:rPr>
          <w:noProof/>
        </w:rPr>
        <w:t>roz</w:t>
      </w:r>
      <w:r w:rsidRPr="00DD1DFA">
        <w:rPr>
          <w:noProof/>
        </w:rPr>
        <w:t>porządzenia</w:t>
      </w:r>
      <w:r w:rsidR="00DD1DFA" w:rsidRPr="00DD1DFA">
        <w:rPr>
          <w:noProof/>
        </w:rPr>
        <w:t xml:space="preserve"> w</w:t>
      </w:r>
      <w:r w:rsidR="00DD1DFA">
        <w:rPr>
          <w:noProof/>
        </w:rPr>
        <w:t> </w:t>
      </w:r>
      <w:r w:rsidR="00DD1DFA" w:rsidRPr="00DD1DFA">
        <w:rPr>
          <w:noProof/>
        </w:rPr>
        <w:t>spr</w:t>
      </w:r>
      <w:r w:rsidRPr="00DD1DFA">
        <w:rPr>
          <w:noProof/>
        </w:rPr>
        <w:t>awie wyrobów budowlanych. Planowany podział pracy</w:t>
      </w:r>
      <w:r w:rsidR="00DD1DFA" w:rsidRPr="00DD1DFA">
        <w:rPr>
          <w:noProof/>
        </w:rPr>
        <w:t xml:space="preserve"> i</w:t>
      </w:r>
      <w:r w:rsidR="00DD1DFA">
        <w:rPr>
          <w:noProof/>
        </w:rPr>
        <w:t> </w:t>
      </w:r>
      <w:r w:rsidR="00DD1DFA" w:rsidRPr="00DD1DFA">
        <w:rPr>
          <w:noProof/>
        </w:rPr>
        <w:t>dos</w:t>
      </w:r>
      <w:r w:rsidRPr="00DD1DFA">
        <w:rPr>
          <w:noProof/>
        </w:rPr>
        <w:t>tosowanie się pod kątem technicznym do rozporządzenia</w:t>
      </w:r>
      <w:r w:rsidR="00DD1DFA" w:rsidRPr="00DD1DFA">
        <w:rPr>
          <w:noProof/>
        </w:rPr>
        <w:t xml:space="preserve"> w</w:t>
      </w:r>
      <w:r w:rsidR="00DD1DFA">
        <w:rPr>
          <w:noProof/>
        </w:rPr>
        <w:t> </w:t>
      </w:r>
      <w:r w:rsidR="00DD1DFA" w:rsidRPr="00DD1DFA">
        <w:rPr>
          <w:noProof/>
        </w:rPr>
        <w:t>spr</w:t>
      </w:r>
      <w:r w:rsidRPr="00DD1DFA">
        <w:rPr>
          <w:noProof/>
        </w:rPr>
        <w:t>awie ekoprojektu dla zrównoważonych produktów pozwolą uniknąć niepotrzebnych obciążeń dla przedsiębiorstw, MŚP</w:t>
      </w:r>
      <w:r w:rsidR="00DD1DFA" w:rsidRPr="00DD1DFA">
        <w:rPr>
          <w:noProof/>
        </w:rPr>
        <w:t xml:space="preserve"> i</w:t>
      </w:r>
      <w:r w:rsidR="00DD1DFA">
        <w:rPr>
          <w:noProof/>
        </w:rPr>
        <w:t> </w:t>
      </w:r>
      <w:r w:rsidR="00DD1DFA" w:rsidRPr="00DD1DFA">
        <w:rPr>
          <w:noProof/>
        </w:rPr>
        <w:t>mik</w:t>
      </w:r>
      <w:r w:rsidRPr="00DD1DFA">
        <w:rPr>
          <w:noProof/>
        </w:rPr>
        <w:t>roprzedsiębiorstw. Lepiej funkcjonujący jednolity rynek przyczyni się do obniżenia kosztów produkcji,</w:t>
      </w:r>
      <w:r w:rsidR="00DD1DFA" w:rsidRPr="00DD1DFA">
        <w:rPr>
          <w:noProof/>
        </w:rPr>
        <w:t xml:space="preserve"> a</w:t>
      </w:r>
      <w:r w:rsidR="00DD1DFA">
        <w:rPr>
          <w:noProof/>
        </w:rPr>
        <w:t> </w:t>
      </w:r>
      <w:r w:rsidR="00DD1DFA" w:rsidRPr="00DD1DFA">
        <w:rPr>
          <w:noProof/>
        </w:rPr>
        <w:t>tym</w:t>
      </w:r>
      <w:r w:rsidRPr="00DD1DFA">
        <w:rPr>
          <w:noProof/>
        </w:rPr>
        <w:t xml:space="preserve"> samym cen, oraz zapewnienia przedsiębiorstwom budowlanym dostępu do szerszej oferty wyrobów. Ogólnie rzecz biorąc rewizja ta będzie korzystna dla producentów</w:t>
      </w:r>
      <w:r w:rsidR="00DD1DFA" w:rsidRPr="00DD1DFA">
        <w:rPr>
          <w:noProof/>
        </w:rPr>
        <w:t xml:space="preserve"> i</w:t>
      </w:r>
      <w:r w:rsidR="00DD1DFA">
        <w:rPr>
          <w:noProof/>
        </w:rPr>
        <w:t> </w:t>
      </w:r>
      <w:r w:rsidR="00DD1DFA" w:rsidRPr="00DD1DFA">
        <w:rPr>
          <w:noProof/>
        </w:rPr>
        <w:t>eko</w:t>
      </w:r>
      <w:r w:rsidRPr="00DD1DFA">
        <w:rPr>
          <w:noProof/>
        </w:rPr>
        <w:t>systemu budowlanego.</w:t>
      </w:r>
    </w:p>
    <w:p w14:paraId="3984F0DC" w14:textId="28852506" w:rsidR="005D44AF" w:rsidRPr="00DD1DFA" w:rsidRDefault="005F7EFA" w:rsidP="005F7EFA">
      <w:pPr>
        <w:pStyle w:val="ManualHeading3"/>
        <w:rPr>
          <w:noProof/>
        </w:rPr>
      </w:pPr>
      <w:bookmarkStart w:id="21" w:name="_Toc514938023"/>
      <w:bookmarkStart w:id="22" w:name="_Toc95761278"/>
      <w:r w:rsidRPr="005F7EFA">
        <w:t>1.4.4.</w:t>
      </w:r>
      <w:r w:rsidRPr="005F7EFA">
        <w:tab/>
      </w:r>
      <w:r w:rsidR="005D44AF" w:rsidRPr="00DD1DFA">
        <w:rPr>
          <w:noProof/>
        </w:rPr>
        <w:t>Wskaźniki dotyczące realizacji celów</w:t>
      </w:r>
      <w:bookmarkEnd w:id="21"/>
      <w:bookmarkEnd w:id="22"/>
    </w:p>
    <w:p w14:paraId="3C19085B" w14:textId="37C4DE55" w:rsidR="005D44AF" w:rsidRPr="00DD1DFA" w:rsidRDefault="005D44AF" w:rsidP="005D44AF">
      <w:pPr>
        <w:ind w:left="850"/>
        <w:rPr>
          <w:rFonts w:eastAsia="Times New Roman"/>
          <w:noProof/>
        </w:rPr>
      </w:pPr>
      <w:r w:rsidRPr="00DD1DFA">
        <w:rPr>
          <w:noProof/>
        </w:rPr>
        <w:t>Punktem wyjścia dla wskaźników</w:t>
      </w:r>
      <w:r w:rsidR="00DD1DFA" w:rsidRPr="00DD1DFA">
        <w:rPr>
          <w:noProof/>
        </w:rPr>
        <w:t xml:space="preserve"> w</w:t>
      </w:r>
      <w:r w:rsidR="00DD1DFA">
        <w:rPr>
          <w:noProof/>
        </w:rPr>
        <w:t> </w:t>
      </w:r>
      <w:r w:rsidR="00DD1DFA" w:rsidRPr="00DD1DFA">
        <w:rPr>
          <w:noProof/>
        </w:rPr>
        <w:t>dzi</w:t>
      </w:r>
      <w:r w:rsidRPr="00DD1DFA">
        <w:rPr>
          <w:noProof/>
        </w:rPr>
        <w:t>edzinie normalizacji jest</w:t>
      </w:r>
      <w:r w:rsidRPr="00DD1DFA">
        <w:rPr>
          <w:b/>
          <w:bCs/>
          <w:noProof/>
        </w:rPr>
        <w:t xml:space="preserve"> liczba dopuszczalnych dokumentów technicznych, które mają być przywoływane jako normy zharmonizowane</w:t>
      </w:r>
      <w:r w:rsidR="00DD1DFA" w:rsidRPr="00DD1DFA">
        <w:rPr>
          <w:noProof/>
        </w:rPr>
        <w:t xml:space="preserve"> w</w:t>
      </w:r>
      <w:r w:rsidR="00DD1DFA">
        <w:rPr>
          <w:noProof/>
        </w:rPr>
        <w:t> </w:t>
      </w:r>
      <w:r w:rsidR="00DD1DFA" w:rsidRPr="00DD1DFA">
        <w:rPr>
          <w:noProof/>
        </w:rPr>
        <w:t>Dzi</w:t>
      </w:r>
      <w:r w:rsidRPr="00DD1DFA">
        <w:rPr>
          <w:noProof/>
        </w:rPr>
        <w:t>enniku Urzędowym Unii Europejskiej</w:t>
      </w:r>
      <w:r w:rsidR="00DD1DFA" w:rsidRPr="00DD1DFA">
        <w:rPr>
          <w:noProof/>
        </w:rPr>
        <w:t xml:space="preserve"> z</w:t>
      </w:r>
      <w:r w:rsidR="00DD1DFA">
        <w:rPr>
          <w:noProof/>
        </w:rPr>
        <w:t> </w:t>
      </w:r>
      <w:r w:rsidR="00DD1DFA" w:rsidRPr="00DD1DFA">
        <w:rPr>
          <w:noProof/>
        </w:rPr>
        <w:t>cał</w:t>
      </w:r>
      <w:r w:rsidRPr="00DD1DFA">
        <w:rPr>
          <w:noProof/>
        </w:rPr>
        <w:t>kowitej liczby norm zharmonizowanych przedstawionych Komisji do przywoływania. Wskaźnik ten umożliwia obliczenie odsetka przywołań oraz skuteczniejsze monitorowanie</w:t>
      </w:r>
      <w:r w:rsidR="00DD1DFA" w:rsidRPr="00DD1DFA">
        <w:rPr>
          <w:noProof/>
        </w:rPr>
        <w:t xml:space="preserve"> i</w:t>
      </w:r>
      <w:r w:rsidR="00DD1DFA">
        <w:rPr>
          <w:noProof/>
        </w:rPr>
        <w:t> </w:t>
      </w:r>
      <w:r w:rsidR="00DD1DFA" w:rsidRPr="00DD1DFA">
        <w:rPr>
          <w:noProof/>
        </w:rPr>
        <w:t>ide</w:t>
      </w:r>
      <w:r w:rsidRPr="00DD1DFA">
        <w:rPr>
          <w:noProof/>
        </w:rPr>
        <w:t xml:space="preserve">ntyfikowanie przyczyn braku przywołań lub wstrzymania się od przywoływania, jeśli takowe nadal występują. Ponadto </w:t>
      </w:r>
      <w:r w:rsidRPr="00DD1DFA">
        <w:rPr>
          <w:b/>
          <w:bCs/>
          <w:noProof/>
        </w:rPr>
        <w:t>średni czas trwania procesu od momentu wydania przez Komisję zlecenia normalizacji do dostarczenia projektów norm</w:t>
      </w:r>
      <w:r w:rsidRPr="00DD1DFA">
        <w:rPr>
          <w:noProof/>
        </w:rPr>
        <w:t xml:space="preserve"> przez CEN jest istotny, ponieważ pozwoli ocenić, czy rozwiązano/zredukowano jeden</w:t>
      </w:r>
      <w:r w:rsidR="00DD1DFA" w:rsidRPr="00DD1DFA">
        <w:rPr>
          <w:noProof/>
        </w:rPr>
        <w:t xml:space="preserve"> z</w:t>
      </w:r>
      <w:r w:rsidR="00DD1DFA">
        <w:rPr>
          <w:noProof/>
        </w:rPr>
        <w:t> </w:t>
      </w:r>
      <w:r w:rsidR="00DD1DFA" w:rsidRPr="00DD1DFA">
        <w:rPr>
          <w:noProof/>
        </w:rPr>
        <w:t>pro</w:t>
      </w:r>
      <w:r w:rsidRPr="00DD1DFA">
        <w:rPr>
          <w:noProof/>
        </w:rPr>
        <w:t>blemów zidentyfikowanych przez zainteresowane strony procesu normalizacji,</w:t>
      </w:r>
      <w:r w:rsidR="00DD1DFA" w:rsidRPr="00DD1DFA">
        <w:rPr>
          <w:noProof/>
        </w:rPr>
        <w:t xml:space="preserve"> a</w:t>
      </w:r>
      <w:r w:rsidR="00DD1DFA">
        <w:rPr>
          <w:noProof/>
        </w:rPr>
        <w:t> </w:t>
      </w:r>
      <w:r w:rsidR="00DD1DFA" w:rsidRPr="00DD1DFA">
        <w:rPr>
          <w:noProof/>
        </w:rPr>
        <w:t>mia</w:t>
      </w:r>
      <w:r w:rsidRPr="00DD1DFA">
        <w:rPr>
          <w:noProof/>
        </w:rPr>
        <w:t>nowicie jego przewlekłość. Wskaźnik ten musi umożliwiać rozróżnianie nowo opracowanych norm zharmonizowanych od zmienionych</w:t>
      </w:r>
      <w:r w:rsidR="00DD1DFA" w:rsidRPr="00DD1DFA">
        <w:rPr>
          <w:noProof/>
        </w:rPr>
        <w:t xml:space="preserve"> i</w:t>
      </w:r>
      <w:r w:rsidR="00DD1DFA">
        <w:rPr>
          <w:noProof/>
        </w:rPr>
        <w:t> </w:t>
      </w:r>
      <w:r w:rsidR="00DD1DFA" w:rsidRPr="00DD1DFA">
        <w:rPr>
          <w:noProof/>
        </w:rPr>
        <w:t>pop</w:t>
      </w:r>
      <w:r w:rsidRPr="00DD1DFA">
        <w:rPr>
          <w:noProof/>
        </w:rPr>
        <w:t>rawionych norm zharmonizowanych, które zasadniczo powinny wymagać mniej czasu, jeśli normy te będą oceniane w CEN</w:t>
      </w:r>
      <w:r w:rsidR="00DD1DFA" w:rsidRPr="00DD1DFA">
        <w:rPr>
          <w:noProof/>
        </w:rPr>
        <w:t xml:space="preserve"> w</w:t>
      </w:r>
      <w:r w:rsidR="00DD1DFA">
        <w:rPr>
          <w:noProof/>
        </w:rPr>
        <w:t> </w:t>
      </w:r>
      <w:r w:rsidR="00DD1DFA" w:rsidRPr="00DD1DFA">
        <w:rPr>
          <w:noProof/>
        </w:rPr>
        <w:t>reg</w:t>
      </w:r>
      <w:r w:rsidRPr="00DD1DFA">
        <w:rPr>
          <w:noProof/>
        </w:rPr>
        <w:t>ularnych odstępach czasu</w:t>
      </w:r>
      <w:r w:rsidR="00DD1DFA" w:rsidRPr="00DD1DFA">
        <w:rPr>
          <w:noProof/>
        </w:rPr>
        <w:t xml:space="preserve"> i</w:t>
      </w:r>
      <w:r w:rsidR="00DD1DFA">
        <w:rPr>
          <w:noProof/>
        </w:rPr>
        <w:t> </w:t>
      </w:r>
      <w:r w:rsidR="00DD1DFA" w:rsidRPr="00DD1DFA">
        <w:rPr>
          <w:noProof/>
        </w:rPr>
        <w:t>zmi</w:t>
      </w:r>
      <w:r w:rsidRPr="00DD1DFA">
        <w:rPr>
          <w:noProof/>
        </w:rPr>
        <w:t>eniane</w:t>
      </w:r>
      <w:r w:rsidR="00DD1DFA" w:rsidRPr="00DD1DFA">
        <w:rPr>
          <w:noProof/>
        </w:rPr>
        <w:t xml:space="preserve"> w</w:t>
      </w:r>
      <w:r w:rsidR="00DD1DFA">
        <w:rPr>
          <w:noProof/>
        </w:rPr>
        <w:t> </w:t>
      </w:r>
      <w:r w:rsidR="00DD1DFA" w:rsidRPr="00DD1DFA">
        <w:rPr>
          <w:noProof/>
        </w:rPr>
        <w:t>raz</w:t>
      </w:r>
      <w:r w:rsidRPr="00DD1DFA">
        <w:rPr>
          <w:noProof/>
        </w:rPr>
        <w:t>ie potrzeby.</w:t>
      </w:r>
    </w:p>
    <w:p w14:paraId="27625C22" w14:textId="772330E2" w:rsidR="005D44AF" w:rsidRPr="00DD1DFA" w:rsidRDefault="005D44AF" w:rsidP="005D44AF">
      <w:pPr>
        <w:ind w:left="850"/>
        <w:rPr>
          <w:rFonts w:eastAsia="Calibri"/>
          <w:noProof/>
        </w:rPr>
      </w:pPr>
      <w:r w:rsidRPr="00DD1DFA">
        <w:rPr>
          <w:noProof/>
        </w:rPr>
        <w:t xml:space="preserve">Innym wskaźnikiem produktu jest </w:t>
      </w:r>
      <w:r w:rsidRPr="00DD1DFA">
        <w:rPr>
          <w:b/>
          <w:bCs/>
          <w:noProof/>
        </w:rPr>
        <w:t>dostępność informacji dotyczących środowiska oraz liczba wymogów</w:t>
      </w:r>
      <w:r w:rsidR="00DD1DFA" w:rsidRPr="00DD1DFA">
        <w:rPr>
          <w:b/>
          <w:bCs/>
          <w:noProof/>
        </w:rPr>
        <w:t xml:space="preserve"> w</w:t>
      </w:r>
      <w:r w:rsidR="00DD1DFA">
        <w:rPr>
          <w:b/>
          <w:bCs/>
          <w:noProof/>
        </w:rPr>
        <w:t> </w:t>
      </w:r>
      <w:r w:rsidR="00DD1DFA" w:rsidRPr="00DD1DFA">
        <w:rPr>
          <w:b/>
          <w:bCs/>
          <w:noProof/>
        </w:rPr>
        <w:t>zak</w:t>
      </w:r>
      <w:r w:rsidRPr="00DD1DFA">
        <w:rPr>
          <w:b/>
          <w:bCs/>
          <w:noProof/>
        </w:rPr>
        <w:t>resie ochrony środowiska</w:t>
      </w:r>
      <w:r w:rsidR="00DD1DFA" w:rsidRPr="00DD1DFA">
        <w:rPr>
          <w:b/>
          <w:bCs/>
          <w:noProof/>
        </w:rPr>
        <w:t xml:space="preserve"> i</w:t>
      </w:r>
      <w:r w:rsidR="00DD1DFA">
        <w:rPr>
          <w:b/>
          <w:bCs/>
          <w:noProof/>
        </w:rPr>
        <w:t> </w:t>
      </w:r>
      <w:r w:rsidR="00DD1DFA" w:rsidRPr="00DD1DFA">
        <w:rPr>
          <w:b/>
          <w:bCs/>
          <w:noProof/>
        </w:rPr>
        <w:t>bez</w:t>
      </w:r>
      <w:r w:rsidRPr="00DD1DFA">
        <w:rPr>
          <w:b/>
          <w:bCs/>
          <w:noProof/>
        </w:rPr>
        <w:t>pieczeństwa wyrobów</w:t>
      </w:r>
      <w:r w:rsidRPr="00DD1DFA">
        <w:rPr>
          <w:noProof/>
        </w:rPr>
        <w:t xml:space="preserve"> włączonych do specyfikacji technicznych. Ich liczba będzie</w:t>
      </w:r>
      <w:r w:rsidR="00DD1DFA" w:rsidRPr="00DD1DFA">
        <w:rPr>
          <w:noProof/>
        </w:rPr>
        <w:t xml:space="preserve"> z</w:t>
      </w:r>
      <w:r w:rsidR="00DD1DFA">
        <w:rPr>
          <w:noProof/>
        </w:rPr>
        <w:t> </w:t>
      </w:r>
      <w:r w:rsidR="00DD1DFA" w:rsidRPr="00DD1DFA">
        <w:rPr>
          <w:noProof/>
        </w:rPr>
        <w:t>cza</w:t>
      </w:r>
      <w:r w:rsidRPr="00DD1DFA">
        <w:rPr>
          <w:noProof/>
        </w:rPr>
        <w:t>sem wzrastać, dzięki czemu wyroby budowlane</w:t>
      </w:r>
      <w:r w:rsidR="00DD1DFA" w:rsidRPr="00DD1DFA">
        <w:rPr>
          <w:noProof/>
        </w:rPr>
        <w:t xml:space="preserve"> i</w:t>
      </w:r>
      <w:r w:rsidR="00DD1DFA">
        <w:rPr>
          <w:noProof/>
        </w:rPr>
        <w:t> </w:t>
      </w:r>
      <w:r w:rsidR="00DD1DFA" w:rsidRPr="00DD1DFA">
        <w:rPr>
          <w:noProof/>
        </w:rPr>
        <w:t>obi</w:t>
      </w:r>
      <w:r w:rsidRPr="00DD1DFA">
        <w:rPr>
          <w:noProof/>
        </w:rPr>
        <w:t>ekty budowlane staną się bezpieczniejsze</w:t>
      </w:r>
      <w:r w:rsidR="00DD1DFA" w:rsidRPr="00DD1DFA">
        <w:rPr>
          <w:noProof/>
        </w:rPr>
        <w:t xml:space="preserve"> i</w:t>
      </w:r>
      <w:r w:rsidR="00DD1DFA">
        <w:rPr>
          <w:noProof/>
        </w:rPr>
        <w:t> </w:t>
      </w:r>
      <w:r w:rsidR="00DD1DFA" w:rsidRPr="00DD1DFA">
        <w:rPr>
          <w:noProof/>
        </w:rPr>
        <w:t>bar</w:t>
      </w:r>
      <w:r w:rsidRPr="00DD1DFA">
        <w:rPr>
          <w:noProof/>
        </w:rPr>
        <w:t>dziej zrównoważone. Liczba specyfikacji technicznych zawierających informacje</w:t>
      </w:r>
      <w:r w:rsidR="00DD1DFA" w:rsidRPr="00DD1DFA">
        <w:rPr>
          <w:noProof/>
        </w:rPr>
        <w:t xml:space="preserve"> i</w:t>
      </w:r>
      <w:r w:rsidR="00DD1DFA">
        <w:rPr>
          <w:noProof/>
        </w:rPr>
        <w:t> </w:t>
      </w:r>
      <w:r w:rsidR="00DD1DFA" w:rsidRPr="00DD1DFA">
        <w:rPr>
          <w:noProof/>
        </w:rPr>
        <w:t>wym</w:t>
      </w:r>
      <w:r w:rsidRPr="00DD1DFA">
        <w:rPr>
          <w:noProof/>
        </w:rPr>
        <w:t>ogi dotyczące środowiska (lub rodzin wyrobów objętych tymi specyfikacjami) oraz ich względne znaczenie</w:t>
      </w:r>
      <w:r w:rsidR="00DD1DFA" w:rsidRPr="00DD1DFA">
        <w:rPr>
          <w:noProof/>
        </w:rPr>
        <w:t xml:space="preserve"> z</w:t>
      </w:r>
      <w:r w:rsidR="00DD1DFA">
        <w:rPr>
          <w:noProof/>
        </w:rPr>
        <w:t> </w:t>
      </w:r>
      <w:r w:rsidR="00DD1DFA" w:rsidRPr="00DD1DFA">
        <w:rPr>
          <w:noProof/>
        </w:rPr>
        <w:t>pun</w:t>
      </w:r>
      <w:r w:rsidRPr="00DD1DFA">
        <w:rPr>
          <w:noProof/>
        </w:rPr>
        <w:t>ktu widzenia środowiska są parametrami pomagającymi ocenić,</w:t>
      </w:r>
      <w:r w:rsidR="00DD1DFA" w:rsidRPr="00DD1DFA">
        <w:rPr>
          <w:noProof/>
        </w:rPr>
        <w:t xml:space="preserve"> w</w:t>
      </w:r>
      <w:r w:rsidR="00DD1DFA">
        <w:rPr>
          <w:noProof/>
        </w:rPr>
        <w:t> </w:t>
      </w:r>
      <w:r w:rsidR="00DD1DFA" w:rsidRPr="00DD1DFA">
        <w:rPr>
          <w:noProof/>
        </w:rPr>
        <w:t>jak</w:t>
      </w:r>
      <w:r w:rsidRPr="00DD1DFA">
        <w:rPr>
          <w:noProof/>
        </w:rPr>
        <w:t>im stopniu</w:t>
      </w:r>
      <w:r w:rsidR="00DD1DFA" w:rsidRPr="00DD1DFA">
        <w:rPr>
          <w:noProof/>
        </w:rPr>
        <w:t xml:space="preserve"> w</w:t>
      </w:r>
      <w:r w:rsidR="00DD1DFA">
        <w:rPr>
          <w:noProof/>
        </w:rPr>
        <w:t> </w:t>
      </w:r>
      <w:r w:rsidR="00DD1DFA" w:rsidRPr="00DD1DFA">
        <w:rPr>
          <w:noProof/>
        </w:rPr>
        <w:t>wyn</w:t>
      </w:r>
      <w:r w:rsidRPr="00DD1DFA">
        <w:rPr>
          <w:noProof/>
        </w:rPr>
        <w:t xml:space="preserve">iku niniejszego wniosku wzrosło znaczenie kwestii środowiskowych. </w:t>
      </w:r>
    </w:p>
    <w:p w14:paraId="03754C5D" w14:textId="61D78702" w:rsidR="005D44AF" w:rsidRPr="00DD1DFA" w:rsidRDefault="005D44AF" w:rsidP="005D44AF">
      <w:pPr>
        <w:ind w:left="850"/>
        <w:rPr>
          <w:rFonts w:eastAsia="Calibri"/>
          <w:noProof/>
          <w:szCs w:val="24"/>
        </w:rPr>
      </w:pPr>
      <w:r w:rsidRPr="00DD1DFA">
        <w:rPr>
          <w:noProof/>
        </w:rPr>
        <w:t>W celu dokonania pomiarów usprawnionego nadzoru rynku Komisja przeprowadzi konsultacje</w:t>
      </w:r>
      <w:r w:rsidR="00DD1DFA" w:rsidRPr="00DD1DFA">
        <w:rPr>
          <w:noProof/>
        </w:rPr>
        <w:t xml:space="preserve"> z</w:t>
      </w:r>
      <w:r w:rsidR="00DD1DFA">
        <w:rPr>
          <w:noProof/>
        </w:rPr>
        <w:t> </w:t>
      </w:r>
      <w:r w:rsidR="00DD1DFA" w:rsidRPr="00DD1DFA">
        <w:rPr>
          <w:noProof/>
        </w:rPr>
        <w:t>pań</w:t>
      </w:r>
      <w:r w:rsidRPr="00DD1DFA">
        <w:rPr>
          <w:noProof/>
        </w:rPr>
        <w:t xml:space="preserve">stwami członkowskimi. Pomyślne wdrożenie powinno doprowadzić najpierw do </w:t>
      </w:r>
      <w:r w:rsidRPr="00DD1DFA">
        <w:rPr>
          <w:b/>
          <w:bCs/>
          <w:noProof/>
          <w:szCs w:val="24"/>
        </w:rPr>
        <w:t>wykrywania większej liczby wyrobów budowlanych niezgodnych</w:t>
      </w:r>
      <w:r w:rsidR="00DD1DFA" w:rsidRPr="00DD1DFA">
        <w:rPr>
          <w:b/>
          <w:bCs/>
          <w:noProof/>
          <w:szCs w:val="24"/>
        </w:rPr>
        <w:t xml:space="preserve"> z</w:t>
      </w:r>
      <w:r w:rsidR="00DD1DFA">
        <w:rPr>
          <w:b/>
          <w:bCs/>
          <w:noProof/>
          <w:szCs w:val="24"/>
        </w:rPr>
        <w:t> </w:t>
      </w:r>
      <w:r w:rsidR="00DD1DFA" w:rsidRPr="00DD1DFA">
        <w:rPr>
          <w:b/>
          <w:bCs/>
          <w:noProof/>
          <w:szCs w:val="24"/>
        </w:rPr>
        <w:t>wym</w:t>
      </w:r>
      <w:r w:rsidRPr="00DD1DFA">
        <w:rPr>
          <w:b/>
          <w:bCs/>
          <w:noProof/>
          <w:szCs w:val="24"/>
        </w:rPr>
        <w:t>ogami</w:t>
      </w:r>
      <w:r w:rsidRPr="00DD1DFA">
        <w:rPr>
          <w:noProof/>
        </w:rPr>
        <w:t>,</w:t>
      </w:r>
      <w:r w:rsidR="00DD1DFA" w:rsidRPr="00DD1DFA">
        <w:rPr>
          <w:noProof/>
        </w:rPr>
        <w:t xml:space="preserve"> a</w:t>
      </w:r>
      <w:r w:rsidR="00DD1DFA">
        <w:rPr>
          <w:noProof/>
        </w:rPr>
        <w:t> </w:t>
      </w:r>
      <w:r w:rsidR="00DD1DFA" w:rsidRPr="00DD1DFA">
        <w:rPr>
          <w:noProof/>
        </w:rPr>
        <w:t>nas</w:t>
      </w:r>
      <w:r w:rsidRPr="00DD1DFA">
        <w:rPr>
          <w:noProof/>
        </w:rPr>
        <w:t xml:space="preserve">tępnie do zmniejszenia tej liczby. Wskaźnikiem monitorowania mógłby być </w:t>
      </w:r>
      <w:r w:rsidRPr="00DD1DFA">
        <w:rPr>
          <w:b/>
          <w:bCs/>
          <w:noProof/>
          <w:szCs w:val="24"/>
        </w:rPr>
        <w:t>poziom zaufania</w:t>
      </w:r>
      <w:r w:rsidRPr="00DD1DFA">
        <w:rPr>
          <w:noProof/>
        </w:rPr>
        <w:t xml:space="preserve"> wśród podmiotów gospodarczych,</w:t>
      </w:r>
      <w:r w:rsidR="00DD1DFA" w:rsidRPr="00DD1DFA">
        <w:rPr>
          <w:noProof/>
        </w:rPr>
        <w:t xml:space="preserve"> o</w:t>
      </w:r>
      <w:r w:rsidR="00DD1DFA">
        <w:rPr>
          <w:noProof/>
        </w:rPr>
        <w:t> </w:t>
      </w:r>
      <w:r w:rsidR="00DD1DFA" w:rsidRPr="00DD1DFA">
        <w:rPr>
          <w:noProof/>
        </w:rPr>
        <w:t>któ</w:t>
      </w:r>
      <w:r w:rsidRPr="00DD1DFA">
        <w:rPr>
          <w:noProof/>
        </w:rPr>
        <w:t>rym informacje można by uzyskać</w:t>
      </w:r>
      <w:r w:rsidR="00DD1DFA" w:rsidRPr="00DD1DFA">
        <w:rPr>
          <w:noProof/>
        </w:rPr>
        <w:t xml:space="preserve"> w</w:t>
      </w:r>
      <w:r w:rsidR="00DD1DFA">
        <w:rPr>
          <w:noProof/>
        </w:rPr>
        <w:t> </w:t>
      </w:r>
      <w:r w:rsidR="00DD1DFA" w:rsidRPr="00DD1DFA">
        <w:rPr>
          <w:noProof/>
        </w:rPr>
        <w:t>wyn</w:t>
      </w:r>
      <w:r w:rsidRPr="00DD1DFA">
        <w:rPr>
          <w:noProof/>
        </w:rPr>
        <w:t>iku oceny przeprowadzonej po czterech lub pięciu latach</w:t>
      </w:r>
      <w:r w:rsidR="00DD1DFA" w:rsidRPr="00DD1DFA">
        <w:rPr>
          <w:noProof/>
        </w:rPr>
        <w:t xml:space="preserve"> w</w:t>
      </w:r>
      <w:r w:rsidR="00DD1DFA">
        <w:rPr>
          <w:noProof/>
        </w:rPr>
        <w:t> </w:t>
      </w:r>
      <w:r w:rsidR="00DD1DFA" w:rsidRPr="00DD1DFA">
        <w:rPr>
          <w:noProof/>
        </w:rPr>
        <w:t>dro</w:t>
      </w:r>
      <w:r w:rsidRPr="00DD1DFA">
        <w:rPr>
          <w:noProof/>
        </w:rPr>
        <w:t>dze konsultacji</w:t>
      </w:r>
      <w:r w:rsidR="00DD1DFA" w:rsidRPr="00DD1DFA">
        <w:rPr>
          <w:noProof/>
        </w:rPr>
        <w:t xml:space="preserve"> z</w:t>
      </w:r>
      <w:r w:rsidR="00DD1DFA">
        <w:rPr>
          <w:noProof/>
        </w:rPr>
        <w:t> </w:t>
      </w:r>
      <w:r w:rsidR="00DD1DFA" w:rsidRPr="00DD1DFA">
        <w:rPr>
          <w:noProof/>
        </w:rPr>
        <w:t>zai</w:t>
      </w:r>
      <w:r w:rsidRPr="00DD1DFA">
        <w:rPr>
          <w:noProof/>
        </w:rPr>
        <w:t xml:space="preserve">nteresowanymi stronami. </w:t>
      </w:r>
    </w:p>
    <w:p w14:paraId="45FF2E41" w14:textId="6E114B5D" w:rsidR="005D44AF" w:rsidRPr="00DD1DFA" w:rsidRDefault="005F7EFA" w:rsidP="005F7EFA">
      <w:pPr>
        <w:pStyle w:val="ManualHeading2"/>
        <w:rPr>
          <w:noProof/>
        </w:rPr>
      </w:pPr>
      <w:bookmarkStart w:id="23" w:name="_Toc514938025"/>
      <w:bookmarkStart w:id="24" w:name="_Toc95761279"/>
      <w:r w:rsidRPr="005F7EFA">
        <w:t>1.5.</w:t>
      </w:r>
      <w:r w:rsidRPr="005F7EFA">
        <w:tab/>
      </w:r>
      <w:r w:rsidR="005D44AF" w:rsidRPr="00DD1DFA">
        <w:rPr>
          <w:noProof/>
        </w:rPr>
        <w:t>Uzasadnienie wniosku/inicjatywy</w:t>
      </w:r>
      <w:bookmarkEnd w:id="23"/>
      <w:bookmarkEnd w:id="24"/>
      <w:r w:rsidR="005D44AF" w:rsidRPr="00DD1DFA">
        <w:rPr>
          <w:noProof/>
        </w:rPr>
        <w:t xml:space="preserve"> </w:t>
      </w:r>
    </w:p>
    <w:p w14:paraId="699E3C5E" w14:textId="09FA9ACC" w:rsidR="005D44AF" w:rsidRPr="00DD1DFA" w:rsidRDefault="005F7EFA" w:rsidP="005F7EFA">
      <w:pPr>
        <w:pStyle w:val="ManualHeading3"/>
        <w:rPr>
          <w:noProof/>
        </w:rPr>
      </w:pPr>
      <w:bookmarkStart w:id="25" w:name="_Toc514938026"/>
      <w:bookmarkStart w:id="26" w:name="_Toc95761280"/>
      <w:r w:rsidRPr="005F7EFA">
        <w:t>1.5.1.</w:t>
      </w:r>
      <w:r w:rsidRPr="005F7EFA">
        <w:tab/>
      </w:r>
      <w:r w:rsidR="005D44AF" w:rsidRPr="00DD1DFA">
        <w:rPr>
          <w:noProof/>
        </w:rPr>
        <w:t>Potrzeby, które należy zaspokoić</w:t>
      </w:r>
      <w:r w:rsidR="00DD1DFA" w:rsidRPr="00DD1DFA">
        <w:rPr>
          <w:noProof/>
        </w:rPr>
        <w:t xml:space="preserve"> w</w:t>
      </w:r>
      <w:r w:rsidR="00DD1DFA">
        <w:rPr>
          <w:noProof/>
        </w:rPr>
        <w:t> </w:t>
      </w:r>
      <w:r w:rsidR="00DD1DFA" w:rsidRPr="00DD1DFA">
        <w:rPr>
          <w:noProof/>
        </w:rPr>
        <w:t>per</w:t>
      </w:r>
      <w:r w:rsidR="005D44AF" w:rsidRPr="00DD1DFA">
        <w:rPr>
          <w:noProof/>
        </w:rPr>
        <w:t>spektywie krótko- lub długoterminowej,</w:t>
      </w:r>
      <w:r w:rsidR="00DD1DFA" w:rsidRPr="00DD1DFA">
        <w:rPr>
          <w:noProof/>
        </w:rPr>
        <w:t xml:space="preserve"> w</w:t>
      </w:r>
      <w:r w:rsidR="00DD1DFA">
        <w:rPr>
          <w:noProof/>
        </w:rPr>
        <w:t> </w:t>
      </w:r>
      <w:r w:rsidR="00DD1DFA" w:rsidRPr="00DD1DFA">
        <w:rPr>
          <w:noProof/>
        </w:rPr>
        <w:t>tym</w:t>
      </w:r>
      <w:r w:rsidR="005D44AF" w:rsidRPr="00DD1DFA">
        <w:rPr>
          <w:noProof/>
        </w:rPr>
        <w:t xml:space="preserve"> szczegółowy terminarz przebiegu realizacji inicjatywy</w:t>
      </w:r>
      <w:bookmarkEnd w:id="25"/>
      <w:bookmarkEnd w:id="26"/>
    </w:p>
    <w:p w14:paraId="767ECA4C" w14:textId="774E6504"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1) Usunięcie rozbieżności między kryteriami prawnymi stosowanymi przez Komisję</w:t>
      </w:r>
      <w:r w:rsidR="00DD1DFA" w:rsidRPr="00DD1DFA">
        <w:rPr>
          <w:noProof/>
        </w:rPr>
        <w:t xml:space="preserve"> a</w:t>
      </w:r>
      <w:r w:rsidR="00DD1DFA">
        <w:rPr>
          <w:noProof/>
        </w:rPr>
        <w:t> </w:t>
      </w:r>
      <w:r w:rsidR="00DD1DFA" w:rsidRPr="00DD1DFA">
        <w:rPr>
          <w:noProof/>
        </w:rPr>
        <w:t>zdo</w:t>
      </w:r>
      <w:r w:rsidRPr="00DD1DFA">
        <w:rPr>
          <w:noProof/>
        </w:rPr>
        <w:t>lnością normalizatorów do osiągnięcia oczekiwanych wyników. Zapewnienie alternatywy</w:t>
      </w:r>
      <w:r w:rsidR="00DD1DFA" w:rsidRPr="00DD1DFA">
        <w:rPr>
          <w:noProof/>
        </w:rPr>
        <w:t xml:space="preserve"> w</w:t>
      </w:r>
      <w:r w:rsidR="00DD1DFA">
        <w:rPr>
          <w:noProof/>
        </w:rPr>
        <w:t> </w:t>
      </w:r>
      <w:r w:rsidR="00DD1DFA" w:rsidRPr="00DD1DFA">
        <w:rPr>
          <w:noProof/>
        </w:rPr>
        <w:t>prz</w:t>
      </w:r>
      <w:r w:rsidRPr="00DD1DFA">
        <w:rPr>
          <w:noProof/>
        </w:rPr>
        <w:t xml:space="preserve">ypadkach, gdy proces normalizacji nie przynosi oczekiwanych wyników. Zaradzenie niepełnemu charakterowi harmonizacji. </w:t>
      </w:r>
    </w:p>
    <w:p w14:paraId="7923B1E1" w14:textId="24A0F197"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2) Zmniejszenie krajowych barier</w:t>
      </w:r>
      <w:r w:rsidR="00DD1DFA" w:rsidRPr="00DD1DFA">
        <w:rPr>
          <w:noProof/>
        </w:rPr>
        <w:t xml:space="preserve"> w</w:t>
      </w:r>
      <w:r w:rsidR="00DD1DFA">
        <w:rPr>
          <w:noProof/>
        </w:rPr>
        <w:t> </w:t>
      </w:r>
      <w:r w:rsidR="00DD1DFA" w:rsidRPr="00DD1DFA">
        <w:rPr>
          <w:noProof/>
        </w:rPr>
        <w:t>han</w:t>
      </w:r>
      <w:r w:rsidRPr="00DD1DFA">
        <w:rPr>
          <w:noProof/>
        </w:rPr>
        <w:t>dlu wyrobami objętymi rozporządzeniem</w:t>
      </w:r>
      <w:r w:rsidR="00DD1DFA" w:rsidRPr="00DD1DFA">
        <w:rPr>
          <w:noProof/>
        </w:rPr>
        <w:t xml:space="preserve"> w</w:t>
      </w:r>
      <w:r w:rsidR="00DD1DFA">
        <w:rPr>
          <w:noProof/>
        </w:rPr>
        <w:t> </w:t>
      </w:r>
      <w:r w:rsidR="00DD1DFA" w:rsidRPr="00DD1DFA">
        <w:rPr>
          <w:noProof/>
        </w:rPr>
        <w:t>spr</w:t>
      </w:r>
      <w:r w:rsidRPr="00DD1DFA">
        <w:rPr>
          <w:noProof/>
        </w:rPr>
        <w:t>awie wyrobów budowlanych. Poprawa egzekwowania przepisów</w:t>
      </w:r>
      <w:r w:rsidR="00DD1DFA" w:rsidRPr="00DD1DFA">
        <w:rPr>
          <w:noProof/>
        </w:rPr>
        <w:t xml:space="preserve"> i</w:t>
      </w:r>
      <w:r w:rsidR="00DD1DFA">
        <w:rPr>
          <w:noProof/>
        </w:rPr>
        <w:t> </w:t>
      </w:r>
      <w:r w:rsidR="00DD1DFA" w:rsidRPr="00DD1DFA">
        <w:rPr>
          <w:noProof/>
        </w:rPr>
        <w:t>nad</w:t>
      </w:r>
      <w:r w:rsidRPr="00DD1DFA">
        <w:rPr>
          <w:noProof/>
        </w:rPr>
        <w:t>zoru rynku. Zapewnienie jasności przepisów,</w:t>
      </w:r>
      <w:r w:rsidR="00DD1DFA" w:rsidRPr="00DD1DFA">
        <w:rPr>
          <w:noProof/>
        </w:rPr>
        <w:t xml:space="preserve"> a</w:t>
      </w:r>
      <w:r w:rsidR="00DD1DFA">
        <w:rPr>
          <w:noProof/>
        </w:rPr>
        <w:t> </w:t>
      </w:r>
      <w:r w:rsidR="00DD1DFA" w:rsidRPr="00DD1DFA">
        <w:rPr>
          <w:noProof/>
        </w:rPr>
        <w:t>w</w:t>
      </w:r>
      <w:r w:rsidR="00DD1DFA">
        <w:rPr>
          <w:noProof/>
        </w:rPr>
        <w:t> </w:t>
      </w:r>
      <w:r w:rsidR="00DD1DFA" w:rsidRPr="00DD1DFA">
        <w:rPr>
          <w:noProof/>
        </w:rPr>
        <w:t>szc</w:t>
      </w:r>
      <w:r w:rsidRPr="00DD1DFA">
        <w:rPr>
          <w:noProof/>
        </w:rPr>
        <w:t>zególności przepisów dotyczących uproszczenia.</w:t>
      </w:r>
    </w:p>
    <w:p w14:paraId="696BF0B5" w14:textId="0F5BCDE7" w:rsidR="005D44AF" w:rsidRPr="00DD1DFA" w:rsidRDefault="005D44AF" w:rsidP="005D44AF">
      <w:pPr>
        <w:pBdr>
          <w:top w:val="single" w:sz="4" w:space="1" w:color="auto"/>
          <w:left w:val="single" w:sz="4" w:space="4" w:color="auto"/>
          <w:bottom w:val="single" w:sz="4" w:space="1" w:color="auto"/>
          <w:right w:val="single" w:sz="4" w:space="4" w:color="auto"/>
        </w:pBdr>
        <w:ind w:left="850"/>
        <w:rPr>
          <w:rFonts w:eastAsia="Calibri"/>
          <w:noProof/>
          <w:szCs w:val="24"/>
        </w:rPr>
      </w:pPr>
      <w:r w:rsidRPr="00DD1DFA">
        <w:rPr>
          <w:noProof/>
        </w:rPr>
        <w:t>3) Uwzględnienie zastosowania narzędzi cyfrowych. Uwzględnienie odniesienia do wyników</w:t>
      </w:r>
      <w:r w:rsidR="00DD1DFA" w:rsidRPr="00DD1DFA">
        <w:rPr>
          <w:noProof/>
        </w:rPr>
        <w:t xml:space="preserve"> w</w:t>
      </w:r>
      <w:r w:rsidR="00DD1DFA">
        <w:rPr>
          <w:noProof/>
        </w:rPr>
        <w:t> </w:t>
      </w:r>
      <w:r w:rsidR="00DD1DFA" w:rsidRPr="00DD1DFA">
        <w:rPr>
          <w:noProof/>
        </w:rPr>
        <w:t>zak</w:t>
      </w:r>
      <w:r w:rsidRPr="00DD1DFA">
        <w:rPr>
          <w:noProof/>
        </w:rPr>
        <w:t xml:space="preserve">resie zrównoważonego rozwoju. Zapewnienie bezpieczeństwa wyrobów budowlanych. Uwzględnienie wyrobów, które znajdują poza obecnym zakresem przepisów dotyczących bezpieczeństwa wyrobów, np. wyrobów wydrukowanych techniką drukowania przestrzennego. </w:t>
      </w:r>
    </w:p>
    <w:p w14:paraId="6CFE4637" w14:textId="57AC59B7" w:rsidR="005D44AF" w:rsidRPr="00DD1DFA" w:rsidRDefault="005F7EFA" w:rsidP="005F7EFA">
      <w:pPr>
        <w:pStyle w:val="ManualHeading3"/>
        <w:rPr>
          <w:noProof/>
        </w:rPr>
      </w:pPr>
      <w:bookmarkStart w:id="27" w:name="_Toc514938029"/>
      <w:bookmarkStart w:id="28" w:name="_Toc95761281"/>
      <w:r w:rsidRPr="005F7EFA">
        <w:t>1.5.2.</w:t>
      </w:r>
      <w:r w:rsidRPr="005F7EFA">
        <w:tab/>
      </w:r>
      <w:r w:rsidR="005D44AF" w:rsidRPr="00DD1DFA">
        <w:rPr>
          <w:noProof/>
        </w:rPr>
        <w:t>Wartość dodana</w:t>
      </w:r>
      <w:r w:rsidR="00DD1DFA" w:rsidRPr="00DD1DFA">
        <w:rPr>
          <w:noProof/>
        </w:rPr>
        <w:t xml:space="preserve"> z</w:t>
      </w:r>
      <w:r w:rsidR="00DD1DFA">
        <w:rPr>
          <w:noProof/>
        </w:rPr>
        <w:t> </w:t>
      </w:r>
      <w:r w:rsidR="00DD1DFA" w:rsidRPr="00DD1DFA">
        <w:rPr>
          <w:noProof/>
        </w:rPr>
        <w:t>tyt</w:t>
      </w:r>
      <w:r w:rsidR="005D44AF" w:rsidRPr="00DD1DFA">
        <w:rPr>
          <w:noProof/>
        </w:rPr>
        <w:t>ułu zaangażowania Unii Europejskiej (może wynikać</w:t>
      </w:r>
      <w:r w:rsidR="00DD1DFA" w:rsidRPr="00DD1DFA">
        <w:rPr>
          <w:noProof/>
        </w:rPr>
        <w:t xml:space="preserve"> z</w:t>
      </w:r>
      <w:r w:rsidR="00DD1DFA">
        <w:rPr>
          <w:noProof/>
        </w:rPr>
        <w:t> </w:t>
      </w:r>
      <w:r w:rsidR="00DD1DFA" w:rsidRPr="00DD1DFA">
        <w:rPr>
          <w:noProof/>
        </w:rPr>
        <w:t>róż</w:t>
      </w:r>
      <w:r w:rsidR="005D44AF" w:rsidRPr="00DD1DFA">
        <w:rPr>
          <w:noProof/>
        </w:rPr>
        <w:t>nych czynników, na przykład korzyści koordynacyjnych, pewności prawa, większej efektywności lub komplementarności). Na potrzeby tego punktu „wartość dodaną</w:t>
      </w:r>
      <w:r w:rsidR="00DD1DFA" w:rsidRPr="00DD1DFA">
        <w:rPr>
          <w:noProof/>
        </w:rPr>
        <w:t xml:space="preserve"> z</w:t>
      </w:r>
      <w:r w:rsidR="00DD1DFA">
        <w:rPr>
          <w:noProof/>
        </w:rPr>
        <w:t> </w:t>
      </w:r>
      <w:r w:rsidR="00DD1DFA" w:rsidRPr="00DD1DFA">
        <w:rPr>
          <w:noProof/>
        </w:rPr>
        <w:t>tyt</w:t>
      </w:r>
      <w:r w:rsidR="005D44AF" w:rsidRPr="00DD1DFA">
        <w:rPr>
          <w:noProof/>
        </w:rPr>
        <w:t>ułu zaangażowania Unii” należy rozumieć jako wartość wynikającą</w:t>
      </w:r>
      <w:r w:rsidR="00DD1DFA" w:rsidRPr="00DD1DFA">
        <w:rPr>
          <w:noProof/>
        </w:rPr>
        <w:t xml:space="preserve"> z</w:t>
      </w:r>
      <w:r w:rsidR="00DD1DFA">
        <w:rPr>
          <w:noProof/>
        </w:rPr>
        <w:t> </w:t>
      </w:r>
      <w:r w:rsidR="00DD1DFA" w:rsidRPr="00DD1DFA">
        <w:rPr>
          <w:noProof/>
        </w:rPr>
        <w:t>uni</w:t>
      </w:r>
      <w:r w:rsidR="005D44AF" w:rsidRPr="00DD1DFA">
        <w:rPr>
          <w:noProof/>
        </w:rPr>
        <w:t>jnej interwencji wykraczającą poza wartość, która zostałaby wytworzona przez same państwa członkowskie.</w:t>
      </w:r>
      <w:bookmarkEnd w:id="27"/>
      <w:bookmarkEnd w:id="28"/>
    </w:p>
    <w:p w14:paraId="71D88C7C" w14:textId="77777777" w:rsidR="005D44AF" w:rsidRPr="00DD1DFA" w:rsidRDefault="005D44AF" w:rsidP="005D44AF">
      <w:pPr>
        <w:pBdr>
          <w:top w:val="single" w:sz="4" w:space="1" w:color="auto"/>
          <w:left w:val="single" w:sz="4" w:space="4" w:color="auto"/>
          <w:bottom w:val="single" w:sz="4" w:space="1" w:color="auto"/>
          <w:right w:val="single" w:sz="4" w:space="4" w:color="auto"/>
        </w:pBdr>
        <w:ind w:left="850"/>
        <w:rPr>
          <w:i/>
          <w:iCs/>
          <w:noProof/>
          <w:color w:val="0000FF"/>
        </w:rPr>
      </w:pPr>
      <w:r w:rsidRPr="00DD1DFA">
        <w:rPr>
          <w:i/>
          <w:iCs/>
          <w:noProof/>
        </w:rPr>
        <w:t xml:space="preserve">Przyczyny działania na poziomie europejskim (ex ante) </w:t>
      </w:r>
    </w:p>
    <w:p w14:paraId="1B926F74" w14:textId="337B9588" w:rsidR="005D44AF" w:rsidRPr="00DD1DFA" w:rsidRDefault="005D44AF" w:rsidP="005D44AF">
      <w:pPr>
        <w:ind w:left="850"/>
        <w:rPr>
          <w:rFonts w:eastAsia="Calibri"/>
          <w:noProof/>
          <w:szCs w:val="24"/>
        </w:rPr>
      </w:pPr>
      <w:r w:rsidRPr="00DD1DFA">
        <w:rPr>
          <w:noProof/>
        </w:rPr>
        <w:t>Rozporządzenie</w:t>
      </w:r>
      <w:r w:rsidR="00DD1DFA" w:rsidRPr="00DD1DFA">
        <w:rPr>
          <w:noProof/>
        </w:rPr>
        <w:t xml:space="preserve"> w</w:t>
      </w:r>
      <w:r w:rsidR="00DD1DFA">
        <w:rPr>
          <w:noProof/>
        </w:rPr>
        <w:t> </w:t>
      </w:r>
      <w:r w:rsidR="00DD1DFA" w:rsidRPr="00DD1DFA">
        <w:rPr>
          <w:noProof/>
        </w:rPr>
        <w:t>spr</w:t>
      </w:r>
      <w:r w:rsidRPr="00DD1DFA">
        <w:rPr>
          <w:noProof/>
        </w:rPr>
        <w:t>awie wyrobów budowlanych nie doprowadziło do osiągnięcia celu jednolitego rynku wyrobów budowlanych. Na szczeblu krajowym niewystarczający nadzór rynku</w:t>
      </w:r>
      <w:r w:rsidR="00DD1DFA" w:rsidRPr="00DD1DFA">
        <w:rPr>
          <w:noProof/>
        </w:rPr>
        <w:t xml:space="preserve"> i</w:t>
      </w:r>
      <w:r w:rsidR="00DD1DFA">
        <w:rPr>
          <w:noProof/>
        </w:rPr>
        <w:t> </w:t>
      </w:r>
      <w:r w:rsidR="00DD1DFA" w:rsidRPr="00DD1DFA">
        <w:rPr>
          <w:noProof/>
        </w:rPr>
        <w:t>jeg</w:t>
      </w:r>
      <w:r w:rsidRPr="00DD1DFA">
        <w:rPr>
          <w:noProof/>
        </w:rPr>
        <w:t>o egzekwowanie uniemożliwiają pełne osiągnięcie korzyści związanych</w:t>
      </w:r>
      <w:r w:rsidR="00DD1DFA" w:rsidRPr="00DD1DFA">
        <w:rPr>
          <w:noProof/>
        </w:rPr>
        <w:t xml:space="preserve"> z</w:t>
      </w:r>
      <w:r w:rsidR="00DD1DFA">
        <w:rPr>
          <w:noProof/>
        </w:rPr>
        <w:t> </w:t>
      </w:r>
      <w:r w:rsidR="00DD1DFA" w:rsidRPr="00DD1DFA">
        <w:rPr>
          <w:noProof/>
        </w:rPr>
        <w:t>otw</w:t>
      </w:r>
      <w:r w:rsidRPr="00DD1DFA">
        <w:rPr>
          <w:noProof/>
        </w:rPr>
        <w:t>arciem rynków</w:t>
      </w:r>
      <w:r w:rsidR="00DD1DFA" w:rsidRPr="00DD1DFA">
        <w:rPr>
          <w:noProof/>
        </w:rPr>
        <w:t xml:space="preserve"> i</w:t>
      </w:r>
      <w:r w:rsidR="00DD1DFA">
        <w:rPr>
          <w:noProof/>
        </w:rPr>
        <w:t> </w:t>
      </w:r>
      <w:r w:rsidR="00DD1DFA" w:rsidRPr="00DD1DFA">
        <w:rPr>
          <w:noProof/>
        </w:rPr>
        <w:t>zap</w:t>
      </w:r>
      <w:r w:rsidRPr="00DD1DFA">
        <w:rPr>
          <w:noProof/>
        </w:rPr>
        <w:t>ewnieniem równych szans. Ponadto niektóre przepisy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są niewystarczająco jasne lub nakładają się, czy to</w:t>
      </w:r>
      <w:r w:rsidR="00DD1DFA" w:rsidRPr="00DD1DFA">
        <w:rPr>
          <w:noProof/>
        </w:rPr>
        <w:t xml:space="preserve"> w</w:t>
      </w:r>
      <w:r w:rsidR="00DD1DFA">
        <w:rPr>
          <w:noProof/>
        </w:rPr>
        <w:t> </w:t>
      </w:r>
      <w:r w:rsidR="00DD1DFA" w:rsidRPr="00DD1DFA">
        <w:rPr>
          <w:noProof/>
        </w:rPr>
        <w:t>sam</w:t>
      </w:r>
      <w:r w:rsidRPr="00DD1DFA">
        <w:rPr>
          <w:noProof/>
        </w:rPr>
        <w:t>ych ramach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czy też między rozporządzeniem</w:t>
      </w:r>
      <w:r w:rsidR="00DD1DFA" w:rsidRPr="00DD1DFA">
        <w:rPr>
          <w:noProof/>
        </w:rPr>
        <w:t xml:space="preserve"> w</w:t>
      </w:r>
      <w:r w:rsidR="00DD1DFA">
        <w:rPr>
          <w:noProof/>
        </w:rPr>
        <w:t> </w:t>
      </w:r>
      <w:r w:rsidR="00DD1DFA" w:rsidRPr="00DD1DFA">
        <w:rPr>
          <w:noProof/>
        </w:rPr>
        <w:t>spr</w:t>
      </w:r>
      <w:r w:rsidRPr="00DD1DFA">
        <w:rPr>
          <w:noProof/>
        </w:rPr>
        <w:t>awie wyrobów budowlanych</w:t>
      </w:r>
      <w:r w:rsidR="00DD1DFA" w:rsidRPr="00DD1DFA">
        <w:rPr>
          <w:noProof/>
        </w:rPr>
        <w:t xml:space="preserve"> a</w:t>
      </w:r>
      <w:r w:rsidR="00DD1DFA">
        <w:rPr>
          <w:noProof/>
        </w:rPr>
        <w:t> </w:t>
      </w:r>
      <w:r w:rsidR="00DD1DFA" w:rsidRPr="00DD1DFA">
        <w:rPr>
          <w:noProof/>
        </w:rPr>
        <w:t>inn</w:t>
      </w:r>
      <w:r w:rsidRPr="00DD1DFA">
        <w:rPr>
          <w:noProof/>
        </w:rPr>
        <w:t>ymi przepisami UE. Ponadto rozporządzenie</w:t>
      </w:r>
      <w:r w:rsidR="00DD1DFA" w:rsidRPr="00DD1DFA">
        <w:rPr>
          <w:noProof/>
        </w:rPr>
        <w:t xml:space="preserve"> w</w:t>
      </w:r>
      <w:r w:rsidR="00DD1DFA">
        <w:rPr>
          <w:noProof/>
        </w:rPr>
        <w:t> </w:t>
      </w:r>
      <w:r w:rsidR="00DD1DFA" w:rsidRPr="00DD1DFA">
        <w:rPr>
          <w:noProof/>
        </w:rPr>
        <w:t>spr</w:t>
      </w:r>
      <w:r w:rsidRPr="00DD1DFA">
        <w:rPr>
          <w:noProof/>
        </w:rPr>
        <w:t>awie wyrobów budowlanych nie jest</w:t>
      </w:r>
      <w:r w:rsidR="00DD1DFA" w:rsidRPr="00DD1DFA">
        <w:rPr>
          <w:noProof/>
        </w:rPr>
        <w:t xml:space="preserve"> w</w:t>
      </w:r>
      <w:r w:rsidR="00DD1DFA">
        <w:rPr>
          <w:noProof/>
        </w:rPr>
        <w:t> </w:t>
      </w:r>
      <w:r w:rsidR="00DD1DFA" w:rsidRPr="00DD1DFA">
        <w:rPr>
          <w:noProof/>
        </w:rPr>
        <w:t>sta</w:t>
      </w:r>
      <w:r w:rsidRPr="00DD1DFA">
        <w:rPr>
          <w:noProof/>
        </w:rPr>
        <w:t>nie umożliwić realizacji szerszych priorytetów strategicznych,</w:t>
      </w:r>
      <w:r w:rsidR="00DD1DFA" w:rsidRPr="00DD1DFA">
        <w:rPr>
          <w:noProof/>
        </w:rPr>
        <w:t xml:space="preserve"> w</w:t>
      </w:r>
      <w:r w:rsidR="00DD1DFA">
        <w:rPr>
          <w:noProof/>
        </w:rPr>
        <w:t> </w:t>
      </w:r>
      <w:r w:rsidR="00DD1DFA" w:rsidRPr="00DD1DFA">
        <w:rPr>
          <w:noProof/>
        </w:rPr>
        <w:t>szc</w:t>
      </w:r>
      <w:r w:rsidRPr="00DD1DFA">
        <w:rPr>
          <w:noProof/>
        </w:rPr>
        <w:t>zególności transformacji ekologicznej</w:t>
      </w:r>
      <w:r w:rsidR="00DD1DFA" w:rsidRPr="00DD1DFA">
        <w:rPr>
          <w:noProof/>
        </w:rPr>
        <w:t xml:space="preserve"> i</w:t>
      </w:r>
      <w:r w:rsidR="00DD1DFA">
        <w:rPr>
          <w:noProof/>
        </w:rPr>
        <w:t> </w:t>
      </w:r>
      <w:r w:rsidR="00DD1DFA" w:rsidRPr="00DD1DFA">
        <w:rPr>
          <w:noProof/>
        </w:rPr>
        <w:t>cyf</w:t>
      </w:r>
      <w:r w:rsidRPr="00DD1DFA">
        <w:rPr>
          <w:noProof/>
        </w:rPr>
        <w:t>rowej.</w:t>
      </w:r>
    </w:p>
    <w:p w14:paraId="5BCA7919" w14:textId="77777777" w:rsidR="005D44AF" w:rsidRPr="00DD1DFA" w:rsidRDefault="005D44AF" w:rsidP="005D44AF">
      <w:pPr>
        <w:pBdr>
          <w:top w:val="single" w:sz="4" w:space="1" w:color="auto"/>
          <w:left w:val="single" w:sz="4" w:space="4" w:color="auto"/>
          <w:bottom w:val="single" w:sz="4" w:space="1" w:color="auto"/>
          <w:right w:val="single" w:sz="4" w:space="4" w:color="auto"/>
        </w:pBdr>
        <w:ind w:left="850"/>
        <w:rPr>
          <w:i/>
          <w:iCs/>
          <w:noProof/>
          <w:color w:val="0000FF"/>
        </w:rPr>
      </w:pPr>
      <w:r w:rsidRPr="00DD1DFA">
        <w:rPr>
          <w:i/>
          <w:iCs/>
          <w:noProof/>
        </w:rPr>
        <w:t xml:space="preserve">Oczekiwana wygenerowana unijna wartość dodana (ex post) </w:t>
      </w:r>
    </w:p>
    <w:p w14:paraId="0194AA9F" w14:textId="256C8245" w:rsidR="005D44AF" w:rsidRPr="00DD1DFA" w:rsidRDefault="005D44AF" w:rsidP="005D44AF">
      <w:pPr>
        <w:ind w:left="850"/>
        <w:rPr>
          <w:rFonts w:eastAsia="Calibri"/>
          <w:noProof/>
          <w:szCs w:val="24"/>
        </w:rPr>
      </w:pPr>
      <w:r w:rsidRPr="00DD1DFA">
        <w:rPr>
          <w:noProof/>
        </w:rPr>
        <w:t>Oczekuje się, że niniejszy wniosek poprawi ogólne funkcjonowanie jednolitego rynku wyrobów budowlanych, zwłaszcza dzięki rozwiązaniu obecnych problemów związanych</w:t>
      </w:r>
      <w:r w:rsidR="00DD1DFA" w:rsidRPr="00DD1DFA">
        <w:rPr>
          <w:noProof/>
        </w:rPr>
        <w:t xml:space="preserve"> z</w:t>
      </w:r>
      <w:r w:rsidR="00DD1DFA">
        <w:rPr>
          <w:noProof/>
        </w:rPr>
        <w:t> </w:t>
      </w:r>
      <w:r w:rsidR="00DD1DFA" w:rsidRPr="00DD1DFA">
        <w:rPr>
          <w:noProof/>
        </w:rPr>
        <w:t>sys</w:t>
      </w:r>
      <w:r w:rsidRPr="00DD1DFA">
        <w:rPr>
          <w:noProof/>
        </w:rPr>
        <w:t>temem normalizacji</w:t>
      </w:r>
      <w:r w:rsidR="00DD1DFA" w:rsidRPr="00DD1DFA">
        <w:rPr>
          <w:noProof/>
        </w:rPr>
        <w:t xml:space="preserve"> i</w:t>
      </w:r>
      <w:r w:rsidR="00DD1DFA">
        <w:rPr>
          <w:noProof/>
        </w:rPr>
        <w:t> </w:t>
      </w:r>
      <w:r w:rsidR="00DD1DFA" w:rsidRPr="00DD1DFA">
        <w:rPr>
          <w:noProof/>
        </w:rPr>
        <w:t>usu</w:t>
      </w:r>
      <w:r w:rsidRPr="00DD1DFA">
        <w:rPr>
          <w:noProof/>
        </w:rPr>
        <w:t>nięciu dalszych barier</w:t>
      </w:r>
      <w:r w:rsidR="00DD1DFA" w:rsidRPr="00DD1DFA">
        <w:rPr>
          <w:noProof/>
        </w:rPr>
        <w:t xml:space="preserve"> w</w:t>
      </w:r>
      <w:r w:rsidR="00DD1DFA">
        <w:rPr>
          <w:noProof/>
        </w:rPr>
        <w:t> </w:t>
      </w:r>
      <w:r w:rsidR="00DD1DFA" w:rsidRPr="00DD1DFA">
        <w:rPr>
          <w:noProof/>
        </w:rPr>
        <w:t>han</w:t>
      </w:r>
      <w:r w:rsidRPr="00DD1DFA">
        <w:rPr>
          <w:noProof/>
        </w:rPr>
        <w:t>dlu, takich jak powielanie lub nakładanie się przepisów wykonawczych na szczeblu unijnym albo krajowym/regionalnym. To</w:t>
      </w:r>
      <w:r w:rsidR="00DD1DFA" w:rsidRPr="00DD1DFA">
        <w:rPr>
          <w:noProof/>
        </w:rPr>
        <w:t xml:space="preserve"> z</w:t>
      </w:r>
      <w:r w:rsidR="00DD1DFA">
        <w:rPr>
          <w:noProof/>
        </w:rPr>
        <w:t> </w:t>
      </w:r>
      <w:r w:rsidR="00DD1DFA" w:rsidRPr="00DD1DFA">
        <w:rPr>
          <w:noProof/>
        </w:rPr>
        <w:t>kol</w:t>
      </w:r>
      <w:r w:rsidRPr="00DD1DFA">
        <w:rPr>
          <w:noProof/>
        </w:rPr>
        <w:t>ei zwiększyłoby pewność prawa</w:t>
      </w:r>
      <w:r w:rsidR="00DD1DFA" w:rsidRPr="00DD1DFA">
        <w:rPr>
          <w:noProof/>
        </w:rPr>
        <w:t xml:space="preserve"> i</w:t>
      </w:r>
      <w:r w:rsidR="00DD1DFA">
        <w:rPr>
          <w:noProof/>
        </w:rPr>
        <w:t> </w:t>
      </w:r>
      <w:r w:rsidR="00DD1DFA" w:rsidRPr="00DD1DFA">
        <w:rPr>
          <w:noProof/>
        </w:rPr>
        <w:t>prz</w:t>
      </w:r>
      <w:r w:rsidRPr="00DD1DFA">
        <w:rPr>
          <w:noProof/>
        </w:rPr>
        <w:t>ewidywalność oraz poprawiłoby równe szanse dla sektora budowlanego. Dzięki sprawniejszym praktykom nadzoru rynku</w:t>
      </w:r>
      <w:r w:rsidR="00DD1DFA" w:rsidRPr="00DD1DFA">
        <w:rPr>
          <w:noProof/>
        </w:rPr>
        <w:t xml:space="preserve"> w</w:t>
      </w:r>
      <w:r w:rsidR="00DD1DFA">
        <w:rPr>
          <w:noProof/>
        </w:rPr>
        <w:t> </w:t>
      </w:r>
      <w:r w:rsidR="00DD1DFA" w:rsidRPr="00DD1DFA">
        <w:rPr>
          <w:noProof/>
        </w:rPr>
        <w:t>cał</w:t>
      </w:r>
      <w:r w:rsidRPr="00DD1DFA">
        <w:rPr>
          <w:noProof/>
        </w:rPr>
        <w:t>ej UE zwiększyłoby się zaufanie do całego systemu. Ponadto niniejszy wniosek dotyczy klimatu</w:t>
      </w:r>
      <w:r w:rsidR="00DD1DFA" w:rsidRPr="00DD1DFA">
        <w:rPr>
          <w:noProof/>
        </w:rPr>
        <w:t xml:space="preserve"> i</w:t>
      </w:r>
      <w:r w:rsidR="00DD1DFA">
        <w:rPr>
          <w:noProof/>
        </w:rPr>
        <w:t> </w:t>
      </w:r>
      <w:r w:rsidR="00DD1DFA" w:rsidRPr="00DD1DFA">
        <w:rPr>
          <w:noProof/>
        </w:rPr>
        <w:t>efe</w:t>
      </w:r>
      <w:r w:rsidRPr="00DD1DFA">
        <w:rPr>
          <w:noProof/>
        </w:rPr>
        <w:t>ktywności środowiskowej oraz obiegu zamkniętego</w:t>
      </w:r>
      <w:r w:rsidR="00DD1DFA" w:rsidRPr="00DD1DFA">
        <w:rPr>
          <w:noProof/>
        </w:rPr>
        <w:t xml:space="preserve"> w</w:t>
      </w:r>
      <w:r w:rsidR="00DD1DFA">
        <w:rPr>
          <w:noProof/>
        </w:rPr>
        <w:t> </w:t>
      </w:r>
      <w:r w:rsidR="00DD1DFA" w:rsidRPr="00DD1DFA">
        <w:rPr>
          <w:noProof/>
        </w:rPr>
        <w:t>odn</w:t>
      </w:r>
      <w:r w:rsidRPr="00DD1DFA">
        <w:rPr>
          <w:noProof/>
        </w:rPr>
        <w:t>iesieniu do wyrobów budowlanych, co można osiągnąć jedynie na poziomie UE, na którym opracowywana jest wspólna terminologia techniczna.</w:t>
      </w:r>
    </w:p>
    <w:p w14:paraId="3F6256E0" w14:textId="3C9FC098" w:rsidR="005D44AF" w:rsidRPr="00DD1DFA" w:rsidRDefault="005F7EFA" w:rsidP="005F7EFA">
      <w:pPr>
        <w:pStyle w:val="ManualHeading3"/>
        <w:rPr>
          <w:noProof/>
        </w:rPr>
      </w:pPr>
      <w:bookmarkStart w:id="29" w:name="_Toc514938030"/>
      <w:bookmarkStart w:id="30" w:name="_Toc95761282"/>
      <w:r w:rsidRPr="005F7EFA">
        <w:t>1.5.3.</w:t>
      </w:r>
      <w:r w:rsidRPr="005F7EFA">
        <w:tab/>
      </w:r>
      <w:r w:rsidR="005D44AF" w:rsidRPr="00DD1DFA">
        <w:rPr>
          <w:noProof/>
        </w:rPr>
        <w:t>Główne wnioski wyciągnięte</w:t>
      </w:r>
      <w:r w:rsidR="00DD1DFA" w:rsidRPr="00DD1DFA">
        <w:rPr>
          <w:noProof/>
        </w:rPr>
        <w:t xml:space="preserve"> z</w:t>
      </w:r>
      <w:r w:rsidR="00DD1DFA">
        <w:rPr>
          <w:noProof/>
        </w:rPr>
        <w:t> </w:t>
      </w:r>
      <w:r w:rsidR="00DD1DFA" w:rsidRPr="00DD1DFA">
        <w:rPr>
          <w:noProof/>
        </w:rPr>
        <w:t>pod</w:t>
      </w:r>
      <w:r w:rsidR="005D44AF" w:rsidRPr="00DD1DFA">
        <w:rPr>
          <w:noProof/>
        </w:rPr>
        <w:t>obnych działań</w:t>
      </w:r>
      <w:bookmarkEnd w:id="29"/>
      <w:bookmarkEnd w:id="30"/>
    </w:p>
    <w:p w14:paraId="3AABA34C" w14:textId="79FE0D5D" w:rsidR="005D44AF" w:rsidRPr="00DD1DFA" w:rsidRDefault="005D44AF" w:rsidP="005D44AF">
      <w:pPr>
        <w:pBdr>
          <w:top w:val="single" w:sz="4" w:space="1" w:color="auto"/>
          <w:left w:val="single" w:sz="4" w:space="4" w:color="auto"/>
          <w:bottom w:val="single" w:sz="4" w:space="1" w:color="auto"/>
          <w:right w:val="single" w:sz="4" w:space="4" w:color="auto"/>
        </w:pBdr>
        <w:ind w:left="850"/>
        <w:rPr>
          <w:rFonts w:eastAsia="Calibri"/>
          <w:noProof/>
          <w:szCs w:val="24"/>
        </w:rPr>
      </w:pPr>
      <w:r w:rsidRPr="00DD1DFA">
        <w:rPr>
          <w:noProof/>
        </w:rPr>
        <w:t>Z doświadczeń związanych</w:t>
      </w:r>
      <w:r w:rsidR="00DD1DFA" w:rsidRPr="00DD1DFA">
        <w:rPr>
          <w:noProof/>
        </w:rPr>
        <w:t xml:space="preserve"> z</w:t>
      </w:r>
      <w:r w:rsidR="00DD1DFA">
        <w:rPr>
          <w:noProof/>
        </w:rPr>
        <w:t> </w:t>
      </w:r>
      <w:r w:rsidR="00DD1DFA" w:rsidRPr="00DD1DFA">
        <w:rPr>
          <w:noProof/>
        </w:rPr>
        <w:t>roz</w:t>
      </w:r>
      <w:r w:rsidRPr="00DD1DFA">
        <w:rPr>
          <w:noProof/>
        </w:rPr>
        <w:t>porządzeniem</w:t>
      </w:r>
      <w:r w:rsidR="00DD1DFA" w:rsidRPr="00DD1DFA">
        <w:rPr>
          <w:noProof/>
        </w:rPr>
        <w:t xml:space="preserve"> w</w:t>
      </w:r>
      <w:r w:rsidR="00DD1DFA">
        <w:rPr>
          <w:noProof/>
        </w:rPr>
        <w:t> </w:t>
      </w:r>
      <w:r w:rsidR="00DD1DFA" w:rsidRPr="00DD1DFA">
        <w:rPr>
          <w:noProof/>
        </w:rPr>
        <w:t>spr</w:t>
      </w:r>
      <w:r w:rsidRPr="00DD1DFA">
        <w:rPr>
          <w:noProof/>
        </w:rPr>
        <w:t>awie wyrobów budowlanych wynikają następujące wnioski:</w:t>
      </w:r>
    </w:p>
    <w:p w14:paraId="65A46A55" w14:textId="702CDC57" w:rsidR="005D44AF" w:rsidRPr="00DD1DFA" w:rsidRDefault="005D44AF" w:rsidP="005D44AF">
      <w:pPr>
        <w:ind w:left="850"/>
        <w:rPr>
          <w:rFonts w:eastAsia="Calibri"/>
          <w:noProof/>
          <w:szCs w:val="24"/>
        </w:rPr>
      </w:pPr>
      <w:r w:rsidRPr="00DD1DFA">
        <w:rPr>
          <w:noProof/>
        </w:rPr>
        <w:t>1) Istnieje potrzeba zapewnienia spójności między stosowanymi kryteriami prawnymi</w:t>
      </w:r>
      <w:r w:rsidR="00DD1DFA" w:rsidRPr="00DD1DFA">
        <w:rPr>
          <w:noProof/>
        </w:rPr>
        <w:t xml:space="preserve"> a</w:t>
      </w:r>
      <w:r w:rsidR="00DD1DFA">
        <w:rPr>
          <w:noProof/>
        </w:rPr>
        <w:t> </w:t>
      </w:r>
      <w:r w:rsidR="00DD1DFA" w:rsidRPr="00DD1DFA">
        <w:rPr>
          <w:noProof/>
        </w:rPr>
        <w:t>zdo</w:t>
      </w:r>
      <w:r w:rsidRPr="00DD1DFA">
        <w:rPr>
          <w:noProof/>
        </w:rPr>
        <w:t xml:space="preserve">lnością normalizatorów do osiągnięcia oczekiwanych wyników. </w:t>
      </w:r>
    </w:p>
    <w:p w14:paraId="6F9022E8" w14:textId="20B01B06" w:rsidR="005D44AF" w:rsidRPr="00DD1DFA" w:rsidRDefault="005D44AF" w:rsidP="005D44AF">
      <w:pPr>
        <w:ind w:left="850"/>
        <w:rPr>
          <w:rFonts w:eastAsia="Calibri"/>
          <w:noProof/>
          <w:szCs w:val="24"/>
        </w:rPr>
      </w:pPr>
      <w:r w:rsidRPr="00DD1DFA">
        <w:rPr>
          <w:noProof/>
        </w:rPr>
        <w:t>2) Istnieje potrzeba zapewnienia alternatywy</w:t>
      </w:r>
      <w:r w:rsidR="00DD1DFA" w:rsidRPr="00DD1DFA">
        <w:rPr>
          <w:noProof/>
        </w:rPr>
        <w:t xml:space="preserve"> w</w:t>
      </w:r>
      <w:r w:rsidR="00DD1DFA">
        <w:rPr>
          <w:noProof/>
        </w:rPr>
        <w:t> </w:t>
      </w:r>
      <w:r w:rsidR="00DD1DFA" w:rsidRPr="00DD1DFA">
        <w:rPr>
          <w:noProof/>
        </w:rPr>
        <w:t>prz</w:t>
      </w:r>
      <w:r w:rsidRPr="00DD1DFA">
        <w:rPr>
          <w:noProof/>
        </w:rPr>
        <w:t>ypadkach, gdy proces normalizacji nie przynosi oczekiwanych wyników.</w:t>
      </w:r>
    </w:p>
    <w:p w14:paraId="07980AEE" w14:textId="77777777" w:rsidR="005D44AF" w:rsidRPr="00DD1DFA" w:rsidRDefault="005D44AF" w:rsidP="005D44AF">
      <w:pPr>
        <w:ind w:left="850"/>
        <w:rPr>
          <w:rFonts w:eastAsia="Calibri"/>
          <w:noProof/>
          <w:szCs w:val="24"/>
        </w:rPr>
      </w:pPr>
      <w:r w:rsidRPr="00DD1DFA">
        <w:rPr>
          <w:noProof/>
        </w:rPr>
        <w:t xml:space="preserve">3) Należy zapewnić jasność przepisów rozporządzenia. </w:t>
      </w:r>
    </w:p>
    <w:p w14:paraId="6EE80E9F" w14:textId="77777777" w:rsidR="005D44AF" w:rsidRPr="00DD1DFA" w:rsidRDefault="005D44AF" w:rsidP="005D44AF">
      <w:pPr>
        <w:ind w:left="850"/>
        <w:rPr>
          <w:rFonts w:eastAsia="Calibri"/>
          <w:noProof/>
          <w:szCs w:val="24"/>
        </w:rPr>
      </w:pPr>
      <w:r w:rsidRPr="00DD1DFA">
        <w:rPr>
          <w:noProof/>
        </w:rPr>
        <w:t xml:space="preserve">4) Rozporządzenie powinno umożliwić realizację szerszych priorytetów strategicznych. </w:t>
      </w:r>
    </w:p>
    <w:p w14:paraId="5785D283" w14:textId="5839CDF9" w:rsidR="005D44AF" w:rsidRPr="00DD1DFA" w:rsidRDefault="005F7EFA" w:rsidP="005F7EFA">
      <w:pPr>
        <w:pStyle w:val="ManualHeading3"/>
        <w:rPr>
          <w:noProof/>
        </w:rPr>
      </w:pPr>
      <w:bookmarkStart w:id="31" w:name="_Toc514938033"/>
      <w:bookmarkStart w:id="32" w:name="_Toc95761283"/>
      <w:r w:rsidRPr="005F7EFA">
        <w:t>1.5.4.</w:t>
      </w:r>
      <w:r w:rsidRPr="005F7EFA">
        <w:tab/>
      </w:r>
      <w:r w:rsidR="005D44AF" w:rsidRPr="00DD1DFA">
        <w:rPr>
          <w:noProof/>
        </w:rPr>
        <w:t>Spójność</w:t>
      </w:r>
      <w:r w:rsidR="00DD1DFA" w:rsidRPr="00DD1DFA">
        <w:rPr>
          <w:noProof/>
        </w:rPr>
        <w:t xml:space="preserve"> z</w:t>
      </w:r>
      <w:r w:rsidR="00DD1DFA">
        <w:rPr>
          <w:noProof/>
        </w:rPr>
        <w:t> </w:t>
      </w:r>
      <w:r w:rsidR="00DD1DFA" w:rsidRPr="00DD1DFA">
        <w:rPr>
          <w:noProof/>
        </w:rPr>
        <w:t>wie</w:t>
      </w:r>
      <w:r w:rsidR="005D44AF" w:rsidRPr="00DD1DFA">
        <w:rPr>
          <w:noProof/>
        </w:rPr>
        <w:t>loletnimi ramami finansowymi oraz możliwa synergia</w:t>
      </w:r>
      <w:r w:rsidR="00DD1DFA" w:rsidRPr="00DD1DFA">
        <w:rPr>
          <w:noProof/>
        </w:rPr>
        <w:t xml:space="preserve"> z</w:t>
      </w:r>
      <w:r w:rsidR="00DD1DFA">
        <w:rPr>
          <w:noProof/>
        </w:rPr>
        <w:t> </w:t>
      </w:r>
      <w:r w:rsidR="00DD1DFA" w:rsidRPr="00DD1DFA">
        <w:rPr>
          <w:noProof/>
        </w:rPr>
        <w:t>inn</w:t>
      </w:r>
      <w:r w:rsidR="005D44AF" w:rsidRPr="00DD1DFA">
        <w:rPr>
          <w:noProof/>
        </w:rPr>
        <w:t>ymi właściwymi instrumentami</w:t>
      </w:r>
      <w:bookmarkEnd w:id="31"/>
      <w:bookmarkEnd w:id="32"/>
    </w:p>
    <w:p w14:paraId="43E9C308" w14:textId="01324699" w:rsidR="005D44AF" w:rsidRPr="00DD1DFA" w:rsidRDefault="00D97AC0" w:rsidP="005D44AF">
      <w:pPr>
        <w:rPr>
          <w:rFonts w:eastAsia="Calibri"/>
          <w:noProof/>
          <w:szCs w:val="24"/>
        </w:rPr>
      </w:pPr>
      <w:r w:rsidRPr="00DD1DFA">
        <w:rPr>
          <w:noProof/>
        </w:rPr>
        <w:t>Wniosek jest zgodny</w:t>
      </w:r>
      <w:r w:rsidR="00DD1DFA" w:rsidRPr="00DD1DFA">
        <w:rPr>
          <w:noProof/>
        </w:rPr>
        <w:t xml:space="preserve"> z</w:t>
      </w:r>
      <w:r w:rsidR="00DD1DFA">
        <w:rPr>
          <w:noProof/>
        </w:rPr>
        <w:t> </w:t>
      </w:r>
      <w:r w:rsidR="00DD1DFA" w:rsidRPr="00DD1DFA">
        <w:rPr>
          <w:noProof/>
        </w:rPr>
        <w:t>obo</w:t>
      </w:r>
      <w:r w:rsidRPr="00DD1DFA">
        <w:rPr>
          <w:noProof/>
        </w:rPr>
        <w:t xml:space="preserve">wiązującymi wieloletnimi ramami finansowymi. </w:t>
      </w:r>
    </w:p>
    <w:p w14:paraId="79EBE2C5" w14:textId="47436798"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We wniosku ustanowiono zharmonizowane warunki wprowadzania do obrotu wyrobów budowlanych na jednolitym rynku. Ze względu na swoją złożoność część działań można by teoretycznie przekazać</w:t>
      </w:r>
      <w:r w:rsidR="00DD1DFA" w:rsidRPr="00DD1DFA">
        <w:rPr>
          <w:noProof/>
        </w:rPr>
        <w:t xml:space="preserve"> w</w:t>
      </w:r>
      <w:r w:rsidR="00DD1DFA">
        <w:rPr>
          <w:noProof/>
        </w:rPr>
        <w:t> </w:t>
      </w:r>
      <w:r w:rsidR="00DD1DFA" w:rsidRPr="00DD1DFA">
        <w:rPr>
          <w:noProof/>
        </w:rPr>
        <w:t>dro</w:t>
      </w:r>
      <w:r w:rsidRPr="00DD1DFA">
        <w:rPr>
          <w:noProof/>
        </w:rPr>
        <w:t xml:space="preserve">dze delegacji agencji zewnętrznej, ale nie jest to obecnie planowane. </w:t>
      </w:r>
    </w:p>
    <w:p w14:paraId="696789BD" w14:textId="15CE3816"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Jeśli chodzi</w:t>
      </w:r>
      <w:r w:rsidR="00DD1DFA" w:rsidRPr="00DD1DFA">
        <w:rPr>
          <w:noProof/>
        </w:rPr>
        <w:t xml:space="preserve"> o</w:t>
      </w:r>
      <w:r w:rsidR="00DD1DFA">
        <w:rPr>
          <w:noProof/>
        </w:rPr>
        <w:t> </w:t>
      </w:r>
      <w:r w:rsidR="00DD1DFA" w:rsidRPr="00DD1DFA">
        <w:rPr>
          <w:noProof/>
        </w:rPr>
        <w:t>ewe</w:t>
      </w:r>
      <w:r w:rsidRPr="00DD1DFA">
        <w:rPr>
          <w:noProof/>
        </w:rPr>
        <w:t>ntualne synergie, wniosek generuje synergie,</w:t>
      </w:r>
      <w:r w:rsidR="00DD1DFA" w:rsidRPr="00DD1DFA">
        <w:rPr>
          <w:noProof/>
        </w:rPr>
        <w:t xml:space="preserve"> w</w:t>
      </w:r>
      <w:r w:rsidR="00DD1DFA">
        <w:rPr>
          <w:noProof/>
        </w:rPr>
        <w:t> </w:t>
      </w:r>
      <w:r w:rsidR="00DD1DFA" w:rsidRPr="00DD1DFA">
        <w:rPr>
          <w:noProof/>
        </w:rPr>
        <w:t>szc</w:t>
      </w:r>
      <w:r w:rsidRPr="00DD1DFA">
        <w:rPr>
          <w:noProof/>
        </w:rPr>
        <w:t>zególności</w:t>
      </w:r>
      <w:r w:rsidR="00DD1DFA" w:rsidRPr="00DD1DFA">
        <w:rPr>
          <w:noProof/>
        </w:rPr>
        <w:t xml:space="preserve"> z</w:t>
      </w:r>
      <w:r w:rsidR="00DD1DFA">
        <w:rPr>
          <w:noProof/>
        </w:rPr>
        <w:t> </w:t>
      </w:r>
      <w:r w:rsidR="00DD1DFA" w:rsidRPr="00DD1DFA">
        <w:rPr>
          <w:noProof/>
        </w:rPr>
        <w:t>inn</w:t>
      </w:r>
      <w:r w:rsidRPr="00DD1DFA">
        <w:rPr>
          <w:noProof/>
        </w:rPr>
        <w:t>ymi inicjatywami,</w:t>
      </w:r>
      <w:r w:rsidR="00DD1DFA" w:rsidRPr="00DD1DFA">
        <w:rPr>
          <w:noProof/>
        </w:rPr>
        <w:t xml:space="preserve"> w</w:t>
      </w:r>
      <w:r w:rsidR="00DD1DFA">
        <w:rPr>
          <w:noProof/>
        </w:rPr>
        <w:t> </w:t>
      </w:r>
      <w:r w:rsidR="00DD1DFA" w:rsidRPr="00DD1DFA">
        <w:rPr>
          <w:noProof/>
        </w:rPr>
        <w:t>tym z</w:t>
      </w:r>
      <w:r w:rsidR="00DD1DFA">
        <w:rPr>
          <w:noProof/>
        </w:rPr>
        <w:t> </w:t>
      </w:r>
      <w:r w:rsidR="00DD1DFA" w:rsidRPr="00DD1DFA">
        <w:rPr>
          <w:noProof/>
        </w:rPr>
        <w:t>roz</w:t>
      </w:r>
      <w:r w:rsidRPr="00DD1DFA">
        <w:rPr>
          <w:noProof/>
        </w:rPr>
        <w:t>porządzeniem</w:t>
      </w:r>
      <w:r w:rsidR="00DD1DFA" w:rsidRPr="00DD1DFA">
        <w:rPr>
          <w:noProof/>
        </w:rPr>
        <w:t xml:space="preserve"> w</w:t>
      </w:r>
      <w:r w:rsidR="00DD1DFA">
        <w:rPr>
          <w:noProof/>
        </w:rPr>
        <w:t> </w:t>
      </w:r>
      <w:r w:rsidR="00DD1DFA" w:rsidRPr="00DD1DFA">
        <w:rPr>
          <w:noProof/>
        </w:rPr>
        <w:t>spr</w:t>
      </w:r>
      <w:r w:rsidRPr="00DD1DFA">
        <w:rPr>
          <w:noProof/>
        </w:rPr>
        <w:t xml:space="preserve">awie ekoprojektu dla zrównoważonych produktów. </w:t>
      </w:r>
    </w:p>
    <w:p w14:paraId="441C0056" w14:textId="2093914C" w:rsidR="005D44AF" w:rsidRPr="00DD1DFA" w:rsidRDefault="005F7EFA" w:rsidP="005F7EFA">
      <w:pPr>
        <w:pStyle w:val="ManualHeading3"/>
        <w:rPr>
          <w:noProof/>
        </w:rPr>
      </w:pPr>
      <w:bookmarkStart w:id="33" w:name="_Toc514938036"/>
      <w:bookmarkStart w:id="34" w:name="_Toc95761284"/>
      <w:r w:rsidRPr="005F7EFA">
        <w:t>1.5.5.</w:t>
      </w:r>
      <w:r w:rsidRPr="005F7EFA">
        <w:tab/>
      </w:r>
      <w:r w:rsidR="005D44AF" w:rsidRPr="00DD1DFA">
        <w:rPr>
          <w:noProof/>
        </w:rPr>
        <w:t>Ocena różnych dostępnych możliwości finansowania,</w:t>
      </w:r>
      <w:r w:rsidR="00DD1DFA" w:rsidRPr="00DD1DFA">
        <w:rPr>
          <w:noProof/>
        </w:rPr>
        <w:t xml:space="preserve"> w</w:t>
      </w:r>
      <w:r w:rsidR="00DD1DFA">
        <w:rPr>
          <w:noProof/>
        </w:rPr>
        <w:t> </w:t>
      </w:r>
      <w:r w:rsidR="00DD1DFA" w:rsidRPr="00DD1DFA">
        <w:rPr>
          <w:noProof/>
        </w:rPr>
        <w:t>tym</w:t>
      </w:r>
      <w:r w:rsidR="005D44AF" w:rsidRPr="00DD1DFA">
        <w:rPr>
          <w:noProof/>
        </w:rPr>
        <w:t xml:space="preserve"> zakresu przegrupowania środków</w:t>
      </w:r>
      <w:bookmarkEnd w:id="33"/>
      <w:bookmarkEnd w:id="34"/>
    </w:p>
    <w:p w14:paraId="0145B392" w14:textId="77777777"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Nie dotyczy</w:t>
      </w:r>
    </w:p>
    <w:p w14:paraId="6A0690B9" w14:textId="35283DBD" w:rsidR="005D44AF" w:rsidRPr="00DD1DFA" w:rsidRDefault="005D44AF" w:rsidP="005F7EFA">
      <w:pPr>
        <w:pStyle w:val="ManualHeading2"/>
        <w:rPr>
          <w:noProof/>
        </w:rPr>
      </w:pPr>
      <w:r w:rsidRPr="00DD1DFA">
        <w:rPr>
          <w:noProof/>
        </w:rPr>
        <w:br w:type="page"/>
      </w:r>
      <w:bookmarkStart w:id="35" w:name="_Toc514938039"/>
      <w:bookmarkStart w:id="36" w:name="_Toc95761285"/>
      <w:r w:rsidR="005F7EFA" w:rsidRPr="005F7EFA">
        <w:t>1.6.</w:t>
      </w:r>
      <w:r w:rsidR="005F7EFA" w:rsidRPr="005F7EFA">
        <w:tab/>
      </w:r>
      <w:r w:rsidRPr="00DD1DFA">
        <w:rPr>
          <w:noProof/>
        </w:rPr>
        <w:t>Okres trwania</w:t>
      </w:r>
      <w:r w:rsidR="00DD1DFA" w:rsidRPr="00DD1DFA">
        <w:rPr>
          <w:noProof/>
        </w:rPr>
        <w:t xml:space="preserve"> i</w:t>
      </w:r>
      <w:r w:rsidR="00DD1DFA">
        <w:rPr>
          <w:noProof/>
        </w:rPr>
        <w:t> </w:t>
      </w:r>
      <w:r w:rsidR="00DD1DFA" w:rsidRPr="00DD1DFA">
        <w:rPr>
          <w:noProof/>
        </w:rPr>
        <w:t>wpł</w:t>
      </w:r>
      <w:r w:rsidRPr="00DD1DFA">
        <w:rPr>
          <w:noProof/>
        </w:rPr>
        <w:t>yw finansowy wniosku/inicjatywy</w:t>
      </w:r>
      <w:bookmarkEnd w:id="35"/>
      <w:bookmarkEnd w:id="36"/>
    </w:p>
    <w:p w14:paraId="18EAFB40" w14:textId="77777777" w:rsidR="005D44AF" w:rsidRPr="00DD1DFA" w:rsidRDefault="005D44AF" w:rsidP="005D44AF">
      <w:pPr>
        <w:ind w:left="850"/>
        <w:rPr>
          <w:noProof/>
        </w:rPr>
      </w:pPr>
      <w:r w:rsidRPr="00DD1DFA">
        <w:rPr>
          <w:rFonts w:ascii="Wingdings" w:hAnsi="Wingdings"/>
          <w:noProof/>
        </w:rPr>
        <w:t></w:t>
      </w:r>
      <w:r w:rsidRPr="00DD1DFA">
        <w:rPr>
          <w:b/>
          <w:i/>
          <w:noProof/>
        </w:rPr>
        <w:t xml:space="preserve"> </w:t>
      </w:r>
      <w:r w:rsidRPr="00DD1DFA">
        <w:rPr>
          <w:b/>
          <w:noProof/>
        </w:rPr>
        <w:t xml:space="preserve">Ograniczony czas trwania </w:t>
      </w:r>
    </w:p>
    <w:p w14:paraId="09B596BA" w14:textId="77777777" w:rsidR="005D44AF" w:rsidRPr="00DD1DFA" w:rsidRDefault="005D44AF" w:rsidP="00F2740F">
      <w:pPr>
        <w:pStyle w:val="Text2"/>
        <w:rPr>
          <w:noProof/>
        </w:rPr>
      </w:pPr>
      <w:r w:rsidRPr="00DD1DFA">
        <w:rPr>
          <w:rFonts w:ascii="Wingdings" w:hAnsi="Wingdings"/>
          <w:noProof/>
        </w:rPr>
        <w:t></w:t>
      </w:r>
      <w:r w:rsidRPr="00DD1DFA">
        <w:rPr>
          <w:noProof/>
        </w:rPr>
        <w:tab/>
        <w:t xml:space="preserve">Okres trwania wniosku/inicjatywy: od [DD/MM]RRRR r. do [DD/MM]RRRR r. </w:t>
      </w:r>
    </w:p>
    <w:p w14:paraId="16641432" w14:textId="69C215BA" w:rsidR="005D44AF" w:rsidRPr="00DD1DFA" w:rsidRDefault="005D44AF" w:rsidP="00F2740F">
      <w:pPr>
        <w:pStyle w:val="Text2"/>
        <w:rPr>
          <w:noProof/>
        </w:rPr>
      </w:pPr>
      <w:r w:rsidRPr="00DD1DFA">
        <w:rPr>
          <w:rFonts w:ascii="Wingdings" w:hAnsi="Wingdings"/>
          <w:noProof/>
        </w:rPr>
        <w:t></w:t>
      </w:r>
      <w:r w:rsidRPr="00DD1DFA">
        <w:rPr>
          <w:noProof/>
        </w:rPr>
        <w:tab/>
        <w:t>Okres trwania wpływu finansowego: od RRRR r. do RRRR r.</w:t>
      </w:r>
      <w:r w:rsidR="00DD1DFA" w:rsidRPr="00DD1DFA">
        <w:rPr>
          <w:noProof/>
        </w:rPr>
        <w:t xml:space="preserve"> w</w:t>
      </w:r>
      <w:r w:rsidR="00DD1DFA">
        <w:rPr>
          <w:noProof/>
        </w:rPr>
        <w:t> </w:t>
      </w:r>
      <w:r w:rsidR="00DD1DFA" w:rsidRPr="00DD1DFA">
        <w:rPr>
          <w:noProof/>
        </w:rPr>
        <w:t>odn</w:t>
      </w:r>
      <w:r w:rsidRPr="00DD1DFA">
        <w:rPr>
          <w:noProof/>
        </w:rPr>
        <w:t>iesieniu do środków na zobowiązania oraz od RRRR r. do RRRR r.</w:t>
      </w:r>
      <w:r w:rsidR="00DD1DFA" w:rsidRPr="00DD1DFA">
        <w:rPr>
          <w:noProof/>
        </w:rPr>
        <w:t xml:space="preserve"> w</w:t>
      </w:r>
      <w:r w:rsidR="00DD1DFA">
        <w:rPr>
          <w:noProof/>
        </w:rPr>
        <w:t> </w:t>
      </w:r>
      <w:r w:rsidR="00DD1DFA" w:rsidRPr="00DD1DFA">
        <w:rPr>
          <w:noProof/>
        </w:rPr>
        <w:t>odn</w:t>
      </w:r>
      <w:r w:rsidRPr="00DD1DFA">
        <w:rPr>
          <w:noProof/>
        </w:rPr>
        <w:t xml:space="preserve">iesieniu do środków na płatności. </w:t>
      </w:r>
    </w:p>
    <w:p w14:paraId="1867859A" w14:textId="77777777" w:rsidR="005D44AF" w:rsidRPr="00DD1DFA" w:rsidRDefault="005D44AF" w:rsidP="005D44AF">
      <w:pPr>
        <w:ind w:left="850"/>
        <w:rPr>
          <w:noProof/>
        </w:rPr>
      </w:pPr>
      <w:r w:rsidRPr="00DD1DFA">
        <w:rPr>
          <w:rFonts w:ascii="Wingdings" w:hAnsi="Wingdings"/>
          <w:noProof/>
          <w:color w:val="341A51"/>
          <w:sz w:val="22"/>
          <w:u w:val="single"/>
        </w:rPr>
        <w:t></w:t>
      </w:r>
      <w:r w:rsidRPr="00DD1DFA">
        <w:rPr>
          <w:b/>
          <w:bCs/>
          <w:i/>
          <w:iCs/>
          <w:noProof/>
        </w:rPr>
        <w:t xml:space="preserve"> </w:t>
      </w:r>
      <w:r w:rsidRPr="00DD1DFA">
        <w:rPr>
          <w:b/>
          <w:bCs/>
          <w:noProof/>
        </w:rPr>
        <w:t>nieograniczony czas trwania</w:t>
      </w:r>
    </w:p>
    <w:p w14:paraId="567D2AB4" w14:textId="3A9EAA2C" w:rsidR="005D44AF" w:rsidRPr="00DD1DFA" w:rsidRDefault="005D44AF" w:rsidP="00CE6888">
      <w:pPr>
        <w:rPr>
          <w:noProof/>
        </w:rPr>
      </w:pPr>
      <w:r w:rsidRPr="00DD1DFA">
        <w:rPr>
          <w:noProof/>
        </w:rPr>
        <w:t>Wdrożenie</w:t>
      </w:r>
      <w:r w:rsidR="00DD1DFA" w:rsidRPr="00DD1DFA">
        <w:rPr>
          <w:noProof/>
        </w:rPr>
        <w:t xml:space="preserve"> z</w:t>
      </w:r>
      <w:r w:rsidR="00DD1DFA">
        <w:rPr>
          <w:noProof/>
        </w:rPr>
        <w:t> </w:t>
      </w:r>
      <w:r w:rsidR="00DD1DFA" w:rsidRPr="00DD1DFA">
        <w:rPr>
          <w:noProof/>
        </w:rPr>
        <w:t>okr</w:t>
      </w:r>
      <w:r w:rsidRPr="00DD1DFA">
        <w:rPr>
          <w:noProof/>
        </w:rPr>
        <w:t>esem rozruchu od</w:t>
      </w:r>
      <w:r w:rsidR="00DD1DFA" w:rsidRPr="00DD1DFA">
        <w:rPr>
          <w:noProof/>
        </w:rPr>
        <w:t> </w:t>
      </w:r>
      <w:r w:rsidRPr="00DD1DFA">
        <w:rPr>
          <w:noProof/>
        </w:rPr>
        <w:t>2024</w:t>
      </w:r>
      <w:r w:rsidR="00DD1DFA" w:rsidRPr="00DD1DFA">
        <w:rPr>
          <w:noProof/>
        </w:rPr>
        <w:t> </w:t>
      </w:r>
      <w:r w:rsidRPr="00DD1DFA">
        <w:rPr>
          <w:noProof/>
        </w:rPr>
        <w:t>r. (przyjęcie</w:t>
      </w:r>
      <w:r w:rsidR="00DD1DFA" w:rsidRPr="00DD1DFA">
        <w:rPr>
          <w:noProof/>
        </w:rPr>
        <w:t xml:space="preserve"> i</w:t>
      </w:r>
      <w:r w:rsidR="00DD1DFA">
        <w:rPr>
          <w:noProof/>
        </w:rPr>
        <w:t> </w:t>
      </w:r>
      <w:r w:rsidR="00DD1DFA" w:rsidRPr="00DD1DFA">
        <w:rPr>
          <w:noProof/>
        </w:rPr>
        <w:t>pub</w:t>
      </w:r>
      <w:r w:rsidRPr="00DD1DFA">
        <w:rPr>
          <w:noProof/>
        </w:rPr>
        <w:t>likacja wniosku przed 2025</w:t>
      </w:r>
      <w:r w:rsidR="00DD1DFA" w:rsidRPr="00DD1DFA">
        <w:rPr>
          <w:noProof/>
        </w:rPr>
        <w:t> </w:t>
      </w:r>
      <w:r w:rsidRPr="00DD1DFA">
        <w:rPr>
          <w:noProof/>
        </w:rPr>
        <w:t>r. jest mało prawdopodobne, ale roczny okres wyprzedzenia</w:t>
      </w:r>
      <w:r w:rsidR="00DD1DFA" w:rsidRPr="00DD1DFA">
        <w:rPr>
          <w:noProof/>
        </w:rPr>
        <w:t xml:space="preserve"> w</w:t>
      </w:r>
      <w:r w:rsidR="00DD1DFA">
        <w:rPr>
          <w:noProof/>
        </w:rPr>
        <w:t> </w:t>
      </w:r>
      <w:r w:rsidR="00DD1DFA" w:rsidRPr="00DD1DFA">
        <w:rPr>
          <w:noProof/>
        </w:rPr>
        <w:t>prz</w:t>
      </w:r>
      <w:r w:rsidRPr="00DD1DFA">
        <w:rPr>
          <w:noProof/>
        </w:rPr>
        <w:t>ypadku najważniejszych aktów wykonawczych</w:t>
      </w:r>
      <w:r w:rsidR="00DD1DFA" w:rsidRPr="00DD1DFA">
        <w:rPr>
          <w:noProof/>
        </w:rPr>
        <w:t xml:space="preserve"> i</w:t>
      </w:r>
      <w:r w:rsidR="00DD1DFA">
        <w:rPr>
          <w:noProof/>
        </w:rPr>
        <w:t> </w:t>
      </w:r>
      <w:r w:rsidR="00DD1DFA" w:rsidRPr="00DD1DFA">
        <w:rPr>
          <w:noProof/>
        </w:rPr>
        <w:t>del</w:t>
      </w:r>
      <w:r w:rsidRPr="00DD1DFA">
        <w:rPr>
          <w:noProof/>
        </w:rPr>
        <w:t>egowanych to minimum), po którym następuje faza operacyjna</w:t>
      </w:r>
      <w:r w:rsidR="00DD1DFA" w:rsidRPr="00DD1DFA">
        <w:rPr>
          <w:noProof/>
        </w:rPr>
        <w:t xml:space="preserve"> w</w:t>
      </w:r>
      <w:r w:rsidR="00DD1DFA">
        <w:rPr>
          <w:noProof/>
        </w:rPr>
        <w:t> </w:t>
      </w:r>
      <w:r w:rsidR="00DD1DFA" w:rsidRPr="00DD1DFA">
        <w:rPr>
          <w:noProof/>
        </w:rPr>
        <w:t>2</w:t>
      </w:r>
      <w:r w:rsidRPr="00DD1DFA">
        <w:rPr>
          <w:noProof/>
        </w:rPr>
        <w:t>025</w:t>
      </w:r>
      <w:r w:rsidR="00DD1DFA" w:rsidRPr="00DD1DFA">
        <w:rPr>
          <w:noProof/>
        </w:rPr>
        <w:t> </w:t>
      </w:r>
      <w:r w:rsidRPr="00DD1DFA">
        <w:rPr>
          <w:noProof/>
        </w:rPr>
        <w:t>r. lub później,</w:t>
      </w:r>
      <w:r w:rsidR="00DD1DFA" w:rsidRPr="00DD1DFA">
        <w:rPr>
          <w:noProof/>
        </w:rPr>
        <w:t xml:space="preserve"> w</w:t>
      </w:r>
      <w:r w:rsidR="00DD1DFA">
        <w:rPr>
          <w:noProof/>
        </w:rPr>
        <w:t> </w:t>
      </w:r>
      <w:r w:rsidR="00DD1DFA" w:rsidRPr="00DD1DFA">
        <w:rPr>
          <w:noProof/>
        </w:rPr>
        <w:t>zal</w:t>
      </w:r>
      <w:r w:rsidRPr="00DD1DFA">
        <w:rPr>
          <w:noProof/>
        </w:rPr>
        <w:t>eżności od czasu przyjęcia wniosku.</w:t>
      </w:r>
    </w:p>
    <w:p w14:paraId="1ADC195A" w14:textId="4B1664DD" w:rsidR="005D44AF" w:rsidRPr="00DD1DFA" w:rsidRDefault="005F7EFA" w:rsidP="005F7EFA">
      <w:pPr>
        <w:pStyle w:val="ManualHeading2"/>
        <w:rPr>
          <w:noProof/>
        </w:rPr>
      </w:pPr>
      <w:bookmarkStart w:id="37" w:name="_Toc514938040"/>
      <w:bookmarkStart w:id="38" w:name="_Toc95761286"/>
      <w:r w:rsidRPr="005F7EFA">
        <w:t>1.7.</w:t>
      </w:r>
      <w:r w:rsidRPr="005F7EFA">
        <w:tab/>
      </w:r>
      <w:r w:rsidR="005D44AF" w:rsidRPr="00DD1DFA">
        <w:rPr>
          <w:noProof/>
        </w:rPr>
        <w:t>Planowane tryby zarządzania</w:t>
      </w:r>
      <w:r w:rsidR="005D44AF" w:rsidRPr="00DD1DFA">
        <w:rPr>
          <w:rStyle w:val="Odwoanieprzypisudolnego"/>
          <w:noProof/>
        </w:rPr>
        <w:footnoteReference w:id="54"/>
      </w:r>
      <w:bookmarkEnd w:id="37"/>
      <w:bookmarkEnd w:id="38"/>
      <w:r w:rsidR="005D44AF" w:rsidRPr="00DD1DFA">
        <w:rPr>
          <w:noProof/>
          <w:vertAlign w:val="superscript"/>
        </w:rPr>
        <w:t xml:space="preserve"> </w:t>
      </w:r>
    </w:p>
    <w:p w14:paraId="08C562FF" w14:textId="77777777" w:rsidR="005D44AF" w:rsidRPr="00DD1DFA" w:rsidRDefault="005D44AF" w:rsidP="005D44AF">
      <w:pPr>
        <w:ind w:left="850"/>
        <w:rPr>
          <w:noProof/>
        </w:rPr>
      </w:pPr>
      <w:r w:rsidRPr="00DD1DFA">
        <w:rPr>
          <w:rFonts w:ascii="Wingdings" w:hAnsi="Wingdings"/>
          <w:noProof/>
          <w:color w:val="341A51"/>
          <w:sz w:val="22"/>
          <w:u w:val="single"/>
        </w:rPr>
        <w:t></w:t>
      </w:r>
      <w:r w:rsidRPr="00DD1DFA">
        <w:rPr>
          <w:i/>
          <w:iCs/>
          <w:noProof/>
        </w:rPr>
        <w:t xml:space="preserve"> </w:t>
      </w:r>
      <w:r w:rsidRPr="00DD1DFA">
        <w:rPr>
          <w:b/>
          <w:bCs/>
          <w:noProof/>
        </w:rPr>
        <w:t>Bezpośrednie zarządzanie</w:t>
      </w:r>
      <w:r w:rsidRPr="00DD1DFA">
        <w:rPr>
          <w:noProof/>
        </w:rPr>
        <w:t xml:space="preserve"> przez Komisję</w:t>
      </w:r>
    </w:p>
    <w:p w14:paraId="17738730" w14:textId="5371493A" w:rsidR="005D44AF" w:rsidRPr="00DD1DFA" w:rsidRDefault="005D44AF" w:rsidP="00F2740F">
      <w:pPr>
        <w:pStyle w:val="Text2"/>
        <w:rPr>
          <w:rFonts w:asciiTheme="minorHAnsi" w:eastAsiaTheme="minorEastAsia" w:hAnsiTheme="minorHAnsi" w:cstheme="minorBidi"/>
          <w:noProof/>
          <w:szCs w:val="24"/>
        </w:rPr>
      </w:pPr>
      <w:r w:rsidRPr="00DD1DFA">
        <w:rPr>
          <w:rFonts w:ascii="Wingdings" w:hAnsi="Wingdings"/>
          <w:noProof/>
          <w:color w:val="341A51"/>
          <w:sz w:val="22"/>
          <w:u w:val="single"/>
        </w:rPr>
        <w:t></w:t>
      </w:r>
      <w:r w:rsidR="00DD1DFA" w:rsidRPr="00DD1DFA">
        <w:rPr>
          <w:noProof/>
        </w:rPr>
        <w:t xml:space="preserve"> w</w:t>
      </w:r>
      <w:r w:rsidR="00DD1DFA">
        <w:rPr>
          <w:noProof/>
        </w:rPr>
        <w:t> </w:t>
      </w:r>
      <w:r w:rsidR="00DD1DFA" w:rsidRPr="00DD1DFA">
        <w:rPr>
          <w:noProof/>
        </w:rPr>
        <w:t>ram</w:t>
      </w:r>
      <w:r w:rsidRPr="00DD1DFA">
        <w:rPr>
          <w:noProof/>
        </w:rPr>
        <w:t>ach jej służb,</w:t>
      </w:r>
      <w:r w:rsidR="00DD1DFA" w:rsidRPr="00DD1DFA">
        <w:rPr>
          <w:noProof/>
        </w:rPr>
        <w:t xml:space="preserve"> w</w:t>
      </w:r>
      <w:r w:rsidR="00DD1DFA">
        <w:rPr>
          <w:noProof/>
        </w:rPr>
        <w:t> </w:t>
      </w:r>
      <w:r w:rsidR="00DD1DFA" w:rsidRPr="00DD1DFA">
        <w:rPr>
          <w:noProof/>
        </w:rPr>
        <w:t>tym</w:t>
      </w:r>
      <w:r w:rsidRPr="00DD1DFA">
        <w:rPr>
          <w:noProof/>
        </w:rPr>
        <w:t xml:space="preserve"> za pośrednictwem jej pracowników</w:t>
      </w:r>
      <w:r w:rsidR="00DD1DFA" w:rsidRPr="00DD1DFA">
        <w:rPr>
          <w:noProof/>
        </w:rPr>
        <w:t xml:space="preserve"> w</w:t>
      </w:r>
      <w:r w:rsidR="00DD1DFA">
        <w:rPr>
          <w:noProof/>
        </w:rPr>
        <w:t> </w:t>
      </w:r>
      <w:r w:rsidR="00DD1DFA" w:rsidRPr="00DD1DFA">
        <w:rPr>
          <w:noProof/>
        </w:rPr>
        <w:t>del</w:t>
      </w:r>
      <w:r w:rsidRPr="00DD1DFA">
        <w:rPr>
          <w:noProof/>
        </w:rPr>
        <w:t xml:space="preserve">egaturach Unii; </w:t>
      </w:r>
    </w:p>
    <w:p w14:paraId="4615F8E8" w14:textId="77777777" w:rsidR="005D44AF" w:rsidRPr="00DD1DFA" w:rsidRDefault="005D44AF" w:rsidP="00F2740F">
      <w:pPr>
        <w:pStyle w:val="Text2"/>
        <w:rPr>
          <w:noProof/>
        </w:rPr>
      </w:pPr>
      <w:r w:rsidRPr="00DD1DFA">
        <w:rPr>
          <w:rFonts w:ascii="Wingdings" w:hAnsi="Wingdings"/>
          <w:noProof/>
        </w:rPr>
        <w:t></w:t>
      </w:r>
      <w:r w:rsidRPr="00DD1DFA">
        <w:rPr>
          <w:noProof/>
        </w:rPr>
        <w:t xml:space="preserve"> przez agencje wykonawcze; </w:t>
      </w:r>
    </w:p>
    <w:p w14:paraId="53FAA629" w14:textId="779ED441" w:rsidR="005D44AF" w:rsidRPr="00DD1DFA" w:rsidRDefault="005D44AF" w:rsidP="005D44AF">
      <w:pPr>
        <w:ind w:left="130" w:firstLine="720"/>
        <w:rPr>
          <w:rFonts w:eastAsia="Calibri"/>
          <w:noProof/>
          <w:szCs w:val="24"/>
        </w:rPr>
      </w:pPr>
      <w:r w:rsidRPr="00DD1DFA">
        <w:rPr>
          <w:rFonts w:ascii="Wingdings" w:hAnsi="Wingdings"/>
          <w:noProof/>
        </w:rPr>
        <w:t></w:t>
      </w:r>
      <w:r w:rsidRPr="00DD1DFA">
        <w:rPr>
          <w:b/>
          <w:bCs/>
          <w:i/>
          <w:iCs/>
          <w:noProof/>
        </w:rPr>
        <w:t xml:space="preserve"> </w:t>
      </w:r>
      <w:r w:rsidRPr="00DD1DFA">
        <w:rPr>
          <w:b/>
          <w:bCs/>
          <w:noProof/>
        </w:rPr>
        <w:t>Zarządzanie dzielone</w:t>
      </w:r>
      <w:r w:rsidR="00DD1DFA" w:rsidRPr="00DD1DFA">
        <w:rPr>
          <w:noProof/>
        </w:rPr>
        <w:t xml:space="preserve"> z</w:t>
      </w:r>
      <w:r w:rsidR="00DD1DFA">
        <w:rPr>
          <w:noProof/>
        </w:rPr>
        <w:t> </w:t>
      </w:r>
      <w:r w:rsidR="00DD1DFA" w:rsidRPr="00DD1DFA">
        <w:rPr>
          <w:noProof/>
        </w:rPr>
        <w:t>pań</w:t>
      </w:r>
      <w:r w:rsidRPr="00DD1DFA">
        <w:rPr>
          <w:noProof/>
        </w:rPr>
        <w:t xml:space="preserve">stwami członkowskimi </w:t>
      </w:r>
    </w:p>
    <w:p w14:paraId="51C5507B" w14:textId="6267B4A7" w:rsidR="005D44AF" w:rsidRPr="00DD1DFA" w:rsidRDefault="005D44AF" w:rsidP="005D44AF">
      <w:pPr>
        <w:ind w:left="850"/>
        <w:rPr>
          <w:noProof/>
        </w:rPr>
      </w:pPr>
      <w:r w:rsidRPr="00DD1DFA">
        <w:rPr>
          <w:rFonts w:ascii="Wingdings" w:hAnsi="Wingdings"/>
          <w:noProof/>
        </w:rPr>
        <w:t></w:t>
      </w:r>
      <w:r w:rsidRPr="00DD1DFA">
        <w:rPr>
          <w:i/>
          <w:noProof/>
        </w:rPr>
        <w:t xml:space="preserve"> </w:t>
      </w:r>
      <w:r w:rsidRPr="00DD1DFA">
        <w:rPr>
          <w:b/>
          <w:noProof/>
        </w:rPr>
        <w:t>Zarządzanie pośrednie</w:t>
      </w:r>
      <w:r w:rsidRPr="00DD1DFA">
        <w:rPr>
          <w:noProof/>
        </w:rPr>
        <w:t xml:space="preserve"> poprzez przekazanie zadań związanych</w:t>
      </w:r>
      <w:r w:rsidR="00DD1DFA" w:rsidRPr="00DD1DFA">
        <w:rPr>
          <w:noProof/>
        </w:rPr>
        <w:t xml:space="preserve"> z</w:t>
      </w:r>
      <w:r w:rsidR="00DD1DFA">
        <w:rPr>
          <w:noProof/>
        </w:rPr>
        <w:t> </w:t>
      </w:r>
      <w:r w:rsidR="00DD1DFA" w:rsidRPr="00DD1DFA">
        <w:rPr>
          <w:noProof/>
        </w:rPr>
        <w:t>wyk</w:t>
      </w:r>
      <w:r w:rsidRPr="00DD1DFA">
        <w:rPr>
          <w:noProof/>
        </w:rPr>
        <w:t>onaniem budżetu:</w:t>
      </w:r>
    </w:p>
    <w:p w14:paraId="19AD5381" w14:textId="77777777" w:rsidR="005D44AF" w:rsidRPr="00DD1DFA" w:rsidRDefault="005D44AF" w:rsidP="00F2740F">
      <w:pPr>
        <w:pStyle w:val="Text2"/>
        <w:rPr>
          <w:noProof/>
        </w:rPr>
      </w:pPr>
      <w:r w:rsidRPr="00DD1DFA">
        <w:rPr>
          <w:rFonts w:ascii="Wingdings" w:hAnsi="Wingdings"/>
          <w:noProof/>
        </w:rPr>
        <w:t></w:t>
      </w:r>
      <w:r w:rsidRPr="00DD1DFA">
        <w:rPr>
          <w:noProof/>
        </w:rPr>
        <w:t xml:space="preserve"> państwom trzecim lub organom przez nie wyznaczonym;</w:t>
      </w:r>
    </w:p>
    <w:p w14:paraId="29694705" w14:textId="22C6FDEB" w:rsidR="005D44AF" w:rsidRPr="00DD1DFA" w:rsidRDefault="005D44AF" w:rsidP="00F2740F">
      <w:pPr>
        <w:pStyle w:val="Text2"/>
        <w:rPr>
          <w:noProof/>
        </w:rPr>
      </w:pPr>
      <w:r w:rsidRPr="00DD1DFA">
        <w:rPr>
          <w:rFonts w:ascii="Wingdings" w:hAnsi="Wingdings"/>
          <w:noProof/>
        </w:rPr>
        <w:t></w:t>
      </w:r>
      <w:r w:rsidRPr="00DD1DFA">
        <w:rPr>
          <w:noProof/>
        </w:rPr>
        <w:t xml:space="preserve"> organizacjom międzynarodowym</w:t>
      </w:r>
      <w:r w:rsidR="00DD1DFA" w:rsidRPr="00DD1DFA">
        <w:rPr>
          <w:noProof/>
        </w:rPr>
        <w:t xml:space="preserve"> i</w:t>
      </w:r>
      <w:r w:rsidR="00DD1DFA">
        <w:rPr>
          <w:noProof/>
        </w:rPr>
        <w:t> </w:t>
      </w:r>
      <w:r w:rsidR="00DD1DFA" w:rsidRPr="00DD1DFA">
        <w:rPr>
          <w:noProof/>
        </w:rPr>
        <w:t>ich</w:t>
      </w:r>
      <w:r w:rsidRPr="00DD1DFA">
        <w:rPr>
          <w:noProof/>
        </w:rPr>
        <w:t xml:space="preserve"> agencjom (należy wyszczególnić);</w:t>
      </w:r>
    </w:p>
    <w:p w14:paraId="46D64569" w14:textId="77777777" w:rsidR="005D44AF" w:rsidRPr="00DD1DFA" w:rsidRDefault="005D44AF" w:rsidP="00F2740F">
      <w:pPr>
        <w:pStyle w:val="Text2"/>
        <w:rPr>
          <w:noProof/>
        </w:rPr>
      </w:pPr>
      <w:r w:rsidRPr="00DD1DFA">
        <w:rPr>
          <w:rFonts w:ascii="Wingdings" w:hAnsi="Wingdings"/>
          <w:noProof/>
        </w:rPr>
        <w:t></w:t>
      </w:r>
      <w:r w:rsidRPr="00DD1DFA">
        <w:rPr>
          <w:noProof/>
        </w:rPr>
        <w:t xml:space="preserve"> EBI oraz Europejskiemu Funduszowi Inwestycyjnemu;</w:t>
      </w:r>
    </w:p>
    <w:p w14:paraId="2531A8A2" w14:textId="7C7F2512" w:rsidR="005D44AF" w:rsidRPr="00DD1DFA" w:rsidRDefault="005D44AF" w:rsidP="00F2740F">
      <w:pPr>
        <w:pStyle w:val="Text2"/>
        <w:rPr>
          <w:noProof/>
        </w:rPr>
      </w:pPr>
      <w:r w:rsidRPr="00DD1DFA">
        <w:rPr>
          <w:rFonts w:ascii="Wingdings" w:hAnsi="Wingdings"/>
          <w:noProof/>
        </w:rPr>
        <w:t></w:t>
      </w:r>
      <w:r w:rsidRPr="00DD1DFA">
        <w:rPr>
          <w:noProof/>
        </w:rPr>
        <w:t xml:space="preserve"> organom,</w:t>
      </w:r>
      <w:r w:rsidR="00DD1DFA" w:rsidRPr="00DD1DFA">
        <w:rPr>
          <w:noProof/>
        </w:rPr>
        <w:t xml:space="preserve"> o</w:t>
      </w:r>
      <w:r w:rsidR="00DD1DFA">
        <w:rPr>
          <w:noProof/>
        </w:rPr>
        <w:t> </w:t>
      </w:r>
      <w:r w:rsidR="00DD1DFA" w:rsidRPr="00DD1DFA">
        <w:rPr>
          <w:noProof/>
        </w:rPr>
        <w:t>któ</w:t>
      </w:r>
      <w:r w:rsidRPr="00DD1DFA">
        <w:rPr>
          <w:noProof/>
        </w:rPr>
        <w:t>rych mowa</w:t>
      </w:r>
      <w:r w:rsidR="00DD1DFA" w:rsidRPr="00DD1DFA">
        <w:rPr>
          <w:noProof/>
        </w:rPr>
        <w:t xml:space="preserve"> w</w:t>
      </w:r>
      <w:r w:rsidR="00DD1DFA">
        <w:rPr>
          <w:noProof/>
        </w:rPr>
        <w:t> </w:t>
      </w:r>
      <w:r w:rsidR="00DD1DFA" w:rsidRPr="00DD1DFA">
        <w:rPr>
          <w:noProof/>
        </w:rPr>
        <w:t>art</w:t>
      </w:r>
      <w:r w:rsidRPr="00DD1DFA">
        <w:rPr>
          <w:noProof/>
        </w:rPr>
        <w:t>.</w:t>
      </w:r>
      <w:r w:rsidR="00DD1DFA" w:rsidRPr="00DD1DFA">
        <w:rPr>
          <w:noProof/>
        </w:rPr>
        <w:t> </w:t>
      </w:r>
      <w:r w:rsidRPr="00DD1DFA">
        <w:rPr>
          <w:noProof/>
        </w:rPr>
        <w:t>70</w:t>
      </w:r>
      <w:r w:rsidR="00DD1DFA" w:rsidRPr="00DD1DFA">
        <w:rPr>
          <w:noProof/>
        </w:rPr>
        <w:t xml:space="preserve"> i</w:t>
      </w:r>
      <w:r w:rsidR="00DD1DFA">
        <w:rPr>
          <w:noProof/>
        </w:rPr>
        <w:t> </w:t>
      </w:r>
      <w:r w:rsidR="00DD1DFA" w:rsidRPr="00DD1DFA">
        <w:rPr>
          <w:noProof/>
        </w:rPr>
        <w:t>7</w:t>
      </w:r>
      <w:r w:rsidRPr="00DD1DFA">
        <w:rPr>
          <w:noProof/>
        </w:rPr>
        <w:t>1 rozporządzenia finansowego;</w:t>
      </w:r>
    </w:p>
    <w:p w14:paraId="7D1F205F" w14:textId="77777777" w:rsidR="005D44AF" w:rsidRPr="00DD1DFA" w:rsidRDefault="005D44AF" w:rsidP="00F2740F">
      <w:pPr>
        <w:pStyle w:val="Text2"/>
        <w:rPr>
          <w:noProof/>
        </w:rPr>
      </w:pPr>
      <w:r w:rsidRPr="00DD1DFA">
        <w:rPr>
          <w:rFonts w:ascii="Wingdings" w:hAnsi="Wingdings"/>
          <w:noProof/>
        </w:rPr>
        <w:t></w:t>
      </w:r>
      <w:r w:rsidRPr="00DD1DFA">
        <w:rPr>
          <w:noProof/>
        </w:rPr>
        <w:t xml:space="preserve"> organom prawa publicznego;</w:t>
      </w:r>
    </w:p>
    <w:p w14:paraId="2E29CE54" w14:textId="61C0C7F4" w:rsidR="005D44AF" w:rsidRPr="00DD1DFA" w:rsidRDefault="005D44AF" w:rsidP="00F2740F">
      <w:pPr>
        <w:pStyle w:val="Text2"/>
        <w:rPr>
          <w:noProof/>
        </w:rPr>
      </w:pPr>
      <w:r w:rsidRPr="00DD1DFA">
        <w:rPr>
          <w:rFonts w:ascii="Wingdings" w:hAnsi="Wingdings"/>
          <w:noProof/>
        </w:rPr>
        <w:t></w:t>
      </w:r>
      <w:r w:rsidRPr="00DD1DFA">
        <w:rPr>
          <w:noProof/>
        </w:rPr>
        <w:t xml:space="preserve"> podmiotom podlegającym prawu prywatnemu, które świadczą usługi użyteczności publicznej,</w:t>
      </w:r>
      <w:r w:rsidR="00DD1DFA" w:rsidRPr="00DD1DFA">
        <w:rPr>
          <w:noProof/>
        </w:rPr>
        <w:t xml:space="preserve"> o</w:t>
      </w:r>
      <w:r w:rsidR="00DD1DFA">
        <w:rPr>
          <w:noProof/>
        </w:rPr>
        <w:t> </w:t>
      </w:r>
      <w:r w:rsidR="00DD1DFA" w:rsidRPr="00DD1DFA">
        <w:rPr>
          <w:noProof/>
        </w:rPr>
        <w:t>ile</w:t>
      </w:r>
      <w:r w:rsidRPr="00DD1DFA">
        <w:rPr>
          <w:noProof/>
        </w:rPr>
        <w:t xml:space="preserve"> zapewniają one odpowiednie gwarancje finansowe;</w:t>
      </w:r>
    </w:p>
    <w:p w14:paraId="14DD4310" w14:textId="77777777" w:rsidR="005D44AF" w:rsidRPr="00DD1DFA" w:rsidRDefault="005D44AF" w:rsidP="00F2740F">
      <w:pPr>
        <w:pStyle w:val="Text2"/>
        <w:rPr>
          <w:noProof/>
        </w:rPr>
      </w:pPr>
      <w:r w:rsidRPr="00DD1DFA">
        <w:rPr>
          <w:rFonts w:ascii="Wingdings" w:hAnsi="Wingdings"/>
          <w:noProof/>
        </w:rPr>
        <w:t></w:t>
      </w:r>
      <w:r w:rsidRPr="00DD1DFA">
        <w:rPr>
          <w:noProof/>
        </w:rPr>
        <w:t xml:space="preserve"> podmiotom podlegającym prawu prywatnemu państwa członkowskiego, którym powierzono realizację partnerstwa publiczno-prywatnego oraz które zapewniają odpowiednie gwarancje finansowe;</w:t>
      </w:r>
    </w:p>
    <w:p w14:paraId="0762686D" w14:textId="498E5F85" w:rsidR="005D44AF" w:rsidRPr="00DD1DFA" w:rsidRDefault="005D44AF" w:rsidP="00F2740F">
      <w:pPr>
        <w:pStyle w:val="Text2"/>
        <w:rPr>
          <w:noProof/>
        </w:rPr>
      </w:pPr>
      <w:r w:rsidRPr="00DD1DFA">
        <w:rPr>
          <w:rFonts w:ascii="Wingdings" w:hAnsi="Wingdings"/>
          <w:noProof/>
        </w:rPr>
        <w:t></w:t>
      </w:r>
      <w:r w:rsidRPr="00DD1DFA">
        <w:rPr>
          <w:noProof/>
        </w:rPr>
        <w:t xml:space="preserve"> osobom odpowiedzialnym za wykonanie określonych działań</w:t>
      </w:r>
      <w:r w:rsidR="00DD1DFA" w:rsidRPr="00DD1DFA">
        <w:rPr>
          <w:noProof/>
        </w:rPr>
        <w:t xml:space="preserve"> w</w:t>
      </w:r>
      <w:r w:rsidR="00DD1DFA">
        <w:rPr>
          <w:noProof/>
        </w:rPr>
        <w:t> </w:t>
      </w:r>
      <w:r w:rsidR="00DD1DFA" w:rsidRPr="00DD1DFA">
        <w:rPr>
          <w:noProof/>
        </w:rPr>
        <w:t>dzi</w:t>
      </w:r>
      <w:r w:rsidRPr="00DD1DFA">
        <w:rPr>
          <w:noProof/>
        </w:rPr>
        <w:t>edzinie wspólnej polityki zagranicznej</w:t>
      </w:r>
      <w:r w:rsidR="00DD1DFA" w:rsidRPr="00DD1DFA">
        <w:rPr>
          <w:noProof/>
        </w:rPr>
        <w:t xml:space="preserve"> i</w:t>
      </w:r>
      <w:r w:rsidR="00DD1DFA">
        <w:rPr>
          <w:noProof/>
        </w:rPr>
        <w:t> </w:t>
      </w:r>
      <w:r w:rsidR="00DD1DFA" w:rsidRPr="00DD1DFA">
        <w:rPr>
          <w:noProof/>
        </w:rPr>
        <w:t>bez</w:t>
      </w:r>
      <w:r w:rsidRPr="00DD1DFA">
        <w:rPr>
          <w:noProof/>
        </w:rPr>
        <w:t>pieczeństwa na mocy tytułu V Traktatu</w:t>
      </w:r>
      <w:r w:rsidR="00DD1DFA" w:rsidRPr="00DD1DFA">
        <w:rPr>
          <w:noProof/>
        </w:rPr>
        <w:t xml:space="preserve"> o</w:t>
      </w:r>
      <w:r w:rsidR="00DD1DFA">
        <w:rPr>
          <w:noProof/>
        </w:rPr>
        <w:t> </w:t>
      </w:r>
      <w:r w:rsidR="00DD1DFA" w:rsidRPr="00DD1DFA">
        <w:rPr>
          <w:noProof/>
        </w:rPr>
        <w:t>Uni</w:t>
      </w:r>
      <w:r w:rsidRPr="00DD1DFA">
        <w:rPr>
          <w:noProof/>
        </w:rPr>
        <w:t>i Europejskiej oraz określonym we właściwym podstawowym akcie prawnym.</w:t>
      </w:r>
    </w:p>
    <w:p w14:paraId="654CC622" w14:textId="36CCC079" w:rsidR="005D44AF" w:rsidRPr="00DD1DFA" w:rsidRDefault="005D44AF" w:rsidP="005D44AF">
      <w:pPr>
        <w:tabs>
          <w:tab w:val="num" w:pos="1134"/>
        </w:tabs>
        <w:ind w:left="1134" w:hanging="283"/>
        <w:rPr>
          <w:i/>
          <w:iCs/>
          <w:noProof/>
          <w:sz w:val="18"/>
          <w:szCs w:val="18"/>
          <w:u w:val="single"/>
        </w:rPr>
      </w:pPr>
      <w:r w:rsidRPr="00DD1DFA">
        <w:rPr>
          <w:i/>
          <w:iCs/>
          <w:noProof/>
          <w:sz w:val="18"/>
          <w:szCs w:val="18"/>
        </w:rPr>
        <w:t>W przypadku wskazania więcej niż jednego trybu należy podać dodatkowe informacje</w:t>
      </w:r>
      <w:r w:rsidR="00DD1DFA" w:rsidRPr="00DD1DFA">
        <w:rPr>
          <w:i/>
          <w:iCs/>
          <w:noProof/>
          <w:sz w:val="18"/>
          <w:szCs w:val="18"/>
        </w:rPr>
        <w:t xml:space="preserve"> w</w:t>
      </w:r>
      <w:r w:rsidR="00DD1DFA">
        <w:rPr>
          <w:i/>
          <w:iCs/>
          <w:noProof/>
          <w:sz w:val="18"/>
          <w:szCs w:val="18"/>
        </w:rPr>
        <w:t> </w:t>
      </w:r>
      <w:r w:rsidR="00DD1DFA" w:rsidRPr="00DD1DFA">
        <w:rPr>
          <w:i/>
          <w:iCs/>
          <w:noProof/>
          <w:sz w:val="18"/>
          <w:szCs w:val="18"/>
        </w:rPr>
        <w:t>czę</w:t>
      </w:r>
      <w:r w:rsidRPr="00DD1DFA">
        <w:rPr>
          <w:i/>
          <w:iCs/>
          <w:noProof/>
          <w:sz w:val="18"/>
          <w:szCs w:val="18"/>
        </w:rPr>
        <w:t>ści „Uwagi”.</w:t>
      </w:r>
    </w:p>
    <w:p w14:paraId="4D59EA75" w14:textId="77777777" w:rsidR="005D44AF" w:rsidRPr="00DD1DFA" w:rsidRDefault="005D44AF" w:rsidP="005D44AF">
      <w:pPr>
        <w:rPr>
          <w:noProof/>
        </w:rPr>
      </w:pPr>
      <w:r w:rsidRPr="00DD1DFA">
        <w:rPr>
          <w:noProof/>
        </w:rPr>
        <w:t xml:space="preserve">Uwagi </w:t>
      </w:r>
    </w:p>
    <w:p w14:paraId="0D8457C2" w14:textId="77777777" w:rsidR="005D44AF" w:rsidRPr="00DD1DFA" w:rsidRDefault="005D44AF" w:rsidP="005D44AF">
      <w:pPr>
        <w:rPr>
          <w:noProof/>
        </w:rPr>
      </w:pPr>
      <w:r w:rsidRPr="00DD1DFA">
        <w:rPr>
          <w:noProof/>
        </w:rPr>
        <w:t>Nie dotyczy</w:t>
      </w:r>
    </w:p>
    <w:p w14:paraId="29276B5E" w14:textId="77777777" w:rsidR="005D44AF" w:rsidRPr="00DD1DFA" w:rsidRDefault="005D44AF" w:rsidP="005D44AF">
      <w:pPr>
        <w:rPr>
          <w:rFonts w:eastAsia="Calibri"/>
          <w:noProof/>
          <w:color w:val="0000FF"/>
          <w:szCs w:val="24"/>
          <w:lang w:eastAsia="en-GB"/>
        </w:rPr>
        <w:sectPr w:rsidR="005D44AF" w:rsidRPr="00DD1DFA" w:rsidSect="0037392B">
          <w:pgSz w:w="11907" w:h="16840" w:code="9"/>
          <w:pgMar w:top="1134" w:right="1418" w:bottom="1134" w:left="1418" w:header="709" w:footer="709" w:gutter="0"/>
          <w:cols w:space="708"/>
          <w:docGrid w:linePitch="360"/>
        </w:sectPr>
      </w:pPr>
    </w:p>
    <w:p w14:paraId="684ED056" w14:textId="71D31D42" w:rsidR="005D44AF" w:rsidRPr="00DD1DFA" w:rsidRDefault="005F7EFA" w:rsidP="005F7EFA">
      <w:pPr>
        <w:pStyle w:val="ManualHeading1"/>
        <w:rPr>
          <w:noProof/>
        </w:rPr>
      </w:pPr>
      <w:bookmarkStart w:id="39" w:name="_Toc514938041"/>
      <w:bookmarkStart w:id="40" w:name="_Toc95761287"/>
      <w:r w:rsidRPr="005F7EFA">
        <w:t>2.</w:t>
      </w:r>
      <w:r w:rsidRPr="005F7EFA">
        <w:tab/>
      </w:r>
      <w:r w:rsidR="005D44AF" w:rsidRPr="00DD1DFA">
        <w:rPr>
          <w:noProof/>
        </w:rPr>
        <w:t>ŚRODKI ZARZĄDZANIA</w:t>
      </w:r>
      <w:bookmarkEnd w:id="39"/>
      <w:bookmarkEnd w:id="40"/>
      <w:r w:rsidR="005D44AF" w:rsidRPr="00DD1DFA">
        <w:rPr>
          <w:noProof/>
        </w:rPr>
        <w:t xml:space="preserve"> </w:t>
      </w:r>
    </w:p>
    <w:p w14:paraId="329B4F41" w14:textId="338AE07E" w:rsidR="005D44AF" w:rsidRPr="00DD1DFA" w:rsidRDefault="005F7EFA" w:rsidP="005F7EFA">
      <w:pPr>
        <w:pStyle w:val="ManualHeading2"/>
        <w:rPr>
          <w:noProof/>
        </w:rPr>
      </w:pPr>
      <w:bookmarkStart w:id="41" w:name="_Toc514938042"/>
      <w:bookmarkStart w:id="42" w:name="_Toc95761288"/>
      <w:r w:rsidRPr="005F7EFA">
        <w:t>2.1.</w:t>
      </w:r>
      <w:r w:rsidRPr="005F7EFA">
        <w:tab/>
      </w:r>
      <w:r w:rsidR="005D44AF" w:rsidRPr="00DD1DFA">
        <w:rPr>
          <w:noProof/>
        </w:rPr>
        <w:t>Zasady nadzoru</w:t>
      </w:r>
      <w:r w:rsidR="00DD1DFA" w:rsidRPr="00DD1DFA">
        <w:rPr>
          <w:noProof/>
        </w:rPr>
        <w:t xml:space="preserve"> i</w:t>
      </w:r>
      <w:r w:rsidR="00DD1DFA">
        <w:rPr>
          <w:noProof/>
        </w:rPr>
        <w:t> </w:t>
      </w:r>
      <w:r w:rsidR="00DD1DFA" w:rsidRPr="00DD1DFA">
        <w:rPr>
          <w:noProof/>
        </w:rPr>
        <w:t>spr</w:t>
      </w:r>
      <w:r w:rsidR="005D44AF" w:rsidRPr="00DD1DFA">
        <w:rPr>
          <w:noProof/>
        </w:rPr>
        <w:t>awozdawczości</w:t>
      </w:r>
      <w:bookmarkEnd w:id="41"/>
      <w:bookmarkEnd w:id="42"/>
      <w:r w:rsidR="005D44AF" w:rsidRPr="00DD1DFA">
        <w:rPr>
          <w:noProof/>
        </w:rPr>
        <w:t xml:space="preserve"> </w:t>
      </w:r>
    </w:p>
    <w:p w14:paraId="0B3C4C8E" w14:textId="10AAD333" w:rsidR="005D44AF" w:rsidRPr="00DD1DFA" w:rsidRDefault="005D44AF" w:rsidP="005D44AF">
      <w:pPr>
        <w:ind w:left="850"/>
        <w:rPr>
          <w:i/>
          <w:noProof/>
          <w:sz w:val="20"/>
        </w:rPr>
      </w:pPr>
      <w:r w:rsidRPr="00DD1DFA">
        <w:rPr>
          <w:i/>
          <w:noProof/>
          <w:sz w:val="20"/>
        </w:rPr>
        <w:t>Określić częstotliwość</w:t>
      </w:r>
      <w:r w:rsidR="00DD1DFA" w:rsidRPr="00DD1DFA">
        <w:rPr>
          <w:i/>
          <w:noProof/>
          <w:sz w:val="20"/>
        </w:rPr>
        <w:t xml:space="preserve"> i</w:t>
      </w:r>
      <w:r w:rsidR="00DD1DFA">
        <w:rPr>
          <w:i/>
          <w:noProof/>
          <w:sz w:val="20"/>
        </w:rPr>
        <w:t> </w:t>
      </w:r>
      <w:r w:rsidR="00DD1DFA" w:rsidRPr="00DD1DFA">
        <w:rPr>
          <w:i/>
          <w:noProof/>
          <w:sz w:val="20"/>
        </w:rPr>
        <w:t>war</w:t>
      </w:r>
      <w:r w:rsidRPr="00DD1DFA">
        <w:rPr>
          <w:i/>
          <w:noProof/>
          <w:sz w:val="20"/>
        </w:rPr>
        <w:t>unki</w:t>
      </w:r>
    </w:p>
    <w:p w14:paraId="23519232" w14:textId="4201C5A5"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Rozporządzenie może być poddawane ocenie okresowo. Komisja przedstawi sprawozdanie</w:t>
      </w:r>
      <w:r w:rsidR="00DD1DFA" w:rsidRPr="00DD1DFA">
        <w:rPr>
          <w:noProof/>
        </w:rPr>
        <w:t xml:space="preserve"> z</w:t>
      </w:r>
      <w:r w:rsidR="00DD1DFA">
        <w:rPr>
          <w:noProof/>
        </w:rPr>
        <w:t> </w:t>
      </w:r>
      <w:r w:rsidR="00DD1DFA" w:rsidRPr="00DD1DFA">
        <w:rPr>
          <w:noProof/>
        </w:rPr>
        <w:t>wdr</w:t>
      </w:r>
      <w:r w:rsidRPr="00DD1DFA">
        <w:rPr>
          <w:noProof/>
        </w:rPr>
        <w:t>ażania nowego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nie wcześniej niż 8 lat po jego wejściu</w:t>
      </w:r>
      <w:r w:rsidR="00DD1DFA" w:rsidRPr="00DD1DFA">
        <w:rPr>
          <w:noProof/>
        </w:rPr>
        <w:t xml:space="preserve"> w</w:t>
      </w:r>
      <w:r w:rsidR="00DD1DFA">
        <w:rPr>
          <w:noProof/>
        </w:rPr>
        <w:t> </w:t>
      </w:r>
      <w:r w:rsidR="00DD1DFA" w:rsidRPr="00DD1DFA">
        <w:rPr>
          <w:noProof/>
        </w:rPr>
        <w:t>życ</w:t>
      </w:r>
      <w:r w:rsidRPr="00DD1DFA">
        <w:rPr>
          <w:noProof/>
        </w:rPr>
        <w:t>ie, co pozwoli na urzeczywistnienie się rezultatów</w:t>
      </w:r>
      <w:r w:rsidR="00DD1DFA" w:rsidRPr="00DD1DFA">
        <w:rPr>
          <w:noProof/>
        </w:rPr>
        <w:t xml:space="preserve"> i</w:t>
      </w:r>
      <w:r w:rsidR="00DD1DFA">
        <w:rPr>
          <w:noProof/>
        </w:rPr>
        <w:t> </w:t>
      </w:r>
      <w:r w:rsidR="00DD1DFA" w:rsidRPr="00DD1DFA">
        <w:rPr>
          <w:noProof/>
        </w:rPr>
        <w:t>sku</w:t>
      </w:r>
      <w:r w:rsidRPr="00DD1DFA">
        <w:rPr>
          <w:noProof/>
        </w:rPr>
        <w:t>tków rewizji.</w:t>
      </w:r>
    </w:p>
    <w:p w14:paraId="0B623AE5" w14:textId="058FFA24"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Takie sprawozdanie oceniające powinno</w:t>
      </w:r>
      <w:r w:rsidR="00DD1DFA" w:rsidRPr="00DD1DFA">
        <w:rPr>
          <w:noProof/>
        </w:rPr>
        <w:t xml:space="preserve"> w</w:t>
      </w:r>
      <w:r w:rsidR="00DD1DFA">
        <w:rPr>
          <w:noProof/>
        </w:rPr>
        <w:t> </w:t>
      </w:r>
      <w:r w:rsidR="00DD1DFA" w:rsidRPr="00DD1DFA">
        <w:rPr>
          <w:noProof/>
        </w:rPr>
        <w:t>szc</w:t>
      </w:r>
      <w:r w:rsidRPr="00DD1DFA">
        <w:rPr>
          <w:noProof/>
        </w:rPr>
        <w:t>zególności zawierać ocenę skuteczności zmienionych przepisów – ze szczególnym, ale nie wyłącznym, uwzględnieniem kwestii objętych wskaźnikami wymienionymi</w:t>
      </w:r>
      <w:r w:rsidR="00DD1DFA" w:rsidRPr="00DD1DFA">
        <w:rPr>
          <w:noProof/>
        </w:rPr>
        <w:t xml:space="preserve"> w</w:t>
      </w:r>
      <w:r w:rsidR="00DD1DFA">
        <w:rPr>
          <w:noProof/>
        </w:rPr>
        <w:t> </w:t>
      </w:r>
      <w:r w:rsidR="00DD1DFA" w:rsidRPr="00DD1DFA">
        <w:rPr>
          <w:noProof/>
        </w:rPr>
        <w:t>czę</w:t>
      </w:r>
      <w:r w:rsidRPr="00DD1DFA">
        <w:rPr>
          <w:noProof/>
        </w:rPr>
        <w:t>ści 1.4.4 –</w:t>
      </w:r>
      <w:r w:rsidR="00DD1DFA" w:rsidRPr="00DD1DFA">
        <w:rPr>
          <w:noProof/>
        </w:rPr>
        <w:t xml:space="preserve"> a</w:t>
      </w:r>
      <w:r w:rsidR="00DD1DFA">
        <w:rPr>
          <w:noProof/>
        </w:rPr>
        <w:t> </w:t>
      </w:r>
      <w:r w:rsidR="00DD1DFA" w:rsidRPr="00DD1DFA">
        <w:rPr>
          <w:noProof/>
        </w:rPr>
        <w:t>tak</w:t>
      </w:r>
      <w:r w:rsidRPr="00DD1DFA">
        <w:rPr>
          <w:noProof/>
        </w:rPr>
        <w:t>że ich efektywności, adekwatności, spójności</w:t>
      </w:r>
      <w:r w:rsidR="00DD1DFA" w:rsidRPr="00DD1DFA">
        <w:rPr>
          <w:noProof/>
        </w:rPr>
        <w:t xml:space="preserve"> i</w:t>
      </w:r>
      <w:r w:rsidR="00DD1DFA">
        <w:rPr>
          <w:noProof/>
        </w:rPr>
        <w:t> </w:t>
      </w:r>
      <w:r w:rsidR="00DD1DFA" w:rsidRPr="00DD1DFA">
        <w:rPr>
          <w:noProof/>
        </w:rPr>
        <w:t>war</w:t>
      </w:r>
      <w:r w:rsidRPr="00DD1DFA">
        <w:rPr>
          <w:noProof/>
        </w:rPr>
        <w:t>tości dodanej dla UE.</w:t>
      </w:r>
    </w:p>
    <w:p w14:paraId="527A158B" w14:textId="5E0CD45E"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Ponadto Komisja może przeprowadzić kilka działań związanych</w:t>
      </w:r>
      <w:r w:rsidR="00DD1DFA" w:rsidRPr="00DD1DFA">
        <w:rPr>
          <w:noProof/>
        </w:rPr>
        <w:t xml:space="preserve"> z</w:t>
      </w:r>
      <w:r w:rsidR="00DD1DFA">
        <w:rPr>
          <w:noProof/>
        </w:rPr>
        <w:t> </w:t>
      </w:r>
      <w:r w:rsidR="00DD1DFA" w:rsidRPr="00DD1DFA">
        <w:rPr>
          <w:noProof/>
        </w:rPr>
        <w:t>mon</w:t>
      </w:r>
      <w:r w:rsidRPr="00DD1DFA">
        <w:rPr>
          <w:noProof/>
        </w:rPr>
        <w:t>itorowaniem.</w:t>
      </w:r>
    </w:p>
    <w:p w14:paraId="309951BC" w14:textId="3897D31D" w:rsidR="005D44AF" w:rsidRPr="00DD1DFA" w:rsidRDefault="005F7EFA" w:rsidP="005F7EFA">
      <w:pPr>
        <w:pStyle w:val="ManualHeading2"/>
        <w:rPr>
          <w:noProof/>
        </w:rPr>
      </w:pPr>
      <w:bookmarkStart w:id="43" w:name="_Toc514938045"/>
      <w:bookmarkStart w:id="44" w:name="_Toc95761289"/>
      <w:r w:rsidRPr="005F7EFA">
        <w:t>2.2.</w:t>
      </w:r>
      <w:r w:rsidRPr="005F7EFA">
        <w:tab/>
      </w:r>
      <w:r w:rsidR="005D44AF" w:rsidRPr="00DD1DFA">
        <w:rPr>
          <w:noProof/>
        </w:rPr>
        <w:t>System zarządzania</w:t>
      </w:r>
      <w:r w:rsidR="00DD1DFA" w:rsidRPr="00DD1DFA">
        <w:rPr>
          <w:noProof/>
        </w:rPr>
        <w:t xml:space="preserve"> i</w:t>
      </w:r>
      <w:r w:rsidR="00DD1DFA">
        <w:rPr>
          <w:noProof/>
        </w:rPr>
        <w:t> </w:t>
      </w:r>
      <w:r w:rsidR="00DD1DFA" w:rsidRPr="00DD1DFA">
        <w:rPr>
          <w:noProof/>
        </w:rPr>
        <w:t>kon</w:t>
      </w:r>
      <w:r w:rsidR="005D44AF" w:rsidRPr="00DD1DFA">
        <w:rPr>
          <w:noProof/>
        </w:rPr>
        <w:t>troli</w:t>
      </w:r>
      <w:bookmarkEnd w:id="43"/>
      <w:bookmarkEnd w:id="44"/>
      <w:r w:rsidR="005D44AF" w:rsidRPr="00DD1DFA">
        <w:rPr>
          <w:noProof/>
        </w:rPr>
        <w:t xml:space="preserve"> </w:t>
      </w:r>
    </w:p>
    <w:p w14:paraId="04E163C8" w14:textId="0D23FC6E" w:rsidR="005D44AF" w:rsidRPr="00DD1DFA" w:rsidRDefault="005F7EFA" w:rsidP="005F7EFA">
      <w:pPr>
        <w:pStyle w:val="ManualHeading3"/>
        <w:rPr>
          <w:noProof/>
        </w:rPr>
      </w:pPr>
      <w:bookmarkStart w:id="45" w:name="_Toc514938046"/>
      <w:bookmarkStart w:id="46" w:name="_Toc95761290"/>
      <w:r w:rsidRPr="005F7EFA">
        <w:t>2.2.1.</w:t>
      </w:r>
      <w:r w:rsidRPr="005F7EFA">
        <w:tab/>
      </w:r>
      <w:r w:rsidR="005D44AF" w:rsidRPr="00DD1DFA">
        <w:rPr>
          <w:noProof/>
        </w:rPr>
        <w:t>Uzasadnienie dla systemu zarządzania, mechanizmów finansowania wykonania, warunków płatności</w:t>
      </w:r>
      <w:r w:rsidR="00DD1DFA" w:rsidRPr="00DD1DFA">
        <w:rPr>
          <w:noProof/>
        </w:rPr>
        <w:t xml:space="preserve"> i</w:t>
      </w:r>
      <w:r w:rsidR="00DD1DFA">
        <w:rPr>
          <w:noProof/>
        </w:rPr>
        <w:t> </w:t>
      </w:r>
      <w:r w:rsidR="00DD1DFA" w:rsidRPr="00DD1DFA">
        <w:rPr>
          <w:noProof/>
        </w:rPr>
        <w:t>pro</w:t>
      </w:r>
      <w:r w:rsidR="005D44AF" w:rsidRPr="00DD1DFA">
        <w:rPr>
          <w:noProof/>
        </w:rPr>
        <w:t>ponowanej strategii kontroli</w:t>
      </w:r>
      <w:bookmarkEnd w:id="45"/>
      <w:bookmarkEnd w:id="46"/>
    </w:p>
    <w:p w14:paraId="55BD91E6" w14:textId="1FF3B04C"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We wniosku uregulowano jedynie wprowadzanie do obrotu wyrobów budowlanych,</w:t>
      </w:r>
      <w:r w:rsidR="00DD1DFA" w:rsidRPr="00DD1DFA">
        <w:rPr>
          <w:noProof/>
        </w:rPr>
        <w:t xml:space="preserve"> w</w:t>
      </w:r>
      <w:r w:rsidR="00DD1DFA">
        <w:rPr>
          <w:noProof/>
        </w:rPr>
        <w:t> </w:t>
      </w:r>
      <w:r w:rsidR="00DD1DFA" w:rsidRPr="00DD1DFA">
        <w:rPr>
          <w:noProof/>
        </w:rPr>
        <w:t>tym</w:t>
      </w:r>
      <w:r w:rsidRPr="00DD1DFA">
        <w:rPr>
          <w:noProof/>
        </w:rPr>
        <w:t xml:space="preserve"> poprzez uwzględnienie niektórych cech środowiskowych</w:t>
      </w:r>
      <w:r w:rsidR="00DD1DFA" w:rsidRPr="00DD1DFA">
        <w:rPr>
          <w:noProof/>
        </w:rPr>
        <w:t xml:space="preserve"> w</w:t>
      </w:r>
      <w:r w:rsidR="00DD1DFA">
        <w:rPr>
          <w:noProof/>
        </w:rPr>
        <w:t> </w:t>
      </w:r>
      <w:r w:rsidR="00DD1DFA" w:rsidRPr="00DD1DFA">
        <w:rPr>
          <w:noProof/>
        </w:rPr>
        <w:t>cel</w:t>
      </w:r>
      <w:r w:rsidRPr="00DD1DFA">
        <w:rPr>
          <w:noProof/>
        </w:rPr>
        <w:t>u odzwierciedlenia rozporządzenia</w:t>
      </w:r>
      <w:r w:rsidR="00DD1DFA" w:rsidRPr="00DD1DFA">
        <w:rPr>
          <w:noProof/>
        </w:rPr>
        <w:t xml:space="preserve"> w</w:t>
      </w:r>
      <w:r w:rsidR="00DD1DFA">
        <w:rPr>
          <w:noProof/>
        </w:rPr>
        <w:t> </w:t>
      </w:r>
      <w:r w:rsidR="00DD1DFA" w:rsidRPr="00DD1DFA">
        <w:rPr>
          <w:noProof/>
        </w:rPr>
        <w:t>spr</w:t>
      </w:r>
      <w:r w:rsidRPr="00DD1DFA">
        <w:rPr>
          <w:noProof/>
        </w:rPr>
        <w:t>awie ekoprojektu dla zrównoważonych produktów. Jest to zatem klasyczny rodzaj przepisów dotyczących wyrobów. Klasyczne przepisy dotyczące wyrobów są wdrażane głównie przez samą Komisję, ponieważ trudno jest zlecić wiele działań</w:t>
      </w:r>
      <w:r w:rsidR="00DD1DFA" w:rsidRPr="00DD1DFA">
        <w:rPr>
          <w:noProof/>
        </w:rPr>
        <w:t xml:space="preserve"> i</w:t>
      </w:r>
      <w:r w:rsidR="00DD1DFA">
        <w:rPr>
          <w:noProof/>
        </w:rPr>
        <w:t> </w:t>
      </w:r>
      <w:r w:rsidR="00DD1DFA" w:rsidRPr="00DD1DFA">
        <w:rPr>
          <w:noProof/>
        </w:rPr>
        <w:t>zag</w:t>
      </w:r>
      <w:r w:rsidRPr="00DD1DFA">
        <w:rPr>
          <w:noProof/>
        </w:rPr>
        <w:t>adnień prawnych podmiotom, które nie mają podstawowej wiedzy na temat odpowiednich przepisów</w:t>
      </w:r>
      <w:r w:rsidR="00DD1DFA" w:rsidRPr="00DD1DFA">
        <w:rPr>
          <w:noProof/>
        </w:rPr>
        <w:t>. W</w:t>
      </w:r>
      <w:r w:rsidR="00DD1DFA">
        <w:rPr>
          <w:noProof/>
        </w:rPr>
        <w:t> </w:t>
      </w:r>
      <w:r w:rsidR="00DD1DFA" w:rsidRPr="00DD1DFA">
        <w:rPr>
          <w:noProof/>
        </w:rPr>
        <w:t>prz</w:t>
      </w:r>
      <w:r w:rsidRPr="00DD1DFA">
        <w:rPr>
          <w:noProof/>
        </w:rPr>
        <w:t>ypadku niektórych aspektów korzystanie</w:t>
      </w:r>
      <w:r w:rsidR="00DD1DFA" w:rsidRPr="00DD1DFA">
        <w:rPr>
          <w:noProof/>
        </w:rPr>
        <w:t xml:space="preserve"> z</w:t>
      </w:r>
      <w:r w:rsidR="00DD1DFA">
        <w:rPr>
          <w:noProof/>
        </w:rPr>
        <w:t> </w:t>
      </w:r>
      <w:r w:rsidR="00DD1DFA" w:rsidRPr="00DD1DFA">
        <w:rPr>
          <w:noProof/>
        </w:rPr>
        <w:t>usł</w:t>
      </w:r>
      <w:r w:rsidRPr="00DD1DFA">
        <w:rPr>
          <w:noProof/>
        </w:rPr>
        <w:t>ug usługodawców wybranych</w:t>
      </w:r>
      <w:r w:rsidR="00DD1DFA" w:rsidRPr="00DD1DFA">
        <w:rPr>
          <w:noProof/>
        </w:rPr>
        <w:t xml:space="preserve"> w</w:t>
      </w:r>
      <w:r w:rsidR="00DD1DFA">
        <w:rPr>
          <w:noProof/>
        </w:rPr>
        <w:t> </w:t>
      </w:r>
      <w:r w:rsidR="00DD1DFA" w:rsidRPr="00DD1DFA">
        <w:rPr>
          <w:noProof/>
        </w:rPr>
        <w:t>dro</w:t>
      </w:r>
      <w:r w:rsidRPr="00DD1DFA">
        <w:rPr>
          <w:noProof/>
        </w:rPr>
        <w:t>dze procedur przetargowych może być konieczne lub co najmniej przydatne. Może to dotyczyć zwłaszcza systemów informacyjnych, które są niezbędne do realizacji.</w:t>
      </w:r>
    </w:p>
    <w:p w14:paraId="6492FEC4" w14:textId="1B7A9951"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Powinny mieć zastosowanie zwykłe mechanizmy jednolitej kontroli Komisji,</w:t>
      </w:r>
      <w:r w:rsidR="00DD1DFA" w:rsidRPr="00DD1DFA">
        <w:rPr>
          <w:noProof/>
        </w:rPr>
        <w:t xml:space="preserve"> w</w:t>
      </w:r>
      <w:r w:rsidR="00DD1DFA">
        <w:rPr>
          <w:noProof/>
        </w:rPr>
        <w:t> </w:t>
      </w:r>
      <w:r w:rsidR="00DD1DFA" w:rsidRPr="00DD1DFA">
        <w:rPr>
          <w:noProof/>
        </w:rPr>
        <w:t>tym</w:t>
      </w:r>
      <w:r w:rsidRPr="00DD1DFA">
        <w:rPr>
          <w:noProof/>
        </w:rPr>
        <w:t xml:space="preserve"> mechanizmy mające zastosowanie do przetargów publicznych,</w:t>
      </w:r>
      <w:r w:rsidR="00DD1DFA" w:rsidRPr="00DD1DFA">
        <w:rPr>
          <w:noProof/>
        </w:rPr>
        <w:t xml:space="preserve"> i</w:t>
      </w:r>
      <w:r w:rsidR="00DD1DFA">
        <w:rPr>
          <w:noProof/>
        </w:rPr>
        <w:t> </w:t>
      </w:r>
      <w:r w:rsidR="00DD1DFA" w:rsidRPr="00DD1DFA">
        <w:rPr>
          <w:noProof/>
        </w:rPr>
        <w:t>będ</w:t>
      </w:r>
      <w:r w:rsidRPr="00DD1DFA">
        <w:rPr>
          <w:noProof/>
        </w:rPr>
        <w:t>ą one wystarczające. Nie ma powodu do stosowania szczególnych, odbiegających od siebie mechanizmów wdrażania finansowania, warunków płatności</w:t>
      </w:r>
      <w:r w:rsidR="00DD1DFA" w:rsidRPr="00DD1DFA">
        <w:rPr>
          <w:noProof/>
        </w:rPr>
        <w:t xml:space="preserve"> i</w:t>
      </w:r>
      <w:r w:rsidR="00DD1DFA">
        <w:rPr>
          <w:noProof/>
        </w:rPr>
        <w:t> </w:t>
      </w:r>
      <w:r w:rsidR="00DD1DFA" w:rsidRPr="00DD1DFA">
        <w:rPr>
          <w:noProof/>
        </w:rPr>
        <w:t>str</w:t>
      </w:r>
      <w:r w:rsidRPr="00DD1DFA">
        <w:rPr>
          <w:noProof/>
        </w:rPr>
        <w:t>ategii kontroli.</w:t>
      </w:r>
    </w:p>
    <w:p w14:paraId="764499B7" w14:textId="1C5270C4"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Wniosek ten spowoduje jednak wzrost zapotrzebowania na zasoby ludzkie. Wniosek pozwala usunąć główne niedociągnięcia ram rozporządzenia</w:t>
      </w:r>
      <w:r w:rsidR="00DD1DFA" w:rsidRPr="00DD1DFA">
        <w:rPr>
          <w:noProof/>
        </w:rPr>
        <w:t xml:space="preserve"> w</w:t>
      </w:r>
      <w:r w:rsidR="00DD1DFA">
        <w:rPr>
          <w:noProof/>
        </w:rPr>
        <w:t> </w:t>
      </w:r>
      <w:r w:rsidR="00DD1DFA" w:rsidRPr="00DD1DFA">
        <w:rPr>
          <w:noProof/>
        </w:rPr>
        <w:t>spr</w:t>
      </w:r>
      <w:r w:rsidRPr="00DD1DFA">
        <w:rPr>
          <w:noProof/>
        </w:rPr>
        <w:t>awie wyrobów budowlanych, np. normalizacji,</w:t>
      </w:r>
      <w:r w:rsidR="00DD1DFA" w:rsidRPr="00DD1DFA">
        <w:rPr>
          <w:noProof/>
        </w:rPr>
        <w:t xml:space="preserve"> a</w:t>
      </w:r>
      <w:r w:rsidR="00DD1DFA">
        <w:rPr>
          <w:noProof/>
        </w:rPr>
        <w:t> </w:t>
      </w:r>
      <w:r w:rsidR="00DD1DFA" w:rsidRPr="00DD1DFA">
        <w:rPr>
          <w:noProof/>
        </w:rPr>
        <w:t>pon</w:t>
      </w:r>
      <w:r w:rsidRPr="00DD1DFA">
        <w:rPr>
          <w:noProof/>
        </w:rPr>
        <w:t>adto ustanowiono</w:t>
      </w:r>
      <w:r w:rsidR="00DD1DFA" w:rsidRPr="00DD1DFA">
        <w:rPr>
          <w:noProof/>
        </w:rPr>
        <w:t xml:space="preserve"> w</w:t>
      </w:r>
      <w:r w:rsidR="00DD1DFA">
        <w:rPr>
          <w:noProof/>
        </w:rPr>
        <w:t> </w:t>
      </w:r>
      <w:r w:rsidR="00DD1DFA" w:rsidRPr="00DD1DFA">
        <w:rPr>
          <w:noProof/>
        </w:rPr>
        <w:t>nim</w:t>
      </w:r>
      <w:r w:rsidRPr="00DD1DFA">
        <w:rPr>
          <w:noProof/>
        </w:rPr>
        <w:t xml:space="preserve"> wymogi</w:t>
      </w:r>
      <w:r w:rsidR="00DD1DFA" w:rsidRPr="00DD1DFA">
        <w:rPr>
          <w:noProof/>
        </w:rPr>
        <w:t xml:space="preserve"> w</w:t>
      </w:r>
      <w:r w:rsidR="00DD1DFA">
        <w:rPr>
          <w:noProof/>
        </w:rPr>
        <w:t> </w:t>
      </w:r>
      <w:r w:rsidR="00DD1DFA" w:rsidRPr="00DD1DFA">
        <w:rPr>
          <w:noProof/>
        </w:rPr>
        <w:t>zak</w:t>
      </w:r>
      <w:r w:rsidRPr="00DD1DFA">
        <w:rPr>
          <w:noProof/>
        </w:rPr>
        <w:t>resie ochrony środowiska</w:t>
      </w:r>
      <w:r w:rsidR="00DD1DFA" w:rsidRPr="00DD1DFA">
        <w:rPr>
          <w:noProof/>
        </w:rPr>
        <w:t xml:space="preserve"> i</w:t>
      </w:r>
      <w:r w:rsidR="00DD1DFA">
        <w:rPr>
          <w:noProof/>
        </w:rPr>
        <w:t> </w:t>
      </w:r>
      <w:r w:rsidR="00DD1DFA" w:rsidRPr="00DD1DFA">
        <w:rPr>
          <w:noProof/>
        </w:rPr>
        <w:t>bez</w:t>
      </w:r>
      <w:r w:rsidRPr="00DD1DFA">
        <w:rPr>
          <w:noProof/>
        </w:rPr>
        <w:t>pieczeństwa wyrobów niezależnie od właściwości użytkowych związanych</w:t>
      </w:r>
      <w:r w:rsidR="00DD1DFA" w:rsidRPr="00DD1DFA">
        <w:rPr>
          <w:noProof/>
        </w:rPr>
        <w:t xml:space="preserve"> z</w:t>
      </w:r>
      <w:r w:rsidR="00DD1DFA">
        <w:rPr>
          <w:noProof/>
        </w:rPr>
        <w:t> </w:t>
      </w:r>
      <w:r w:rsidR="00DD1DFA" w:rsidRPr="00DD1DFA">
        <w:rPr>
          <w:noProof/>
        </w:rPr>
        <w:t>obi</w:t>
      </w:r>
      <w:r w:rsidRPr="00DD1DFA">
        <w:rPr>
          <w:noProof/>
        </w:rPr>
        <w:t>ektami budowlanymi. Wniosek skutecznie przyczyniłby się również do realizacji celów wynikających</w:t>
      </w:r>
      <w:r w:rsidR="00DD1DFA" w:rsidRPr="00DD1DFA">
        <w:rPr>
          <w:noProof/>
        </w:rPr>
        <w:t xml:space="preserve"> z</w:t>
      </w:r>
      <w:r w:rsidR="00DD1DFA">
        <w:rPr>
          <w:noProof/>
        </w:rPr>
        <w:t> </w:t>
      </w:r>
      <w:r w:rsidR="00DD1DFA" w:rsidRPr="00DD1DFA">
        <w:rPr>
          <w:noProof/>
        </w:rPr>
        <w:t>now</w:t>
      </w:r>
      <w:r w:rsidRPr="00DD1DFA">
        <w:rPr>
          <w:noProof/>
        </w:rPr>
        <w:t>ej strategii przemysłowej, strategii normalizacyjnej, Europejskiego Zielonego Ładu, Planu działania dotyczącego gospodarki</w:t>
      </w:r>
      <w:r w:rsidR="00DD1DFA" w:rsidRPr="00DD1DFA">
        <w:rPr>
          <w:noProof/>
        </w:rPr>
        <w:t xml:space="preserve"> o</w:t>
      </w:r>
      <w:r w:rsidR="00DD1DFA">
        <w:rPr>
          <w:noProof/>
        </w:rPr>
        <w:t> </w:t>
      </w:r>
      <w:r w:rsidR="00DD1DFA" w:rsidRPr="00DD1DFA">
        <w:rPr>
          <w:noProof/>
        </w:rPr>
        <w:t>obi</w:t>
      </w:r>
      <w:r w:rsidRPr="00DD1DFA">
        <w:rPr>
          <w:noProof/>
        </w:rPr>
        <w:t>egu zamkniętym</w:t>
      </w:r>
      <w:r w:rsidR="00DD1DFA" w:rsidRPr="00DD1DFA">
        <w:rPr>
          <w:noProof/>
        </w:rPr>
        <w:t xml:space="preserve"> i</w:t>
      </w:r>
      <w:r w:rsidR="00DD1DFA">
        <w:rPr>
          <w:noProof/>
        </w:rPr>
        <w:t> </w:t>
      </w:r>
      <w:r w:rsidR="00DD1DFA" w:rsidRPr="00DD1DFA">
        <w:rPr>
          <w:noProof/>
        </w:rPr>
        <w:t>inn</w:t>
      </w:r>
      <w:r w:rsidRPr="00DD1DFA">
        <w:rPr>
          <w:noProof/>
        </w:rPr>
        <w:t>ych powiązanych inicjatyw</w:t>
      </w:r>
      <w:r w:rsidR="00DD1DFA" w:rsidRPr="00DD1DFA">
        <w:rPr>
          <w:noProof/>
        </w:rPr>
        <w:t xml:space="preserve"> w</w:t>
      </w:r>
      <w:r w:rsidR="00DD1DFA">
        <w:rPr>
          <w:noProof/>
        </w:rPr>
        <w:t> </w:t>
      </w:r>
      <w:r w:rsidR="00DD1DFA" w:rsidRPr="00DD1DFA">
        <w:rPr>
          <w:noProof/>
        </w:rPr>
        <w:t>kon</w:t>
      </w:r>
      <w:r w:rsidRPr="00DD1DFA">
        <w:rPr>
          <w:noProof/>
        </w:rPr>
        <w:t>tekście wyrobów budowlanych. Te nowe cechy wymagają również mechanizmu spójności</w:t>
      </w:r>
      <w:r w:rsidR="00DD1DFA" w:rsidRPr="00DD1DFA">
        <w:rPr>
          <w:noProof/>
        </w:rPr>
        <w:t xml:space="preserve"> w</w:t>
      </w:r>
      <w:r w:rsidR="00DD1DFA">
        <w:rPr>
          <w:noProof/>
        </w:rPr>
        <w:t> </w:t>
      </w:r>
      <w:r w:rsidR="00DD1DFA" w:rsidRPr="00DD1DFA">
        <w:rPr>
          <w:noProof/>
        </w:rPr>
        <w:t>odn</w:t>
      </w:r>
      <w:r w:rsidRPr="00DD1DFA">
        <w:rPr>
          <w:noProof/>
        </w:rPr>
        <w:t>iesieniu do transgranicznego stosowania nowych obowiązków wynikających</w:t>
      </w:r>
      <w:r w:rsidR="00DD1DFA" w:rsidRPr="00DD1DFA">
        <w:rPr>
          <w:noProof/>
        </w:rPr>
        <w:t xml:space="preserve"> z</w:t>
      </w:r>
      <w:r w:rsidR="00DD1DFA">
        <w:rPr>
          <w:noProof/>
        </w:rPr>
        <w:t> </w:t>
      </w:r>
      <w:r w:rsidR="00DD1DFA" w:rsidRPr="00DD1DFA">
        <w:rPr>
          <w:noProof/>
        </w:rPr>
        <w:t>nin</w:t>
      </w:r>
      <w:r w:rsidRPr="00DD1DFA">
        <w:rPr>
          <w:noProof/>
        </w:rPr>
        <w:t>iejszego rozporządzenia,</w:t>
      </w:r>
      <w:r w:rsidR="00DD1DFA" w:rsidRPr="00DD1DFA">
        <w:rPr>
          <w:noProof/>
        </w:rPr>
        <w:t xml:space="preserve"> a</w:t>
      </w:r>
      <w:r w:rsidR="00DD1DFA">
        <w:rPr>
          <w:noProof/>
        </w:rPr>
        <w:t> </w:t>
      </w:r>
      <w:r w:rsidR="00DD1DFA" w:rsidRPr="00DD1DFA">
        <w:rPr>
          <w:noProof/>
        </w:rPr>
        <w:t>tak</w:t>
      </w:r>
      <w:r w:rsidRPr="00DD1DFA">
        <w:rPr>
          <w:noProof/>
        </w:rPr>
        <w:t>że systemu informacyjnego</w:t>
      </w:r>
      <w:r w:rsidR="00DD1DFA" w:rsidRPr="00DD1DFA">
        <w:rPr>
          <w:noProof/>
        </w:rPr>
        <w:t xml:space="preserve"> i</w:t>
      </w:r>
      <w:r w:rsidR="00DD1DFA">
        <w:rPr>
          <w:noProof/>
        </w:rPr>
        <w:t> </w:t>
      </w:r>
      <w:r w:rsidR="00DD1DFA" w:rsidRPr="00DD1DFA">
        <w:rPr>
          <w:noProof/>
        </w:rPr>
        <w:t>kom</w:t>
      </w:r>
      <w:r w:rsidRPr="00DD1DFA">
        <w:rPr>
          <w:noProof/>
        </w:rPr>
        <w:t>unikacyjnego do celów gromadzenia, przetwarzania</w:t>
      </w:r>
      <w:r w:rsidR="00DD1DFA" w:rsidRPr="00DD1DFA">
        <w:rPr>
          <w:noProof/>
        </w:rPr>
        <w:t xml:space="preserve"> i</w:t>
      </w:r>
      <w:r w:rsidR="00DD1DFA">
        <w:rPr>
          <w:noProof/>
        </w:rPr>
        <w:t> </w:t>
      </w:r>
      <w:r w:rsidR="00DD1DFA" w:rsidRPr="00DD1DFA">
        <w:rPr>
          <w:noProof/>
        </w:rPr>
        <w:t>prz</w:t>
      </w:r>
      <w:r w:rsidRPr="00DD1DFA">
        <w:rPr>
          <w:noProof/>
        </w:rPr>
        <w:t xml:space="preserve">echowywania informacji. </w:t>
      </w:r>
    </w:p>
    <w:p w14:paraId="40C9ECA1" w14:textId="77777777"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Konieczne jest zapewnienie służbom Komisji odpowiednich zasobów, aby mogły sprostać tym nowym zadaniom. Szacuje się, że wdrożenie rozporządzenia będzie wymagało łącznie 15 EPC.</w:t>
      </w:r>
    </w:p>
    <w:p w14:paraId="1D87ACBD" w14:textId="6E4CA35C" w:rsidR="005D44AF" w:rsidRPr="00DD1DFA" w:rsidRDefault="005F7EFA" w:rsidP="005F7EFA">
      <w:pPr>
        <w:pStyle w:val="ManualHeading3"/>
        <w:rPr>
          <w:bCs/>
          <w:noProof/>
        </w:rPr>
      </w:pPr>
      <w:bookmarkStart w:id="47" w:name="_Toc514938047"/>
      <w:bookmarkStart w:id="48" w:name="_Toc95761291"/>
      <w:r w:rsidRPr="005F7EFA">
        <w:t>2.2.2.</w:t>
      </w:r>
      <w:r w:rsidRPr="005F7EFA">
        <w:tab/>
      </w:r>
      <w:r w:rsidR="005D44AF" w:rsidRPr="00DD1DFA">
        <w:rPr>
          <w:noProof/>
        </w:rPr>
        <w:t>Informacje dotyczące zidentyfikowanego ryzyka</w:t>
      </w:r>
      <w:r w:rsidR="00DD1DFA" w:rsidRPr="00DD1DFA">
        <w:rPr>
          <w:noProof/>
        </w:rPr>
        <w:t xml:space="preserve"> i</w:t>
      </w:r>
      <w:r w:rsidR="00DD1DFA">
        <w:rPr>
          <w:noProof/>
        </w:rPr>
        <w:t> </w:t>
      </w:r>
      <w:r w:rsidR="00DD1DFA" w:rsidRPr="00DD1DFA">
        <w:rPr>
          <w:noProof/>
        </w:rPr>
        <w:t>sys</w:t>
      </w:r>
      <w:r w:rsidR="005D44AF" w:rsidRPr="00DD1DFA">
        <w:rPr>
          <w:noProof/>
        </w:rPr>
        <w:t>temów kontroli wewnętrznej ustanowionych</w:t>
      </w:r>
      <w:r w:rsidR="00DD1DFA" w:rsidRPr="00DD1DFA">
        <w:rPr>
          <w:noProof/>
        </w:rPr>
        <w:t xml:space="preserve"> w</w:t>
      </w:r>
      <w:r w:rsidR="00DD1DFA">
        <w:rPr>
          <w:noProof/>
        </w:rPr>
        <w:t> </w:t>
      </w:r>
      <w:r w:rsidR="00DD1DFA" w:rsidRPr="00DD1DFA">
        <w:rPr>
          <w:noProof/>
        </w:rPr>
        <w:t>cel</w:t>
      </w:r>
      <w:r w:rsidR="005D44AF" w:rsidRPr="00DD1DFA">
        <w:rPr>
          <w:noProof/>
        </w:rPr>
        <w:t>u jego ograniczenia</w:t>
      </w:r>
      <w:bookmarkEnd w:id="47"/>
      <w:bookmarkEnd w:id="48"/>
    </w:p>
    <w:p w14:paraId="78FA96BD" w14:textId="578D05B1" w:rsidR="005D44AF" w:rsidRPr="00DD1DFA" w:rsidRDefault="005D44AF" w:rsidP="005D44AF">
      <w:pPr>
        <w:ind w:left="850"/>
        <w:rPr>
          <w:noProof/>
        </w:rPr>
      </w:pPr>
      <w:r w:rsidRPr="00DD1DFA">
        <w:rPr>
          <w:noProof/>
        </w:rPr>
        <w:t>Aby ograniczyć nieodłączne ryzyko wystąpienia konfliktu interesów</w:t>
      </w:r>
      <w:r w:rsidR="00DD1DFA" w:rsidRPr="00DD1DFA">
        <w:rPr>
          <w:noProof/>
        </w:rPr>
        <w:t xml:space="preserve"> w</w:t>
      </w:r>
      <w:r w:rsidR="00DD1DFA">
        <w:rPr>
          <w:noProof/>
        </w:rPr>
        <w:t> </w:t>
      </w:r>
      <w:r w:rsidR="00DD1DFA" w:rsidRPr="00DD1DFA">
        <w:rPr>
          <w:noProof/>
        </w:rPr>
        <w:t>odn</w:t>
      </w:r>
      <w:r w:rsidRPr="00DD1DFA">
        <w:rPr>
          <w:noProof/>
        </w:rPr>
        <w:t xml:space="preserve">iesieniu do jednostek notyfikowanych, ustanawia się wymogi dotyczące organów notyfikujących. </w:t>
      </w:r>
    </w:p>
    <w:p w14:paraId="4075C6D3" w14:textId="11E9E1F9"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Komisja będzie monitorować ryzyko niezgodności</w:t>
      </w:r>
      <w:r w:rsidR="00DD1DFA" w:rsidRPr="00DD1DFA">
        <w:rPr>
          <w:noProof/>
        </w:rPr>
        <w:t xml:space="preserve"> z</w:t>
      </w:r>
      <w:r w:rsidR="00DD1DFA">
        <w:rPr>
          <w:noProof/>
        </w:rPr>
        <w:t> </w:t>
      </w:r>
      <w:r w:rsidR="00DD1DFA" w:rsidRPr="00DD1DFA">
        <w:rPr>
          <w:noProof/>
        </w:rPr>
        <w:t>roz</w:t>
      </w:r>
      <w:r w:rsidRPr="00DD1DFA">
        <w:rPr>
          <w:noProof/>
        </w:rPr>
        <w:t>porządzeniem za pomocą systemu sprawozdawczości, który sama opracuje (portal ostrzegania</w:t>
      </w:r>
      <w:r w:rsidR="00DD1DFA" w:rsidRPr="00DD1DFA">
        <w:rPr>
          <w:noProof/>
        </w:rPr>
        <w:t xml:space="preserve"> o</w:t>
      </w:r>
      <w:r w:rsidR="00DD1DFA">
        <w:rPr>
          <w:noProof/>
        </w:rPr>
        <w:t> </w:t>
      </w:r>
      <w:r w:rsidR="00DD1DFA" w:rsidRPr="00DD1DFA">
        <w:rPr>
          <w:noProof/>
        </w:rPr>
        <w:t>nie</w:t>
      </w:r>
      <w:r w:rsidRPr="00DD1DFA">
        <w:rPr>
          <w:noProof/>
        </w:rPr>
        <w:t>zgodnościach).</w:t>
      </w:r>
    </w:p>
    <w:p w14:paraId="0159515E" w14:textId="3BE0E80F" w:rsidR="005D44AF" w:rsidRPr="00DD1DFA" w:rsidRDefault="005D44AF" w:rsidP="005D44AF">
      <w:pPr>
        <w:ind w:left="850"/>
        <w:rPr>
          <w:rFonts w:eastAsia="Calibri"/>
          <w:noProof/>
          <w:szCs w:val="24"/>
        </w:rPr>
      </w:pPr>
      <w:r w:rsidRPr="00DD1DFA">
        <w:rPr>
          <w:noProof/>
        </w:rPr>
        <w:t>Istnieje wyraźna potrzeba zarządzania budżetem</w:t>
      </w:r>
      <w:r w:rsidR="00DD1DFA" w:rsidRPr="00DD1DFA">
        <w:rPr>
          <w:noProof/>
        </w:rPr>
        <w:t xml:space="preserve"> w</w:t>
      </w:r>
      <w:r w:rsidR="00DD1DFA">
        <w:rPr>
          <w:noProof/>
        </w:rPr>
        <w:t> </w:t>
      </w:r>
      <w:r w:rsidR="00DD1DFA" w:rsidRPr="00DD1DFA">
        <w:rPr>
          <w:noProof/>
        </w:rPr>
        <w:t>spo</w:t>
      </w:r>
      <w:r w:rsidRPr="00DD1DFA">
        <w:rPr>
          <w:noProof/>
        </w:rPr>
        <w:t>sób skuteczny</w:t>
      </w:r>
      <w:r w:rsidR="00DD1DFA" w:rsidRPr="00DD1DFA">
        <w:rPr>
          <w:noProof/>
        </w:rPr>
        <w:t xml:space="preserve"> i</w:t>
      </w:r>
      <w:r w:rsidR="00DD1DFA">
        <w:rPr>
          <w:noProof/>
        </w:rPr>
        <w:t> </w:t>
      </w:r>
      <w:r w:rsidR="00DD1DFA" w:rsidRPr="00DD1DFA">
        <w:rPr>
          <w:noProof/>
        </w:rPr>
        <w:t>wyd</w:t>
      </w:r>
      <w:r w:rsidRPr="00DD1DFA">
        <w:rPr>
          <w:noProof/>
        </w:rPr>
        <w:t>ajny oraz zapobiegania oszustwom</w:t>
      </w:r>
      <w:r w:rsidR="00DD1DFA" w:rsidRPr="00DD1DFA">
        <w:rPr>
          <w:noProof/>
        </w:rPr>
        <w:t xml:space="preserve"> i</w:t>
      </w:r>
      <w:r w:rsidR="00DD1DFA">
        <w:rPr>
          <w:noProof/>
        </w:rPr>
        <w:t> </w:t>
      </w:r>
      <w:r w:rsidR="00DD1DFA" w:rsidRPr="00DD1DFA">
        <w:rPr>
          <w:noProof/>
        </w:rPr>
        <w:t>mar</w:t>
      </w:r>
      <w:r w:rsidRPr="00DD1DFA">
        <w:rPr>
          <w:noProof/>
        </w:rPr>
        <w:t>notrawieniu zasobów. System kontroli musi jednak zapewnić sprawiedliwą równowagę między osiągnięciem akceptowalnego poziomu błędu</w:t>
      </w:r>
      <w:r w:rsidR="00DD1DFA" w:rsidRPr="00DD1DFA">
        <w:rPr>
          <w:noProof/>
        </w:rPr>
        <w:t xml:space="preserve"> a</w:t>
      </w:r>
      <w:r w:rsidR="00DD1DFA">
        <w:rPr>
          <w:noProof/>
        </w:rPr>
        <w:t> </w:t>
      </w:r>
      <w:r w:rsidR="00DD1DFA" w:rsidRPr="00DD1DFA">
        <w:rPr>
          <w:noProof/>
        </w:rPr>
        <w:t>wym</w:t>
      </w:r>
      <w:r w:rsidRPr="00DD1DFA">
        <w:rPr>
          <w:noProof/>
        </w:rPr>
        <w:t>aganym obciążeniem związanym</w:t>
      </w:r>
      <w:r w:rsidR="00DD1DFA" w:rsidRPr="00DD1DFA">
        <w:rPr>
          <w:noProof/>
        </w:rPr>
        <w:t xml:space="preserve"> z</w:t>
      </w:r>
      <w:r w:rsidR="00DD1DFA">
        <w:rPr>
          <w:noProof/>
        </w:rPr>
        <w:t> </w:t>
      </w:r>
      <w:r w:rsidR="00DD1DFA" w:rsidRPr="00DD1DFA">
        <w:rPr>
          <w:noProof/>
        </w:rPr>
        <w:t>kon</w:t>
      </w:r>
      <w:r w:rsidRPr="00DD1DFA">
        <w:rPr>
          <w:noProof/>
        </w:rPr>
        <w:t>trolą.</w:t>
      </w:r>
    </w:p>
    <w:p w14:paraId="5A9325EA" w14:textId="724F7BC8" w:rsidR="005D44AF" w:rsidRPr="00DD1DFA" w:rsidRDefault="005F7EFA" w:rsidP="005F7EFA">
      <w:pPr>
        <w:pStyle w:val="ManualHeading3"/>
        <w:rPr>
          <w:noProof/>
        </w:rPr>
      </w:pPr>
      <w:bookmarkStart w:id="49" w:name="_Toc514938048"/>
      <w:bookmarkStart w:id="50" w:name="_Toc95761292"/>
      <w:r w:rsidRPr="005F7EFA">
        <w:t>2.2.3.</w:t>
      </w:r>
      <w:r w:rsidRPr="005F7EFA">
        <w:tab/>
      </w:r>
      <w:r w:rsidR="005D44AF" w:rsidRPr="00DD1DFA">
        <w:rPr>
          <w:noProof/>
        </w:rPr>
        <w:t>Oszacowanie</w:t>
      </w:r>
      <w:r w:rsidR="00DD1DFA" w:rsidRPr="00DD1DFA">
        <w:rPr>
          <w:noProof/>
        </w:rPr>
        <w:t xml:space="preserve"> i</w:t>
      </w:r>
      <w:r w:rsidR="00DD1DFA">
        <w:rPr>
          <w:noProof/>
        </w:rPr>
        <w:t> </w:t>
      </w:r>
      <w:r w:rsidR="00DD1DFA" w:rsidRPr="00DD1DFA">
        <w:rPr>
          <w:noProof/>
        </w:rPr>
        <w:t>uza</w:t>
      </w:r>
      <w:r w:rsidR="005D44AF" w:rsidRPr="00DD1DFA">
        <w:rPr>
          <w:noProof/>
        </w:rPr>
        <w:t>sadnienie efektywności kosztowej kontroli (relacja kosztów kontroli do wartości zarządzanych funduszy powiązanych) oraz ocena prawdopodobnego ryzyka błędu (przy płatności</w:t>
      </w:r>
      <w:r w:rsidR="00DD1DFA" w:rsidRPr="00DD1DFA">
        <w:rPr>
          <w:noProof/>
        </w:rPr>
        <w:t xml:space="preserve"> i</w:t>
      </w:r>
      <w:r w:rsidR="00DD1DFA">
        <w:rPr>
          <w:noProof/>
        </w:rPr>
        <w:t> </w:t>
      </w:r>
      <w:r w:rsidR="00DD1DFA" w:rsidRPr="00DD1DFA">
        <w:rPr>
          <w:noProof/>
        </w:rPr>
        <w:t>prz</w:t>
      </w:r>
      <w:r w:rsidR="005D44AF" w:rsidRPr="00DD1DFA">
        <w:rPr>
          <w:noProof/>
        </w:rPr>
        <w:t>y zamykaniu)</w:t>
      </w:r>
      <w:bookmarkEnd w:id="49"/>
      <w:bookmarkEnd w:id="50"/>
      <w:r w:rsidR="005D44AF" w:rsidRPr="00DD1DFA">
        <w:rPr>
          <w:noProof/>
        </w:rPr>
        <w:t xml:space="preserve"> </w:t>
      </w:r>
    </w:p>
    <w:p w14:paraId="5A2266A3" w14:textId="77777777"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rPr>
        <w:t>Nie dotyczy</w:t>
      </w:r>
    </w:p>
    <w:p w14:paraId="74C85E58" w14:textId="69A2B1F3" w:rsidR="005D44AF" w:rsidRPr="00DD1DFA" w:rsidRDefault="005F7EFA" w:rsidP="005F7EFA">
      <w:pPr>
        <w:pStyle w:val="ManualHeading2"/>
        <w:rPr>
          <w:noProof/>
        </w:rPr>
      </w:pPr>
      <w:bookmarkStart w:id="51" w:name="_Toc514938049"/>
      <w:bookmarkStart w:id="52" w:name="_Toc95761293"/>
      <w:r w:rsidRPr="005F7EFA">
        <w:t>2.3.</w:t>
      </w:r>
      <w:r w:rsidRPr="005F7EFA">
        <w:tab/>
      </w:r>
      <w:r w:rsidR="005D44AF" w:rsidRPr="00DD1DFA">
        <w:rPr>
          <w:noProof/>
        </w:rPr>
        <w:t>Środki zapobiegania nadużyciom finansowym</w:t>
      </w:r>
      <w:r w:rsidR="00DD1DFA" w:rsidRPr="00DD1DFA">
        <w:rPr>
          <w:noProof/>
        </w:rPr>
        <w:t xml:space="preserve"> i</w:t>
      </w:r>
      <w:r w:rsidR="00DD1DFA">
        <w:rPr>
          <w:noProof/>
        </w:rPr>
        <w:t> </w:t>
      </w:r>
      <w:r w:rsidR="00DD1DFA" w:rsidRPr="00DD1DFA">
        <w:rPr>
          <w:noProof/>
        </w:rPr>
        <w:t>nie</w:t>
      </w:r>
      <w:r w:rsidR="005D44AF" w:rsidRPr="00DD1DFA">
        <w:rPr>
          <w:noProof/>
        </w:rPr>
        <w:t>prawidłowościom</w:t>
      </w:r>
      <w:bookmarkEnd w:id="51"/>
      <w:bookmarkEnd w:id="52"/>
      <w:r w:rsidR="005D44AF" w:rsidRPr="00DD1DFA">
        <w:rPr>
          <w:noProof/>
        </w:rPr>
        <w:t xml:space="preserve"> </w:t>
      </w:r>
    </w:p>
    <w:p w14:paraId="45D83BB9" w14:textId="6E953A3A" w:rsidR="005D44AF" w:rsidRPr="00DD1DFA" w:rsidRDefault="005D44AF" w:rsidP="005D44AF">
      <w:pPr>
        <w:ind w:left="850"/>
        <w:rPr>
          <w:i/>
          <w:noProof/>
          <w:sz w:val="20"/>
        </w:rPr>
      </w:pPr>
      <w:r w:rsidRPr="00DD1DFA">
        <w:rPr>
          <w:i/>
          <w:noProof/>
          <w:sz w:val="20"/>
        </w:rPr>
        <w:t>Określić istniejące lub przewidywane środki zapobiegania</w:t>
      </w:r>
      <w:r w:rsidR="00DD1DFA" w:rsidRPr="00DD1DFA">
        <w:rPr>
          <w:i/>
          <w:noProof/>
          <w:sz w:val="20"/>
        </w:rPr>
        <w:t xml:space="preserve"> i</w:t>
      </w:r>
      <w:r w:rsidR="00DD1DFA">
        <w:rPr>
          <w:i/>
          <w:noProof/>
          <w:sz w:val="20"/>
        </w:rPr>
        <w:t> </w:t>
      </w:r>
      <w:r w:rsidR="00DD1DFA" w:rsidRPr="00DD1DFA">
        <w:rPr>
          <w:i/>
          <w:noProof/>
          <w:sz w:val="20"/>
        </w:rPr>
        <w:t>och</w:t>
      </w:r>
      <w:r w:rsidRPr="00DD1DFA">
        <w:rPr>
          <w:i/>
          <w:noProof/>
          <w:sz w:val="20"/>
        </w:rPr>
        <w:t>rony, np. ze strategii zwalczania nadużyć finansowych.</w:t>
      </w:r>
    </w:p>
    <w:p w14:paraId="1377F576" w14:textId="4EE2BA1C" w:rsidR="005D44AF" w:rsidRPr="00DD1DFA" w:rsidRDefault="005D44AF" w:rsidP="005D44AF">
      <w:pPr>
        <w:rPr>
          <w:rFonts w:eastAsia="Calibri"/>
          <w:noProof/>
          <w:szCs w:val="24"/>
        </w:rPr>
      </w:pPr>
      <w:r w:rsidRPr="00DD1DFA">
        <w:rPr>
          <w:noProof/>
        </w:rPr>
        <w:t>Środki przewidziane na zwalczanie nadużyć finansowych określono</w:t>
      </w:r>
      <w:r w:rsidR="00DD1DFA" w:rsidRPr="00DD1DFA">
        <w:rPr>
          <w:noProof/>
        </w:rPr>
        <w:t xml:space="preserve"> w</w:t>
      </w:r>
      <w:r w:rsidR="00DD1DFA">
        <w:rPr>
          <w:noProof/>
        </w:rPr>
        <w:t> </w:t>
      </w:r>
      <w:r w:rsidR="00DD1DFA" w:rsidRPr="00DD1DFA">
        <w:rPr>
          <w:noProof/>
        </w:rPr>
        <w:t>art</w:t>
      </w:r>
      <w:r w:rsidRPr="00DD1DFA">
        <w:rPr>
          <w:noProof/>
        </w:rPr>
        <w:t xml:space="preserve">. 35 rozporządzenia (UE) nr 1077/2011, który stanowi następująco: </w:t>
      </w:r>
    </w:p>
    <w:p w14:paraId="7C106DC1" w14:textId="495BC58A" w:rsidR="005D44AF" w:rsidRPr="00DD1DFA" w:rsidRDefault="005D44AF" w:rsidP="005D44AF">
      <w:pPr>
        <w:rPr>
          <w:rFonts w:eastAsia="Calibri"/>
          <w:noProof/>
          <w:szCs w:val="24"/>
        </w:rPr>
      </w:pPr>
      <w:r w:rsidRPr="00DD1DFA">
        <w:rPr>
          <w:noProof/>
        </w:rPr>
        <w:t>1</w:t>
      </w:r>
      <w:r w:rsidR="00DD1DFA" w:rsidRPr="00DD1DFA">
        <w:rPr>
          <w:noProof/>
        </w:rPr>
        <w:t>. W</w:t>
      </w:r>
      <w:r w:rsidR="00DD1DFA">
        <w:rPr>
          <w:noProof/>
        </w:rPr>
        <w:t> </w:t>
      </w:r>
      <w:r w:rsidR="00DD1DFA" w:rsidRPr="00DD1DFA">
        <w:rPr>
          <w:noProof/>
        </w:rPr>
        <w:t>cel</w:t>
      </w:r>
      <w:r w:rsidRPr="00DD1DFA">
        <w:rPr>
          <w:noProof/>
        </w:rPr>
        <w:t>u zwalczania nadużyć finansowych, korupcji</w:t>
      </w:r>
      <w:r w:rsidR="00DD1DFA" w:rsidRPr="00DD1DFA">
        <w:rPr>
          <w:noProof/>
        </w:rPr>
        <w:t xml:space="preserve"> i</w:t>
      </w:r>
      <w:r w:rsidR="00DD1DFA">
        <w:rPr>
          <w:noProof/>
        </w:rPr>
        <w:t> </w:t>
      </w:r>
      <w:r w:rsidR="00DD1DFA" w:rsidRPr="00DD1DFA">
        <w:rPr>
          <w:noProof/>
        </w:rPr>
        <w:t>inn</w:t>
      </w:r>
      <w:r w:rsidRPr="00DD1DFA">
        <w:rPr>
          <w:noProof/>
        </w:rPr>
        <w:t xml:space="preserve">ych bezprawnych działań zastosowanie ma rozporządzenie (WE) nr 1073/1999. </w:t>
      </w:r>
    </w:p>
    <w:p w14:paraId="1D4F86AB" w14:textId="2630DC61" w:rsidR="005D44AF" w:rsidRPr="00DD1DFA" w:rsidRDefault="005D44AF" w:rsidP="005D44AF">
      <w:pPr>
        <w:rPr>
          <w:rFonts w:eastAsia="Calibri"/>
          <w:noProof/>
          <w:szCs w:val="24"/>
        </w:rPr>
      </w:pPr>
      <w:r w:rsidRPr="00DD1DFA">
        <w:rPr>
          <w:noProof/>
        </w:rPr>
        <w:t>2. Agencja przystępuje do porozumienia międzyinstytucjonalnego dotyczącego wewnętrznych dochodzeń prowadzonych przez Europejski Urząd ds. Zwalczania Nadużyć Finansowych (OLAF)</w:t>
      </w:r>
      <w:r w:rsidR="00DD1DFA" w:rsidRPr="00DD1DFA">
        <w:rPr>
          <w:noProof/>
        </w:rPr>
        <w:t xml:space="preserve"> i</w:t>
      </w:r>
      <w:r w:rsidR="00DD1DFA">
        <w:rPr>
          <w:noProof/>
        </w:rPr>
        <w:t> </w:t>
      </w:r>
      <w:r w:rsidR="00DD1DFA" w:rsidRPr="00DD1DFA">
        <w:rPr>
          <w:noProof/>
        </w:rPr>
        <w:t>nie</w:t>
      </w:r>
      <w:r w:rsidRPr="00DD1DFA">
        <w:rPr>
          <w:noProof/>
        </w:rPr>
        <w:t xml:space="preserve">zwłocznie wydaje odpowiednie przepisy, które mają zastosowanie do wszystkich pracowników agencji. </w:t>
      </w:r>
    </w:p>
    <w:p w14:paraId="0EEE03D9" w14:textId="5E8C3721" w:rsidR="005D44AF" w:rsidRPr="00DD1DFA" w:rsidRDefault="005D44AF" w:rsidP="005D44AF">
      <w:pPr>
        <w:rPr>
          <w:rFonts w:eastAsia="Calibri"/>
          <w:noProof/>
          <w:szCs w:val="24"/>
        </w:rPr>
      </w:pPr>
      <w:r w:rsidRPr="00DD1DFA">
        <w:rPr>
          <w:noProof/>
        </w:rPr>
        <w:t>3. Decyzje dotyczące finansowania oraz umowy</w:t>
      </w:r>
      <w:r w:rsidR="00DD1DFA" w:rsidRPr="00DD1DFA">
        <w:rPr>
          <w:noProof/>
        </w:rPr>
        <w:t xml:space="preserve"> i</w:t>
      </w:r>
      <w:r w:rsidR="00DD1DFA">
        <w:rPr>
          <w:noProof/>
        </w:rPr>
        <w:t> </w:t>
      </w:r>
      <w:r w:rsidR="00DD1DFA" w:rsidRPr="00DD1DFA">
        <w:rPr>
          <w:noProof/>
        </w:rPr>
        <w:t>akt</w:t>
      </w:r>
      <w:r w:rsidRPr="00DD1DFA">
        <w:rPr>
          <w:noProof/>
        </w:rPr>
        <w:t>y wykonawcze do nich powinny wyraźnie zastrzegać, że Trybunał Obrachunkowy i OLAF mogą</w:t>
      </w:r>
      <w:r w:rsidR="00DD1DFA" w:rsidRPr="00DD1DFA">
        <w:rPr>
          <w:noProof/>
        </w:rPr>
        <w:t xml:space="preserve"> w</w:t>
      </w:r>
      <w:r w:rsidR="00DD1DFA">
        <w:rPr>
          <w:noProof/>
        </w:rPr>
        <w:t> </w:t>
      </w:r>
      <w:r w:rsidR="00DD1DFA" w:rsidRPr="00DD1DFA">
        <w:rPr>
          <w:noProof/>
        </w:rPr>
        <w:t>raz</w:t>
      </w:r>
      <w:r w:rsidRPr="00DD1DFA">
        <w:rPr>
          <w:noProof/>
        </w:rPr>
        <w:t xml:space="preserve">ie potrzeby przeprowadzać kontrole na miejscu wśród odbiorców funduszy agencji oraz urzędników odpowiedzialnych za ich przyznawanie. </w:t>
      </w:r>
    </w:p>
    <w:p w14:paraId="5C16585F" w14:textId="70451878" w:rsidR="005D44AF" w:rsidRPr="00DD1DFA" w:rsidRDefault="005D44AF" w:rsidP="005D44AF">
      <w:pPr>
        <w:rPr>
          <w:rFonts w:eastAsia="Calibri"/>
          <w:noProof/>
          <w:szCs w:val="24"/>
        </w:rPr>
      </w:pPr>
      <w:r w:rsidRPr="00DD1DFA">
        <w:rPr>
          <w:noProof/>
        </w:rPr>
        <w:t>Zgodnie</w:t>
      </w:r>
      <w:r w:rsidR="00DD1DFA" w:rsidRPr="00DD1DFA">
        <w:rPr>
          <w:noProof/>
        </w:rPr>
        <w:t xml:space="preserve"> z</w:t>
      </w:r>
      <w:r w:rsidR="00DD1DFA">
        <w:rPr>
          <w:noProof/>
        </w:rPr>
        <w:t> </w:t>
      </w:r>
      <w:r w:rsidR="00DD1DFA" w:rsidRPr="00DD1DFA">
        <w:rPr>
          <w:noProof/>
        </w:rPr>
        <w:t>tym</w:t>
      </w:r>
      <w:r w:rsidRPr="00DD1DFA">
        <w:rPr>
          <w:noProof/>
        </w:rPr>
        <w:t xml:space="preserve"> przepisem,</w:t>
      </w:r>
      <w:r w:rsidR="00DD1DFA" w:rsidRPr="00DD1DFA">
        <w:rPr>
          <w:noProof/>
        </w:rPr>
        <w:t xml:space="preserve"> w</w:t>
      </w:r>
      <w:r w:rsidR="00DD1DFA">
        <w:rPr>
          <w:noProof/>
        </w:rPr>
        <w:t> </w:t>
      </w:r>
      <w:r w:rsidR="00DD1DFA" w:rsidRPr="00DD1DFA">
        <w:rPr>
          <w:noProof/>
        </w:rPr>
        <w:t>dni</w:t>
      </w:r>
      <w:r w:rsidRPr="00DD1DFA">
        <w:rPr>
          <w:noProof/>
        </w:rPr>
        <w:t>u 28 czerwca 2012</w:t>
      </w:r>
      <w:r w:rsidR="00DD1DFA" w:rsidRPr="00DD1DFA">
        <w:rPr>
          <w:noProof/>
        </w:rPr>
        <w:t> </w:t>
      </w:r>
      <w:r w:rsidRPr="00DD1DFA">
        <w:rPr>
          <w:noProof/>
        </w:rPr>
        <w:t>r. przyjęto decyzję Zarządu Europejskiej Agencji ds. Zarządzania Operacyjnego Wielkoskalowymi Systemami Informatycznymi</w:t>
      </w:r>
      <w:r w:rsidR="00DD1DFA" w:rsidRPr="00DD1DFA">
        <w:rPr>
          <w:noProof/>
        </w:rPr>
        <w:t xml:space="preserve"> w</w:t>
      </w:r>
      <w:r w:rsidR="00DD1DFA">
        <w:rPr>
          <w:noProof/>
        </w:rPr>
        <w:t> </w:t>
      </w:r>
      <w:r w:rsidR="00DD1DFA" w:rsidRPr="00DD1DFA">
        <w:rPr>
          <w:noProof/>
        </w:rPr>
        <w:t>Prz</w:t>
      </w:r>
      <w:r w:rsidRPr="00DD1DFA">
        <w:rPr>
          <w:noProof/>
        </w:rPr>
        <w:t>estrzeni Wolności, Bezpieczeństwa</w:t>
      </w:r>
      <w:r w:rsidR="00DD1DFA" w:rsidRPr="00DD1DFA">
        <w:rPr>
          <w:noProof/>
        </w:rPr>
        <w:t xml:space="preserve"> i</w:t>
      </w:r>
      <w:r w:rsidR="00DD1DFA">
        <w:rPr>
          <w:noProof/>
        </w:rPr>
        <w:t> </w:t>
      </w:r>
      <w:r w:rsidR="00DD1DFA" w:rsidRPr="00DD1DFA">
        <w:rPr>
          <w:noProof/>
        </w:rPr>
        <w:t>Spr</w:t>
      </w:r>
      <w:r w:rsidRPr="00DD1DFA">
        <w:rPr>
          <w:noProof/>
        </w:rPr>
        <w:t>awiedliwości dotyczącą zasad</w:t>
      </w:r>
      <w:r w:rsidR="00DD1DFA" w:rsidRPr="00DD1DFA">
        <w:rPr>
          <w:noProof/>
        </w:rPr>
        <w:t xml:space="preserve"> i</w:t>
      </w:r>
      <w:r w:rsidR="00DD1DFA">
        <w:rPr>
          <w:noProof/>
        </w:rPr>
        <w:t> </w:t>
      </w:r>
      <w:r w:rsidR="00DD1DFA" w:rsidRPr="00DD1DFA">
        <w:rPr>
          <w:noProof/>
        </w:rPr>
        <w:t>war</w:t>
      </w:r>
      <w:r w:rsidRPr="00DD1DFA">
        <w:rPr>
          <w:noProof/>
        </w:rPr>
        <w:t>unków wewnętrznych dochodzeń</w:t>
      </w:r>
      <w:r w:rsidR="00DD1DFA" w:rsidRPr="00DD1DFA">
        <w:rPr>
          <w:noProof/>
        </w:rPr>
        <w:t xml:space="preserve"> w</w:t>
      </w:r>
      <w:r w:rsidR="00DD1DFA">
        <w:rPr>
          <w:noProof/>
        </w:rPr>
        <w:t> </w:t>
      </w:r>
      <w:r w:rsidR="00DD1DFA" w:rsidRPr="00DD1DFA">
        <w:rPr>
          <w:noProof/>
        </w:rPr>
        <w:t>zwi</w:t>
      </w:r>
      <w:r w:rsidRPr="00DD1DFA">
        <w:rPr>
          <w:noProof/>
        </w:rPr>
        <w:t>ązku</w:t>
      </w:r>
      <w:r w:rsidR="00DD1DFA" w:rsidRPr="00DD1DFA">
        <w:rPr>
          <w:noProof/>
        </w:rPr>
        <w:t xml:space="preserve"> z</w:t>
      </w:r>
      <w:r w:rsidR="00DD1DFA">
        <w:rPr>
          <w:noProof/>
        </w:rPr>
        <w:t> </w:t>
      </w:r>
      <w:r w:rsidR="00DD1DFA" w:rsidRPr="00DD1DFA">
        <w:rPr>
          <w:noProof/>
        </w:rPr>
        <w:t>zap</w:t>
      </w:r>
      <w:r w:rsidRPr="00DD1DFA">
        <w:rPr>
          <w:noProof/>
        </w:rPr>
        <w:t>obieganiem nadużyciom finansowym, korupcji</w:t>
      </w:r>
      <w:r w:rsidR="00DD1DFA" w:rsidRPr="00DD1DFA">
        <w:rPr>
          <w:noProof/>
        </w:rPr>
        <w:t xml:space="preserve"> i</w:t>
      </w:r>
      <w:r w:rsidR="00DD1DFA">
        <w:rPr>
          <w:noProof/>
        </w:rPr>
        <w:t> </w:t>
      </w:r>
      <w:r w:rsidR="00DD1DFA" w:rsidRPr="00DD1DFA">
        <w:rPr>
          <w:noProof/>
        </w:rPr>
        <w:t>wsz</w:t>
      </w:r>
      <w:r w:rsidRPr="00DD1DFA">
        <w:rPr>
          <w:noProof/>
        </w:rPr>
        <w:t xml:space="preserve">elkiej innej nielegalnej działalności przynoszącej szkody interesom finansowym Unii. </w:t>
      </w:r>
    </w:p>
    <w:p w14:paraId="60492BB9" w14:textId="71BE9643" w:rsidR="005D44AF" w:rsidRPr="00DD1DFA" w:rsidRDefault="005D44AF" w:rsidP="005D44AF">
      <w:pPr>
        <w:rPr>
          <w:rFonts w:eastAsia="Calibri"/>
          <w:noProof/>
          <w:szCs w:val="24"/>
        </w:rPr>
      </w:pPr>
      <w:r w:rsidRPr="00DD1DFA">
        <w:rPr>
          <w:noProof/>
        </w:rPr>
        <w:t>Zastosowanie będzie miała strategia DG GROW dotycząca zapobiegania nadużyciom finansowym</w:t>
      </w:r>
      <w:r w:rsidR="00DD1DFA" w:rsidRPr="00DD1DFA">
        <w:rPr>
          <w:noProof/>
        </w:rPr>
        <w:t xml:space="preserve"> i</w:t>
      </w:r>
      <w:r w:rsidR="00DD1DFA">
        <w:rPr>
          <w:noProof/>
        </w:rPr>
        <w:t> </w:t>
      </w:r>
      <w:r w:rsidR="00DD1DFA" w:rsidRPr="00DD1DFA">
        <w:rPr>
          <w:noProof/>
        </w:rPr>
        <w:t>ich</w:t>
      </w:r>
      <w:r w:rsidRPr="00DD1DFA">
        <w:rPr>
          <w:noProof/>
        </w:rPr>
        <w:t xml:space="preserve"> wykrywania.</w:t>
      </w:r>
    </w:p>
    <w:p w14:paraId="721F31AB" w14:textId="77777777" w:rsidR="005D44AF" w:rsidRPr="00DD1DFA" w:rsidRDefault="005D44AF" w:rsidP="005D44AF">
      <w:pPr>
        <w:rPr>
          <w:rFonts w:eastAsia="Calibri"/>
          <w:noProof/>
          <w:szCs w:val="24"/>
          <w:lang w:eastAsia="en-GB"/>
        </w:rPr>
        <w:sectPr w:rsidR="005D44AF" w:rsidRPr="00DD1DFA" w:rsidSect="0037392B">
          <w:pgSz w:w="11907" w:h="16840" w:code="9"/>
          <w:pgMar w:top="1134" w:right="1418" w:bottom="1134" w:left="1418" w:header="709" w:footer="709" w:gutter="0"/>
          <w:cols w:space="708"/>
          <w:docGrid w:linePitch="360"/>
        </w:sectPr>
      </w:pPr>
    </w:p>
    <w:p w14:paraId="31C168AE" w14:textId="55D864DF" w:rsidR="005D44AF" w:rsidRPr="00DD1DFA" w:rsidRDefault="005F7EFA" w:rsidP="005F7EFA">
      <w:pPr>
        <w:pStyle w:val="ManualHeading1"/>
        <w:rPr>
          <w:noProof/>
        </w:rPr>
      </w:pPr>
      <w:bookmarkStart w:id="53" w:name="_Toc514938050"/>
      <w:bookmarkStart w:id="54" w:name="_Toc95761294"/>
      <w:r w:rsidRPr="005F7EFA">
        <w:t>3.</w:t>
      </w:r>
      <w:r w:rsidRPr="005F7EFA">
        <w:tab/>
      </w:r>
      <w:r w:rsidR="005D44AF" w:rsidRPr="00DD1DFA">
        <w:rPr>
          <w:noProof/>
        </w:rPr>
        <w:t>SZACUNKOWY WPŁYW FINANSOWY WNIOSKU/INICJATYWY</w:t>
      </w:r>
      <w:bookmarkEnd w:id="53"/>
      <w:bookmarkEnd w:id="54"/>
      <w:r w:rsidR="005D44AF" w:rsidRPr="00DD1DFA">
        <w:rPr>
          <w:noProof/>
        </w:rPr>
        <w:t xml:space="preserve"> </w:t>
      </w:r>
    </w:p>
    <w:p w14:paraId="63D9A2EA" w14:textId="4297D523" w:rsidR="005D44AF" w:rsidRPr="00DD1DFA" w:rsidRDefault="005F7EFA" w:rsidP="005F7EFA">
      <w:pPr>
        <w:pStyle w:val="ManualHeading2"/>
        <w:rPr>
          <w:noProof/>
        </w:rPr>
      </w:pPr>
      <w:bookmarkStart w:id="55" w:name="_Toc514938051"/>
      <w:bookmarkStart w:id="56" w:name="_Toc95761295"/>
      <w:r w:rsidRPr="005F7EFA">
        <w:t>3.1.</w:t>
      </w:r>
      <w:r w:rsidRPr="005F7EFA">
        <w:tab/>
      </w:r>
      <w:r w:rsidR="005D44AF" w:rsidRPr="00DD1DFA">
        <w:rPr>
          <w:noProof/>
        </w:rPr>
        <w:t>Działy wieloletnich ram finansowych</w:t>
      </w:r>
      <w:r w:rsidR="00DD1DFA" w:rsidRPr="00DD1DFA">
        <w:rPr>
          <w:noProof/>
        </w:rPr>
        <w:t xml:space="preserve"> i</w:t>
      </w:r>
      <w:r w:rsidR="00DD1DFA">
        <w:rPr>
          <w:noProof/>
        </w:rPr>
        <w:t> </w:t>
      </w:r>
      <w:r w:rsidR="00DD1DFA" w:rsidRPr="00DD1DFA">
        <w:rPr>
          <w:noProof/>
        </w:rPr>
        <w:t>lin</w:t>
      </w:r>
      <w:r w:rsidR="005D44AF" w:rsidRPr="00DD1DFA">
        <w:rPr>
          <w:noProof/>
        </w:rPr>
        <w:t>ie budżetowe po stronie wydatków, na które wniosek/inicjatywa ma wpływ</w:t>
      </w:r>
      <w:bookmarkEnd w:id="55"/>
      <w:bookmarkEnd w:id="56"/>
      <w:r w:rsidR="005D44AF" w:rsidRPr="00DD1DFA">
        <w:rPr>
          <w:noProof/>
        </w:rPr>
        <w:t xml:space="preserve"> </w:t>
      </w:r>
    </w:p>
    <w:p w14:paraId="2F4BE4B1" w14:textId="77777777" w:rsidR="005D44AF" w:rsidRPr="00DD1DFA" w:rsidRDefault="005D44AF" w:rsidP="005D44AF">
      <w:pPr>
        <w:tabs>
          <w:tab w:val="num" w:pos="1134"/>
        </w:tabs>
        <w:ind w:left="1134" w:hanging="283"/>
        <w:rPr>
          <w:noProof/>
        </w:rPr>
      </w:pPr>
      <w:r w:rsidRPr="00DD1DFA">
        <w:rPr>
          <w:noProof/>
        </w:rPr>
        <w:t xml:space="preserve">Istniejące linie budżetowe </w:t>
      </w:r>
    </w:p>
    <w:p w14:paraId="0D91338B" w14:textId="388EA370" w:rsidR="005D44AF" w:rsidRPr="00DD1DFA" w:rsidRDefault="005D44AF" w:rsidP="005D44AF">
      <w:pPr>
        <w:ind w:left="850"/>
        <w:rPr>
          <w:i/>
          <w:noProof/>
        </w:rPr>
      </w:pPr>
      <w:r w:rsidRPr="00DD1DFA">
        <w:rPr>
          <w:i/>
          <w:noProof/>
          <w:u w:val="single"/>
        </w:rPr>
        <w:t>Według</w:t>
      </w:r>
      <w:r w:rsidRPr="00DD1DFA">
        <w:rPr>
          <w:i/>
          <w:noProof/>
        </w:rPr>
        <w:t xml:space="preserve"> działów wieloletnich ram finansowych</w:t>
      </w:r>
      <w:r w:rsidR="00DD1DFA" w:rsidRPr="00DD1DFA">
        <w:rPr>
          <w:i/>
          <w:noProof/>
        </w:rPr>
        <w:t xml:space="preserve"> i</w:t>
      </w:r>
      <w:r w:rsidR="00DD1DFA">
        <w:rPr>
          <w:i/>
          <w:noProof/>
        </w:rPr>
        <w:t> </w:t>
      </w:r>
      <w:r w:rsidR="00DD1DFA" w:rsidRPr="00DD1DFA">
        <w:rPr>
          <w:i/>
          <w:noProof/>
        </w:rPr>
        <w:t>lin</w:t>
      </w:r>
      <w:r w:rsidRPr="00DD1DFA">
        <w:rPr>
          <w:i/>
          <w:noProof/>
        </w:rPr>
        <w:t>ii budżetowych.</w:t>
      </w:r>
    </w:p>
    <w:p w14:paraId="16731BCA" w14:textId="77777777" w:rsidR="005D44AF" w:rsidRPr="00DD1DFA" w:rsidRDefault="005D44AF" w:rsidP="005D44AF">
      <w:pPr>
        <w:rPr>
          <w:noProof/>
          <w:lang w:eastAsia="en-GB"/>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D44AF" w:rsidRPr="00DD1DFA" w14:paraId="676C5E86" w14:textId="77777777" w:rsidTr="00380F0F">
        <w:tc>
          <w:tcPr>
            <w:tcW w:w="1080" w:type="dxa"/>
            <w:vMerge w:val="restart"/>
            <w:vAlign w:val="center"/>
          </w:tcPr>
          <w:p w14:paraId="58FDC203" w14:textId="77777777" w:rsidR="005D44AF" w:rsidRPr="00DD1DFA" w:rsidRDefault="005D44AF" w:rsidP="005D44AF">
            <w:pPr>
              <w:spacing w:before="60" w:after="60"/>
              <w:jc w:val="center"/>
              <w:rPr>
                <w:noProof/>
              </w:rPr>
            </w:pPr>
            <w:r w:rsidRPr="00DD1DFA">
              <w:rPr>
                <w:noProof/>
                <w:sz w:val="18"/>
              </w:rPr>
              <w:t>Dział wieloletnich ram finansowych</w:t>
            </w:r>
          </w:p>
        </w:tc>
        <w:tc>
          <w:tcPr>
            <w:tcW w:w="3960" w:type="dxa"/>
            <w:vAlign w:val="center"/>
          </w:tcPr>
          <w:p w14:paraId="1A08DEAF" w14:textId="77777777" w:rsidR="005D44AF" w:rsidRPr="00DD1DFA" w:rsidRDefault="005D44AF" w:rsidP="005D44AF">
            <w:pPr>
              <w:spacing w:before="60" w:after="60"/>
              <w:jc w:val="center"/>
              <w:rPr>
                <w:noProof/>
              </w:rPr>
            </w:pPr>
            <w:r w:rsidRPr="00DD1DFA">
              <w:rPr>
                <w:noProof/>
                <w:sz w:val="20"/>
              </w:rPr>
              <w:t>Linia budżetowa</w:t>
            </w:r>
          </w:p>
        </w:tc>
        <w:tc>
          <w:tcPr>
            <w:tcW w:w="1080" w:type="dxa"/>
            <w:vAlign w:val="center"/>
          </w:tcPr>
          <w:p w14:paraId="6153A123" w14:textId="77777777" w:rsidR="005D44AF" w:rsidRPr="00DD1DFA" w:rsidRDefault="005D44AF" w:rsidP="005D44AF">
            <w:pPr>
              <w:spacing w:before="60" w:after="60"/>
              <w:jc w:val="center"/>
              <w:rPr>
                <w:noProof/>
              </w:rPr>
            </w:pPr>
            <w:r w:rsidRPr="00DD1DFA">
              <w:rPr>
                <w:noProof/>
                <w:sz w:val="18"/>
              </w:rPr>
              <w:t xml:space="preserve">Rodzaj </w:t>
            </w:r>
            <w:r w:rsidRPr="00DD1DFA">
              <w:rPr>
                <w:noProof/>
              </w:rPr>
              <w:br/>
            </w:r>
            <w:r w:rsidRPr="00DD1DFA">
              <w:rPr>
                <w:noProof/>
                <w:sz w:val="18"/>
              </w:rPr>
              <w:t>środków</w:t>
            </w:r>
          </w:p>
        </w:tc>
        <w:tc>
          <w:tcPr>
            <w:tcW w:w="4440" w:type="dxa"/>
            <w:gridSpan w:val="4"/>
            <w:vAlign w:val="center"/>
          </w:tcPr>
          <w:p w14:paraId="60599314" w14:textId="77777777" w:rsidR="005D44AF" w:rsidRPr="00DD1DFA" w:rsidRDefault="005D44AF" w:rsidP="005D44AF">
            <w:pPr>
              <w:spacing w:before="60" w:after="60"/>
              <w:jc w:val="center"/>
              <w:rPr>
                <w:noProof/>
              </w:rPr>
            </w:pPr>
            <w:r w:rsidRPr="00DD1DFA">
              <w:rPr>
                <w:noProof/>
                <w:sz w:val="20"/>
              </w:rPr>
              <w:t xml:space="preserve">Wkład </w:t>
            </w:r>
          </w:p>
        </w:tc>
      </w:tr>
      <w:tr w:rsidR="005D44AF" w:rsidRPr="00DD1DFA" w14:paraId="530AEA91" w14:textId="77777777" w:rsidTr="00380F0F">
        <w:tc>
          <w:tcPr>
            <w:tcW w:w="1080" w:type="dxa"/>
            <w:vMerge/>
            <w:vAlign w:val="center"/>
          </w:tcPr>
          <w:p w14:paraId="437328F9" w14:textId="77777777" w:rsidR="005D44AF" w:rsidRPr="00DD1DFA" w:rsidRDefault="005D44AF" w:rsidP="005D44AF">
            <w:pPr>
              <w:jc w:val="center"/>
              <w:rPr>
                <w:noProof/>
                <w:lang w:eastAsia="en-GB"/>
              </w:rPr>
            </w:pPr>
          </w:p>
        </w:tc>
        <w:tc>
          <w:tcPr>
            <w:tcW w:w="3960" w:type="dxa"/>
            <w:vAlign w:val="center"/>
          </w:tcPr>
          <w:p w14:paraId="33F7C0AF" w14:textId="77777777" w:rsidR="005D44AF" w:rsidRPr="00DD1DFA" w:rsidRDefault="005D44AF" w:rsidP="005D44AF">
            <w:pPr>
              <w:rPr>
                <w:noProof/>
              </w:rPr>
            </w:pPr>
            <w:r w:rsidRPr="00DD1DFA">
              <w:rPr>
                <w:noProof/>
              </w:rPr>
              <w:t xml:space="preserve"> </w:t>
            </w:r>
            <w:r w:rsidRPr="00DD1DFA">
              <w:rPr>
                <w:noProof/>
              </w:rPr>
              <w:br/>
            </w:r>
            <w:r w:rsidRPr="00DD1DFA">
              <w:rPr>
                <w:b/>
                <w:bCs/>
                <w:noProof/>
              </w:rPr>
              <w:t xml:space="preserve">Dział 1 </w:t>
            </w:r>
          </w:p>
          <w:p w14:paraId="42A7C673" w14:textId="45644A1A" w:rsidR="005D44AF" w:rsidRPr="00DD1DFA" w:rsidRDefault="005D44AF" w:rsidP="005D44AF">
            <w:pPr>
              <w:rPr>
                <w:noProof/>
              </w:rPr>
            </w:pPr>
            <w:r w:rsidRPr="00DD1DFA">
              <w:rPr>
                <w:b/>
                <w:bCs/>
                <w:noProof/>
              </w:rPr>
              <w:t>Jednolity rynek, innowacje</w:t>
            </w:r>
            <w:r w:rsidR="00DD1DFA" w:rsidRPr="00DD1DFA">
              <w:rPr>
                <w:b/>
                <w:bCs/>
                <w:noProof/>
              </w:rPr>
              <w:t xml:space="preserve"> i</w:t>
            </w:r>
            <w:r w:rsidR="00DD1DFA">
              <w:rPr>
                <w:b/>
                <w:bCs/>
                <w:noProof/>
              </w:rPr>
              <w:t> </w:t>
            </w:r>
            <w:r w:rsidR="00DD1DFA" w:rsidRPr="00DD1DFA">
              <w:rPr>
                <w:b/>
                <w:bCs/>
                <w:noProof/>
              </w:rPr>
              <w:t>gos</w:t>
            </w:r>
            <w:r w:rsidRPr="00DD1DFA">
              <w:rPr>
                <w:b/>
                <w:bCs/>
                <w:noProof/>
              </w:rPr>
              <w:t>podarka cyfrowa</w:t>
            </w:r>
          </w:p>
        </w:tc>
        <w:tc>
          <w:tcPr>
            <w:tcW w:w="1080" w:type="dxa"/>
            <w:vAlign w:val="center"/>
          </w:tcPr>
          <w:p w14:paraId="3975118E" w14:textId="77777777" w:rsidR="005D44AF" w:rsidRPr="00DD1DFA" w:rsidRDefault="005D44AF" w:rsidP="005D44AF">
            <w:pPr>
              <w:jc w:val="center"/>
              <w:rPr>
                <w:noProof/>
              </w:rPr>
            </w:pPr>
            <w:r w:rsidRPr="00DD1DFA">
              <w:rPr>
                <w:noProof/>
                <w:sz w:val="18"/>
              </w:rPr>
              <w:t>Zróżn./niezróżn.</w:t>
            </w:r>
            <w:r w:rsidRPr="00DD1DFA">
              <w:rPr>
                <w:rStyle w:val="Odwoanieprzypisudolnego"/>
                <w:noProof/>
              </w:rPr>
              <w:footnoteReference w:id="55"/>
            </w:r>
            <w:r w:rsidRPr="00DD1DFA">
              <w:rPr>
                <w:noProof/>
              </w:rPr>
              <w:t>.</w:t>
            </w:r>
          </w:p>
        </w:tc>
        <w:tc>
          <w:tcPr>
            <w:tcW w:w="956" w:type="dxa"/>
            <w:vAlign w:val="center"/>
          </w:tcPr>
          <w:p w14:paraId="5B2F3E04" w14:textId="77777777" w:rsidR="005D44AF" w:rsidRPr="00DD1DFA" w:rsidRDefault="005D44AF" w:rsidP="005D44AF">
            <w:pPr>
              <w:jc w:val="center"/>
              <w:rPr>
                <w:noProof/>
              </w:rPr>
            </w:pPr>
            <w:r w:rsidRPr="00DD1DFA">
              <w:rPr>
                <w:noProof/>
                <w:sz w:val="18"/>
              </w:rPr>
              <w:t>państw EFTA</w:t>
            </w:r>
            <w:r w:rsidRPr="00DD1DFA">
              <w:rPr>
                <w:rStyle w:val="Odwoanieprzypisudolnego"/>
                <w:noProof/>
              </w:rPr>
              <w:footnoteReference w:id="56"/>
            </w:r>
          </w:p>
          <w:p w14:paraId="3E6AF998" w14:textId="77777777" w:rsidR="005D44AF" w:rsidRPr="00DD1DFA" w:rsidRDefault="005D44AF" w:rsidP="005D44AF">
            <w:pPr>
              <w:spacing w:before="0" w:after="0"/>
              <w:jc w:val="center"/>
              <w:rPr>
                <w:b/>
                <w:noProof/>
                <w:sz w:val="18"/>
                <w:lang w:eastAsia="en-GB"/>
              </w:rPr>
            </w:pPr>
          </w:p>
        </w:tc>
        <w:tc>
          <w:tcPr>
            <w:tcW w:w="1080" w:type="dxa"/>
            <w:vAlign w:val="center"/>
          </w:tcPr>
          <w:p w14:paraId="28F60367" w14:textId="77777777" w:rsidR="005D44AF" w:rsidRPr="00DD1DFA" w:rsidRDefault="005D44AF" w:rsidP="005D44AF">
            <w:pPr>
              <w:jc w:val="center"/>
              <w:rPr>
                <w:noProof/>
              </w:rPr>
            </w:pPr>
            <w:r w:rsidRPr="00DD1DFA">
              <w:rPr>
                <w:noProof/>
                <w:sz w:val="18"/>
              </w:rPr>
              <w:t>krajów kandydujących</w:t>
            </w:r>
            <w:r w:rsidRPr="00DD1DFA">
              <w:rPr>
                <w:rStyle w:val="Odwoanieprzypisudolnego"/>
                <w:noProof/>
              </w:rPr>
              <w:footnoteReference w:id="57"/>
            </w:r>
          </w:p>
          <w:p w14:paraId="00ED4F54" w14:textId="77777777" w:rsidR="005D44AF" w:rsidRPr="00DD1DFA" w:rsidRDefault="005D44AF" w:rsidP="005D44AF">
            <w:pPr>
              <w:spacing w:before="0" w:after="0"/>
              <w:jc w:val="center"/>
              <w:rPr>
                <w:noProof/>
                <w:sz w:val="18"/>
                <w:lang w:eastAsia="en-GB"/>
              </w:rPr>
            </w:pPr>
          </w:p>
        </w:tc>
        <w:tc>
          <w:tcPr>
            <w:tcW w:w="956" w:type="dxa"/>
            <w:vAlign w:val="center"/>
          </w:tcPr>
          <w:p w14:paraId="2B08F2E1" w14:textId="77777777" w:rsidR="005D44AF" w:rsidRPr="00DD1DFA" w:rsidRDefault="005D44AF" w:rsidP="005D44AF">
            <w:pPr>
              <w:jc w:val="center"/>
              <w:rPr>
                <w:noProof/>
                <w:sz w:val="18"/>
              </w:rPr>
            </w:pPr>
            <w:r w:rsidRPr="00DD1DFA">
              <w:rPr>
                <w:noProof/>
                <w:sz w:val="18"/>
              </w:rPr>
              <w:t>państw trzecich</w:t>
            </w:r>
          </w:p>
        </w:tc>
        <w:tc>
          <w:tcPr>
            <w:tcW w:w="1448" w:type="dxa"/>
            <w:vAlign w:val="center"/>
          </w:tcPr>
          <w:p w14:paraId="115A5F69" w14:textId="78B40CAE" w:rsidR="005D44AF" w:rsidRPr="00DD1DFA" w:rsidRDefault="005D44AF" w:rsidP="005D44AF">
            <w:pPr>
              <w:jc w:val="center"/>
              <w:rPr>
                <w:noProof/>
              </w:rPr>
            </w:pPr>
            <w:r w:rsidRPr="00DD1DFA">
              <w:rPr>
                <w:noProof/>
                <w:sz w:val="16"/>
              </w:rPr>
              <w:t>w rozumieniu art.</w:t>
            </w:r>
            <w:r w:rsidR="00DD1DFA" w:rsidRPr="00DD1DFA">
              <w:rPr>
                <w:noProof/>
                <w:sz w:val="16"/>
              </w:rPr>
              <w:t> </w:t>
            </w:r>
            <w:r w:rsidRPr="00DD1DFA">
              <w:rPr>
                <w:noProof/>
                <w:sz w:val="16"/>
              </w:rPr>
              <w:t>21 ust.</w:t>
            </w:r>
            <w:r w:rsidR="00DD1DFA" w:rsidRPr="00DD1DFA">
              <w:rPr>
                <w:noProof/>
                <w:sz w:val="16"/>
              </w:rPr>
              <w:t> </w:t>
            </w:r>
            <w:r w:rsidRPr="00DD1DFA">
              <w:rPr>
                <w:noProof/>
                <w:sz w:val="16"/>
              </w:rPr>
              <w:t>2 lit.</w:t>
            </w:r>
            <w:r w:rsidR="00DD1DFA" w:rsidRPr="00DD1DFA">
              <w:rPr>
                <w:noProof/>
                <w:sz w:val="16"/>
              </w:rPr>
              <w:t> </w:t>
            </w:r>
            <w:r w:rsidRPr="00DD1DFA">
              <w:rPr>
                <w:noProof/>
                <w:sz w:val="16"/>
              </w:rPr>
              <w:t xml:space="preserve">b) rozporządzenia finansowego </w:t>
            </w:r>
          </w:p>
        </w:tc>
      </w:tr>
      <w:tr w:rsidR="005D44AF" w:rsidRPr="00DD1DFA" w14:paraId="08133A9B" w14:textId="77777777" w:rsidTr="00380F0F">
        <w:tc>
          <w:tcPr>
            <w:tcW w:w="1080" w:type="dxa"/>
            <w:vAlign w:val="center"/>
          </w:tcPr>
          <w:p w14:paraId="64D58D56" w14:textId="77777777" w:rsidR="005D44AF" w:rsidRPr="00DD1DFA" w:rsidRDefault="005D44AF" w:rsidP="005D44AF">
            <w:pPr>
              <w:jc w:val="center"/>
              <w:rPr>
                <w:noProof/>
                <w:sz w:val="22"/>
              </w:rPr>
            </w:pPr>
            <w:r w:rsidRPr="00DD1DFA">
              <w:rPr>
                <w:noProof/>
                <w:sz w:val="22"/>
              </w:rPr>
              <w:t>1</w:t>
            </w:r>
          </w:p>
        </w:tc>
        <w:tc>
          <w:tcPr>
            <w:tcW w:w="3960" w:type="dxa"/>
            <w:vAlign w:val="center"/>
          </w:tcPr>
          <w:p w14:paraId="6F9BF781" w14:textId="77777777" w:rsidR="005D44AF" w:rsidRPr="00DD1DFA" w:rsidDel="00B82E3C" w:rsidRDefault="005D44AF" w:rsidP="005D44AF">
            <w:pPr>
              <w:spacing w:before="0" w:after="0"/>
              <w:jc w:val="left"/>
              <w:rPr>
                <w:noProof/>
                <w:sz w:val="22"/>
              </w:rPr>
            </w:pPr>
            <w:r w:rsidRPr="00DD1DFA">
              <w:rPr>
                <w:noProof/>
                <w:sz w:val="22"/>
              </w:rPr>
              <w:t>03.010101 - Wydatki na wsparcie dotyczące Programu na rzecz jednolitego rynku</w:t>
            </w:r>
          </w:p>
        </w:tc>
        <w:tc>
          <w:tcPr>
            <w:tcW w:w="1080" w:type="dxa"/>
            <w:vAlign w:val="center"/>
          </w:tcPr>
          <w:p w14:paraId="4D72F2D8" w14:textId="77777777" w:rsidR="005D44AF" w:rsidRPr="00DD1DFA" w:rsidRDefault="005D44AF" w:rsidP="005D44AF">
            <w:pPr>
              <w:jc w:val="center"/>
              <w:rPr>
                <w:noProof/>
                <w:sz w:val="22"/>
              </w:rPr>
            </w:pPr>
            <w:r w:rsidRPr="00DD1DFA">
              <w:rPr>
                <w:noProof/>
                <w:sz w:val="22"/>
              </w:rPr>
              <w:t>Bez zróżn.</w:t>
            </w:r>
          </w:p>
        </w:tc>
        <w:tc>
          <w:tcPr>
            <w:tcW w:w="956" w:type="dxa"/>
            <w:vAlign w:val="center"/>
          </w:tcPr>
          <w:p w14:paraId="4DDB205C" w14:textId="77777777" w:rsidR="005D44AF" w:rsidRPr="00DD1DFA" w:rsidRDefault="005D44AF" w:rsidP="005D44AF">
            <w:pPr>
              <w:jc w:val="center"/>
              <w:rPr>
                <w:noProof/>
                <w:sz w:val="20"/>
                <w:szCs w:val="20"/>
              </w:rPr>
            </w:pPr>
            <w:r w:rsidRPr="00DD1DFA">
              <w:rPr>
                <w:noProof/>
                <w:sz w:val="20"/>
                <w:szCs w:val="20"/>
              </w:rPr>
              <w:t>TAK</w:t>
            </w:r>
          </w:p>
        </w:tc>
        <w:tc>
          <w:tcPr>
            <w:tcW w:w="1080" w:type="dxa"/>
            <w:vAlign w:val="center"/>
          </w:tcPr>
          <w:p w14:paraId="6A7545BB" w14:textId="77777777" w:rsidR="005D44AF" w:rsidRPr="00DD1DFA" w:rsidDel="00B82E3C" w:rsidRDefault="005D44AF" w:rsidP="005D44AF">
            <w:pPr>
              <w:jc w:val="center"/>
              <w:rPr>
                <w:noProof/>
                <w:sz w:val="20"/>
                <w:szCs w:val="20"/>
              </w:rPr>
            </w:pPr>
            <w:r w:rsidRPr="00DD1DFA">
              <w:rPr>
                <w:noProof/>
                <w:sz w:val="20"/>
                <w:szCs w:val="20"/>
              </w:rPr>
              <w:t>NIE</w:t>
            </w:r>
            <w:r w:rsidRPr="00DD1DFA">
              <w:rPr>
                <w:noProof/>
                <w:vertAlign w:val="superscript"/>
              </w:rPr>
              <w:fldChar w:fldCharType="begin" w:fldLock="1"/>
            </w:r>
            <w:r w:rsidRPr="00DD1DFA">
              <w:rPr>
                <w:noProof/>
                <w:vertAlign w:val="superscript"/>
              </w:rPr>
              <w:instrText xml:space="preserve"> NOTEREF _Ref94616618 \h  \* MERGEFORMAT </w:instrText>
            </w:r>
            <w:r w:rsidRPr="00DD1DFA">
              <w:rPr>
                <w:noProof/>
                <w:vertAlign w:val="superscript"/>
              </w:rPr>
            </w:r>
            <w:r w:rsidRPr="00DD1DFA">
              <w:rPr>
                <w:noProof/>
                <w:vertAlign w:val="superscript"/>
              </w:rPr>
              <w:fldChar w:fldCharType="separate"/>
            </w:r>
            <w:r w:rsidRPr="00DD1DFA">
              <w:rPr>
                <w:noProof/>
                <w:vertAlign w:val="superscript"/>
              </w:rPr>
              <w:t>6</w:t>
            </w:r>
            <w:r w:rsidRPr="00DD1DFA">
              <w:rPr>
                <w:noProof/>
                <w:vertAlign w:val="superscript"/>
              </w:rPr>
              <w:fldChar w:fldCharType="end"/>
            </w:r>
          </w:p>
        </w:tc>
        <w:tc>
          <w:tcPr>
            <w:tcW w:w="956" w:type="dxa"/>
            <w:vAlign w:val="center"/>
          </w:tcPr>
          <w:p w14:paraId="30010EBF" w14:textId="77777777" w:rsidR="005D44AF" w:rsidRPr="00DD1DFA" w:rsidDel="00B82E3C" w:rsidRDefault="005D44AF" w:rsidP="005D44AF">
            <w:pPr>
              <w:jc w:val="center"/>
              <w:rPr>
                <w:noProof/>
                <w:sz w:val="20"/>
                <w:szCs w:val="20"/>
              </w:rPr>
            </w:pPr>
            <w:r w:rsidRPr="00DD1DFA">
              <w:rPr>
                <w:noProof/>
                <w:sz w:val="20"/>
                <w:szCs w:val="20"/>
              </w:rPr>
              <w:t>NIE</w:t>
            </w:r>
            <w:r w:rsidRPr="00DD1DFA">
              <w:rPr>
                <w:noProof/>
                <w:vertAlign w:val="superscript"/>
              </w:rPr>
              <w:fldChar w:fldCharType="begin" w:fldLock="1"/>
            </w:r>
            <w:r w:rsidRPr="00DD1DFA">
              <w:rPr>
                <w:noProof/>
                <w:vertAlign w:val="superscript"/>
              </w:rPr>
              <w:instrText xml:space="preserve"> NOTEREF _Ref94616618 \h  \* MERGEFORMAT </w:instrText>
            </w:r>
            <w:r w:rsidRPr="00DD1DFA">
              <w:rPr>
                <w:noProof/>
                <w:vertAlign w:val="superscript"/>
              </w:rPr>
            </w:r>
            <w:r w:rsidRPr="00DD1DFA">
              <w:rPr>
                <w:noProof/>
                <w:vertAlign w:val="superscript"/>
              </w:rPr>
              <w:fldChar w:fldCharType="separate"/>
            </w:r>
            <w:r w:rsidRPr="00DD1DFA">
              <w:rPr>
                <w:noProof/>
                <w:vertAlign w:val="superscript"/>
              </w:rPr>
              <w:t>6</w:t>
            </w:r>
            <w:r w:rsidRPr="00DD1DFA">
              <w:rPr>
                <w:noProof/>
                <w:vertAlign w:val="superscript"/>
              </w:rPr>
              <w:fldChar w:fldCharType="end"/>
            </w:r>
          </w:p>
        </w:tc>
        <w:tc>
          <w:tcPr>
            <w:tcW w:w="1448" w:type="dxa"/>
            <w:vAlign w:val="center"/>
          </w:tcPr>
          <w:p w14:paraId="339F79DF" w14:textId="77777777" w:rsidR="005D44AF" w:rsidRPr="00DD1DFA" w:rsidDel="00B82E3C" w:rsidRDefault="005D44AF" w:rsidP="005D44AF">
            <w:pPr>
              <w:jc w:val="center"/>
              <w:rPr>
                <w:noProof/>
                <w:sz w:val="20"/>
                <w:szCs w:val="20"/>
              </w:rPr>
            </w:pPr>
            <w:r w:rsidRPr="00DD1DFA">
              <w:rPr>
                <w:noProof/>
                <w:sz w:val="20"/>
                <w:szCs w:val="20"/>
              </w:rPr>
              <w:t>NIE</w:t>
            </w:r>
          </w:p>
        </w:tc>
      </w:tr>
      <w:tr w:rsidR="005D44AF" w:rsidRPr="00DD1DFA" w14:paraId="315FF060" w14:textId="77777777" w:rsidTr="00380F0F">
        <w:tc>
          <w:tcPr>
            <w:tcW w:w="1080" w:type="dxa"/>
            <w:vAlign w:val="center"/>
          </w:tcPr>
          <w:p w14:paraId="64BBF092" w14:textId="77777777" w:rsidR="005D44AF" w:rsidRPr="00DD1DFA" w:rsidRDefault="005D44AF" w:rsidP="005D44AF">
            <w:pPr>
              <w:jc w:val="center"/>
              <w:rPr>
                <w:noProof/>
                <w:color w:val="0000FF"/>
              </w:rPr>
            </w:pPr>
            <w:r w:rsidRPr="00DD1DFA">
              <w:rPr>
                <w:noProof/>
              </w:rPr>
              <w:t>1</w:t>
            </w:r>
          </w:p>
        </w:tc>
        <w:tc>
          <w:tcPr>
            <w:tcW w:w="3960" w:type="dxa"/>
            <w:vAlign w:val="center"/>
          </w:tcPr>
          <w:p w14:paraId="19090DF2" w14:textId="08571E1E" w:rsidR="005D44AF" w:rsidRPr="00DD1DFA" w:rsidRDefault="005D44AF" w:rsidP="005D44AF">
            <w:pPr>
              <w:spacing w:after="60"/>
              <w:rPr>
                <w:noProof/>
              </w:rPr>
            </w:pPr>
            <w:r w:rsidRPr="00DD1DFA">
              <w:rPr>
                <w:noProof/>
                <w:sz w:val="22"/>
              </w:rPr>
              <w:t xml:space="preserve">03.020101 – </w:t>
            </w:r>
            <w:r w:rsidRPr="00DD1DFA">
              <w:rPr>
                <w:noProof/>
              </w:rPr>
              <w:t>Funkcjonowanie</w:t>
            </w:r>
            <w:r w:rsidR="00DD1DFA" w:rsidRPr="00DD1DFA">
              <w:rPr>
                <w:noProof/>
              </w:rPr>
              <w:t xml:space="preserve"> i</w:t>
            </w:r>
            <w:r w:rsidR="00DD1DFA">
              <w:rPr>
                <w:noProof/>
              </w:rPr>
              <w:t> </w:t>
            </w:r>
            <w:r w:rsidR="00DD1DFA" w:rsidRPr="00DD1DFA">
              <w:rPr>
                <w:noProof/>
              </w:rPr>
              <w:t>roz</w:t>
            </w:r>
            <w:r w:rsidRPr="00DD1DFA">
              <w:rPr>
                <w:noProof/>
              </w:rPr>
              <w:t>wój rynku wewnętrznego towarów</w:t>
            </w:r>
            <w:r w:rsidR="00DD1DFA" w:rsidRPr="00DD1DFA">
              <w:rPr>
                <w:noProof/>
              </w:rPr>
              <w:t xml:space="preserve"> i</w:t>
            </w:r>
            <w:r w:rsidR="00DD1DFA">
              <w:rPr>
                <w:noProof/>
              </w:rPr>
              <w:t> </w:t>
            </w:r>
            <w:r w:rsidR="00DD1DFA" w:rsidRPr="00DD1DFA">
              <w:rPr>
                <w:noProof/>
              </w:rPr>
              <w:t>usł</w:t>
            </w:r>
            <w:r w:rsidRPr="00DD1DFA">
              <w:rPr>
                <w:noProof/>
              </w:rPr>
              <w:t>ug</w:t>
            </w:r>
          </w:p>
        </w:tc>
        <w:tc>
          <w:tcPr>
            <w:tcW w:w="1080" w:type="dxa"/>
            <w:vAlign w:val="center"/>
          </w:tcPr>
          <w:p w14:paraId="0B68CEE4" w14:textId="77777777" w:rsidR="005D44AF" w:rsidRPr="00DD1DFA" w:rsidRDefault="005D44AF" w:rsidP="005D44AF">
            <w:pPr>
              <w:jc w:val="center"/>
              <w:rPr>
                <w:noProof/>
                <w:color w:val="0000FF"/>
              </w:rPr>
            </w:pPr>
            <w:r w:rsidRPr="00DD1DFA">
              <w:rPr>
                <w:noProof/>
                <w:sz w:val="22"/>
              </w:rPr>
              <w:t>Zróżnicowane</w:t>
            </w:r>
          </w:p>
        </w:tc>
        <w:tc>
          <w:tcPr>
            <w:tcW w:w="956" w:type="dxa"/>
            <w:vAlign w:val="center"/>
          </w:tcPr>
          <w:p w14:paraId="4ED5A95D" w14:textId="77777777" w:rsidR="005D44AF" w:rsidRPr="00DD1DFA" w:rsidRDefault="005D44AF" w:rsidP="005D44AF">
            <w:pPr>
              <w:jc w:val="center"/>
              <w:rPr>
                <w:noProof/>
                <w:sz w:val="20"/>
                <w:szCs w:val="20"/>
              </w:rPr>
            </w:pPr>
            <w:r w:rsidRPr="00DD1DFA">
              <w:rPr>
                <w:noProof/>
                <w:sz w:val="20"/>
                <w:szCs w:val="20"/>
              </w:rPr>
              <w:t>TAK</w:t>
            </w:r>
          </w:p>
        </w:tc>
        <w:tc>
          <w:tcPr>
            <w:tcW w:w="1080" w:type="dxa"/>
            <w:vAlign w:val="center"/>
          </w:tcPr>
          <w:p w14:paraId="75CF38E3" w14:textId="77777777" w:rsidR="005D44AF" w:rsidRPr="00DD1DFA" w:rsidRDefault="005D44AF" w:rsidP="005D44AF">
            <w:pPr>
              <w:jc w:val="center"/>
              <w:rPr>
                <w:noProof/>
                <w:sz w:val="20"/>
                <w:szCs w:val="20"/>
              </w:rPr>
            </w:pPr>
            <w:r w:rsidRPr="00DD1DFA">
              <w:rPr>
                <w:noProof/>
                <w:sz w:val="20"/>
                <w:szCs w:val="20"/>
              </w:rPr>
              <w:t>NIE</w:t>
            </w:r>
            <w:bookmarkStart w:id="57" w:name="_Ref94616618"/>
            <w:r w:rsidRPr="00DD1DFA">
              <w:rPr>
                <w:rStyle w:val="Odwoanieprzypisudolnego"/>
                <w:noProof/>
              </w:rPr>
              <w:footnoteReference w:id="58"/>
            </w:r>
            <w:bookmarkEnd w:id="57"/>
          </w:p>
        </w:tc>
        <w:tc>
          <w:tcPr>
            <w:tcW w:w="956" w:type="dxa"/>
            <w:vAlign w:val="center"/>
          </w:tcPr>
          <w:p w14:paraId="29C65015" w14:textId="77777777" w:rsidR="005D44AF" w:rsidRPr="00DD1DFA" w:rsidRDefault="005D44AF" w:rsidP="005D44AF">
            <w:pPr>
              <w:jc w:val="center"/>
              <w:rPr>
                <w:noProof/>
                <w:sz w:val="20"/>
                <w:szCs w:val="20"/>
              </w:rPr>
            </w:pPr>
            <w:r w:rsidRPr="00DD1DFA">
              <w:rPr>
                <w:noProof/>
                <w:sz w:val="20"/>
                <w:szCs w:val="20"/>
              </w:rPr>
              <w:t>NIE</w:t>
            </w:r>
            <w:r w:rsidRPr="00DD1DFA">
              <w:rPr>
                <w:noProof/>
                <w:vertAlign w:val="superscript"/>
              </w:rPr>
              <w:fldChar w:fldCharType="begin" w:fldLock="1"/>
            </w:r>
            <w:r w:rsidRPr="00DD1DFA">
              <w:rPr>
                <w:noProof/>
                <w:vertAlign w:val="superscript"/>
              </w:rPr>
              <w:instrText xml:space="preserve"> NOTEREF _Ref94616618 \h  \* MERGEFORMAT </w:instrText>
            </w:r>
            <w:r w:rsidRPr="00DD1DFA">
              <w:rPr>
                <w:noProof/>
                <w:vertAlign w:val="superscript"/>
              </w:rPr>
            </w:r>
            <w:r w:rsidRPr="00DD1DFA">
              <w:rPr>
                <w:noProof/>
                <w:vertAlign w:val="superscript"/>
              </w:rPr>
              <w:fldChar w:fldCharType="separate"/>
            </w:r>
            <w:r w:rsidRPr="00DD1DFA">
              <w:rPr>
                <w:noProof/>
                <w:vertAlign w:val="superscript"/>
              </w:rPr>
              <w:t>6</w:t>
            </w:r>
            <w:r w:rsidRPr="00DD1DFA">
              <w:rPr>
                <w:noProof/>
                <w:vertAlign w:val="superscript"/>
              </w:rPr>
              <w:fldChar w:fldCharType="end"/>
            </w:r>
          </w:p>
        </w:tc>
        <w:tc>
          <w:tcPr>
            <w:tcW w:w="1448" w:type="dxa"/>
            <w:vAlign w:val="center"/>
          </w:tcPr>
          <w:p w14:paraId="37FAF398" w14:textId="77777777" w:rsidR="005D44AF" w:rsidRPr="00DD1DFA" w:rsidRDefault="005D44AF" w:rsidP="005D44AF">
            <w:pPr>
              <w:jc w:val="center"/>
              <w:rPr>
                <w:noProof/>
                <w:sz w:val="20"/>
                <w:szCs w:val="20"/>
              </w:rPr>
            </w:pPr>
            <w:r w:rsidRPr="00DD1DFA">
              <w:rPr>
                <w:noProof/>
                <w:sz w:val="20"/>
                <w:szCs w:val="20"/>
              </w:rPr>
              <w:t>NIE</w:t>
            </w:r>
          </w:p>
        </w:tc>
      </w:tr>
    </w:tbl>
    <w:p w14:paraId="48956AC4" w14:textId="77777777" w:rsidR="005D44AF" w:rsidRPr="00DD1DFA" w:rsidRDefault="005D44AF" w:rsidP="005D44AF">
      <w:pPr>
        <w:rPr>
          <w:noProof/>
          <w:lang w:eastAsia="en-GB"/>
        </w:rPr>
        <w:sectPr w:rsidR="005D44AF" w:rsidRPr="00DD1DFA" w:rsidSect="0037392B">
          <w:pgSz w:w="11907" w:h="16840" w:code="1"/>
          <w:pgMar w:top="1134" w:right="1418" w:bottom="1134" w:left="1418" w:header="709" w:footer="709" w:gutter="0"/>
          <w:cols w:space="708"/>
          <w:docGrid w:linePitch="360"/>
        </w:sectPr>
      </w:pPr>
    </w:p>
    <w:p w14:paraId="272DBD84" w14:textId="6462EFD6" w:rsidR="005D44AF" w:rsidRPr="00DD1DFA" w:rsidRDefault="005F7EFA" w:rsidP="005F7EFA">
      <w:pPr>
        <w:pStyle w:val="ManualHeading2"/>
        <w:rPr>
          <w:noProof/>
        </w:rPr>
      </w:pPr>
      <w:bookmarkStart w:id="58" w:name="_Toc514938052"/>
      <w:bookmarkStart w:id="59" w:name="_Toc95761296"/>
      <w:r w:rsidRPr="005F7EFA">
        <w:t>3.2.</w:t>
      </w:r>
      <w:r w:rsidRPr="005F7EFA">
        <w:tab/>
      </w:r>
      <w:r w:rsidR="005D44AF" w:rsidRPr="00DD1DFA">
        <w:rPr>
          <w:noProof/>
        </w:rPr>
        <w:t>Szacunkowy wpływ finansowy wniosku na środki</w:t>
      </w:r>
      <w:bookmarkEnd w:id="58"/>
      <w:bookmarkEnd w:id="59"/>
    </w:p>
    <w:p w14:paraId="20CC4267" w14:textId="53AB0EC8" w:rsidR="005D44AF" w:rsidRPr="00DD1DFA" w:rsidRDefault="005F7EFA" w:rsidP="005F7EFA">
      <w:pPr>
        <w:pStyle w:val="ManualHeading3"/>
        <w:rPr>
          <w:noProof/>
        </w:rPr>
      </w:pPr>
      <w:bookmarkStart w:id="60" w:name="_Toc514938053"/>
      <w:bookmarkStart w:id="61" w:name="_Toc95761297"/>
      <w:r w:rsidRPr="005F7EFA">
        <w:t>3.2.1.</w:t>
      </w:r>
      <w:r w:rsidRPr="005F7EFA">
        <w:tab/>
      </w:r>
      <w:r w:rsidR="005D44AF" w:rsidRPr="00DD1DFA">
        <w:rPr>
          <w:noProof/>
        </w:rPr>
        <w:t>Podsumowanie szacunkowego wpływu na środki operacyjne</w:t>
      </w:r>
      <w:bookmarkEnd w:id="60"/>
      <w:bookmarkEnd w:id="61"/>
      <w:r w:rsidR="005D44AF" w:rsidRPr="00DD1DFA">
        <w:rPr>
          <w:noProof/>
        </w:rPr>
        <w:t xml:space="preserve"> </w:t>
      </w:r>
    </w:p>
    <w:p w14:paraId="571C2DE7" w14:textId="65006009" w:rsidR="005D44AF" w:rsidRPr="00DD1DFA" w:rsidRDefault="0096580A" w:rsidP="005D44AF">
      <w:pPr>
        <w:tabs>
          <w:tab w:val="num" w:pos="1134"/>
        </w:tabs>
        <w:ind w:left="1134" w:hanging="283"/>
        <w:rPr>
          <w:noProof/>
        </w:rPr>
      </w:pPr>
      <w:r w:rsidRPr="00DD1DFA">
        <w:rPr>
          <w:rFonts w:ascii="Wingdings" w:hAnsi="Wingdings"/>
          <w:noProof/>
        </w:rPr>
        <w:t></w:t>
      </w:r>
      <w:r w:rsidRPr="00DD1DFA">
        <w:rPr>
          <w:noProof/>
        </w:rPr>
        <w:tab/>
        <w:t>Wniosek/inicjatywa nie wiąże się</w:t>
      </w:r>
      <w:r w:rsidR="00DD1DFA" w:rsidRPr="00DD1DFA">
        <w:rPr>
          <w:noProof/>
        </w:rPr>
        <w:t xml:space="preserve"> z</w:t>
      </w:r>
      <w:r w:rsidR="00DD1DFA">
        <w:rPr>
          <w:noProof/>
        </w:rPr>
        <w:t> </w:t>
      </w:r>
      <w:r w:rsidR="00DD1DFA" w:rsidRPr="00DD1DFA">
        <w:rPr>
          <w:noProof/>
        </w:rPr>
        <w:t>kon</w:t>
      </w:r>
      <w:r w:rsidRPr="00DD1DFA">
        <w:rPr>
          <w:noProof/>
        </w:rPr>
        <w:t xml:space="preserve">iecznością wykorzystania środków operacyjnych </w:t>
      </w:r>
    </w:p>
    <w:p w14:paraId="6F19D181" w14:textId="3AEED7FD" w:rsidR="005D44AF" w:rsidRPr="00DD1DFA" w:rsidRDefault="0096580A" w:rsidP="005D44AF">
      <w:pPr>
        <w:tabs>
          <w:tab w:val="num" w:pos="1134"/>
        </w:tabs>
        <w:ind w:left="1134" w:hanging="283"/>
        <w:rPr>
          <w:noProof/>
        </w:rPr>
      </w:pPr>
      <w:r w:rsidRPr="00DD1DFA">
        <w:rPr>
          <w:rFonts w:ascii="Wingdings" w:hAnsi="Wingdings"/>
          <w:noProof/>
          <w:color w:val="341A51"/>
          <w:sz w:val="22"/>
          <w:u w:val="single"/>
        </w:rPr>
        <w:t></w:t>
      </w:r>
      <w:r w:rsidRPr="00DD1DFA">
        <w:rPr>
          <w:noProof/>
        </w:rPr>
        <w:tab/>
        <w:t>Wniosek/inicjatywa wiąże się</w:t>
      </w:r>
      <w:r w:rsidR="00DD1DFA" w:rsidRPr="00DD1DFA">
        <w:rPr>
          <w:noProof/>
        </w:rPr>
        <w:t xml:space="preserve"> z</w:t>
      </w:r>
      <w:r w:rsidR="00DD1DFA">
        <w:rPr>
          <w:noProof/>
        </w:rPr>
        <w:t> </w:t>
      </w:r>
      <w:r w:rsidR="00DD1DFA" w:rsidRPr="00DD1DFA">
        <w:rPr>
          <w:noProof/>
        </w:rPr>
        <w:t>kon</w:t>
      </w:r>
      <w:r w:rsidRPr="00DD1DFA">
        <w:rPr>
          <w:noProof/>
        </w:rPr>
        <w:t>iecznością wykorzystania środków operacyjnych, jak określono poniżej:</w:t>
      </w:r>
    </w:p>
    <w:p w14:paraId="4C8732DB" w14:textId="77777777" w:rsidR="005D44AF" w:rsidRPr="00DD1DFA" w:rsidRDefault="005D44AF" w:rsidP="005D44AF">
      <w:pPr>
        <w:jc w:val="right"/>
        <w:rPr>
          <w:noProof/>
          <w:sz w:val="18"/>
          <w:szCs w:val="18"/>
        </w:rPr>
      </w:pPr>
      <w:r w:rsidRPr="00DD1DFA">
        <w:rPr>
          <w:noProof/>
          <w:sz w:val="18"/>
          <w:szCs w:val="18"/>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D44AF" w:rsidRPr="00DD1DFA" w14:paraId="27710D7D" w14:textId="77777777" w:rsidTr="00380F0F">
        <w:trPr>
          <w:jc w:val="center"/>
        </w:trPr>
        <w:tc>
          <w:tcPr>
            <w:tcW w:w="4744" w:type="dxa"/>
            <w:shd w:val="thinDiagStripe" w:color="C0C0C0" w:fill="auto"/>
            <w:vAlign w:val="center"/>
          </w:tcPr>
          <w:p w14:paraId="79B6D219" w14:textId="77777777" w:rsidR="005D44AF" w:rsidRPr="00DD1DFA" w:rsidRDefault="005D44AF" w:rsidP="005D44AF">
            <w:pPr>
              <w:spacing w:before="60" w:after="60"/>
              <w:jc w:val="center"/>
              <w:rPr>
                <w:b/>
                <w:noProof/>
              </w:rPr>
            </w:pPr>
            <w:r w:rsidRPr="00DD1DFA">
              <w:rPr>
                <w:b/>
                <w:noProof/>
                <w:sz w:val="22"/>
              </w:rPr>
              <w:t xml:space="preserve">Dział wieloletnich ram </w:t>
            </w:r>
            <w:r w:rsidRPr="00DD1DFA">
              <w:rPr>
                <w:noProof/>
              </w:rPr>
              <w:br/>
            </w:r>
            <w:r w:rsidRPr="00DD1DFA">
              <w:rPr>
                <w:b/>
                <w:noProof/>
                <w:sz w:val="22"/>
              </w:rPr>
              <w:t xml:space="preserve">finansowych </w:t>
            </w:r>
          </w:p>
        </w:tc>
        <w:tc>
          <w:tcPr>
            <w:tcW w:w="1080" w:type="dxa"/>
            <w:vAlign w:val="center"/>
          </w:tcPr>
          <w:p w14:paraId="75A7016A" w14:textId="77777777" w:rsidR="005D44AF" w:rsidRPr="00DD1DFA" w:rsidRDefault="005D44AF" w:rsidP="005D44AF">
            <w:pPr>
              <w:spacing w:before="60" w:after="60"/>
              <w:jc w:val="center"/>
              <w:rPr>
                <w:noProof/>
              </w:rPr>
            </w:pPr>
            <w:r w:rsidRPr="00DD1DFA">
              <w:rPr>
                <w:noProof/>
                <w:sz w:val="22"/>
              </w:rPr>
              <w:t>1</w:t>
            </w:r>
          </w:p>
        </w:tc>
        <w:tc>
          <w:tcPr>
            <w:tcW w:w="7817" w:type="dxa"/>
            <w:vAlign w:val="center"/>
          </w:tcPr>
          <w:p w14:paraId="22EE34EC" w14:textId="6B798FEC" w:rsidR="005D44AF" w:rsidRPr="00DD1DFA" w:rsidRDefault="005D44AF" w:rsidP="005D44AF">
            <w:pPr>
              <w:spacing w:before="60" w:after="60"/>
              <w:rPr>
                <w:noProof/>
              </w:rPr>
            </w:pPr>
            <w:r w:rsidRPr="00DD1DFA">
              <w:rPr>
                <w:b/>
                <w:bCs/>
                <w:noProof/>
              </w:rPr>
              <w:t>Jednolity rynek, innowacje</w:t>
            </w:r>
            <w:r w:rsidR="00DD1DFA" w:rsidRPr="00DD1DFA">
              <w:rPr>
                <w:b/>
                <w:bCs/>
                <w:noProof/>
              </w:rPr>
              <w:t xml:space="preserve"> i</w:t>
            </w:r>
            <w:r w:rsidR="00DD1DFA">
              <w:rPr>
                <w:b/>
                <w:bCs/>
                <w:noProof/>
              </w:rPr>
              <w:t> </w:t>
            </w:r>
            <w:r w:rsidR="00DD1DFA" w:rsidRPr="00DD1DFA">
              <w:rPr>
                <w:b/>
                <w:bCs/>
                <w:noProof/>
              </w:rPr>
              <w:t>gos</w:t>
            </w:r>
            <w:r w:rsidRPr="00DD1DFA">
              <w:rPr>
                <w:b/>
                <w:bCs/>
                <w:noProof/>
              </w:rPr>
              <w:t>podarka cyfrowa</w:t>
            </w:r>
          </w:p>
        </w:tc>
      </w:tr>
    </w:tbl>
    <w:p w14:paraId="371F4063" w14:textId="77777777" w:rsidR="005D44AF" w:rsidRPr="00DD1DFA" w:rsidRDefault="005D44AF" w:rsidP="005D44AF">
      <w:pPr>
        <w:rPr>
          <w:noProof/>
          <w:sz w:val="16"/>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116"/>
        <w:gridCol w:w="767"/>
        <w:gridCol w:w="868"/>
        <w:gridCol w:w="868"/>
        <w:gridCol w:w="868"/>
        <w:gridCol w:w="1777"/>
      </w:tblGrid>
      <w:tr w:rsidR="001739D6" w:rsidRPr="00DD1DFA" w14:paraId="5741C1C5" w14:textId="77777777" w:rsidTr="00380F0F">
        <w:tc>
          <w:tcPr>
            <w:tcW w:w="3960" w:type="dxa"/>
            <w:vAlign w:val="center"/>
          </w:tcPr>
          <w:p w14:paraId="44F5F6D9" w14:textId="77777777" w:rsidR="001739D6" w:rsidRPr="00DD1DFA" w:rsidRDefault="001739D6" w:rsidP="005D44AF">
            <w:pPr>
              <w:jc w:val="center"/>
              <w:rPr>
                <w:noProof/>
              </w:rPr>
            </w:pPr>
            <w:r w:rsidRPr="00DD1DFA">
              <w:rPr>
                <w:noProof/>
                <w:sz w:val="22"/>
              </w:rPr>
              <w:t>Dyrekcja generalna: DG GROW</w:t>
            </w:r>
          </w:p>
        </w:tc>
        <w:tc>
          <w:tcPr>
            <w:tcW w:w="1560" w:type="dxa"/>
            <w:gridSpan w:val="2"/>
          </w:tcPr>
          <w:p w14:paraId="2B0BB75A" w14:textId="77777777" w:rsidR="001739D6" w:rsidRPr="00DD1DFA" w:rsidRDefault="001739D6" w:rsidP="005D44AF">
            <w:pPr>
              <w:rPr>
                <w:noProof/>
                <w:sz w:val="20"/>
                <w:lang w:eastAsia="en-GB"/>
              </w:rPr>
            </w:pPr>
          </w:p>
        </w:tc>
        <w:tc>
          <w:tcPr>
            <w:tcW w:w="534" w:type="dxa"/>
          </w:tcPr>
          <w:p w14:paraId="7B85CD56" w14:textId="77777777" w:rsidR="001739D6" w:rsidRPr="00DD1DFA" w:rsidRDefault="001739D6" w:rsidP="005D44AF">
            <w:pPr>
              <w:jc w:val="center"/>
              <w:rPr>
                <w:noProof/>
                <w:sz w:val="20"/>
                <w:lang w:eastAsia="en-GB"/>
              </w:rPr>
            </w:pPr>
          </w:p>
        </w:tc>
        <w:tc>
          <w:tcPr>
            <w:tcW w:w="1116" w:type="dxa"/>
            <w:vAlign w:val="center"/>
          </w:tcPr>
          <w:p w14:paraId="57234DAF" w14:textId="77777777" w:rsidR="001739D6" w:rsidRPr="00DD1DFA" w:rsidRDefault="001739D6"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2024</w:t>
            </w:r>
          </w:p>
        </w:tc>
        <w:tc>
          <w:tcPr>
            <w:tcW w:w="767" w:type="dxa"/>
            <w:vAlign w:val="center"/>
          </w:tcPr>
          <w:p w14:paraId="00680CB8" w14:textId="77777777" w:rsidR="001739D6" w:rsidRPr="00DD1DFA" w:rsidRDefault="001739D6"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2025</w:t>
            </w:r>
          </w:p>
        </w:tc>
        <w:tc>
          <w:tcPr>
            <w:tcW w:w="868" w:type="dxa"/>
            <w:vAlign w:val="center"/>
          </w:tcPr>
          <w:p w14:paraId="32BC8FAA" w14:textId="77777777" w:rsidR="001739D6" w:rsidRPr="00DD1DFA" w:rsidRDefault="001739D6"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2026</w:t>
            </w:r>
          </w:p>
        </w:tc>
        <w:tc>
          <w:tcPr>
            <w:tcW w:w="868" w:type="dxa"/>
            <w:vAlign w:val="center"/>
          </w:tcPr>
          <w:p w14:paraId="06E035AB" w14:textId="77777777" w:rsidR="001739D6" w:rsidRPr="00DD1DFA" w:rsidRDefault="001739D6"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2027</w:t>
            </w:r>
          </w:p>
        </w:tc>
        <w:tc>
          <w:tcPr>
            <w:tcW w:w="868" w:type="dxa"/>
            <w:vAlign w:val="center"/>
          </w:tcPr>
          <w:p w14:paraId="627798DE" w14:textId="77777777" w:rsidR="001739D6" w:rsidRPr="00DD1DFA" w:rsidRDefault="001739D6" w:rsidP="005D44AF">
            <w:pPr>
              <w:jc w:val="center"/>
              <w:rPr>
                <w:b/>
                <w:noProof/>
                <w:sz w:val="18"/>
              </w:rPr>
            </w:pPr>
            <w:r w:rsidRPr="00DD1DFA">
              <w:rPr>
                <w:b/>
                <w:noProof/>
                <w:sz w:val="18"/>
              </w:rPr>
              <w:t>Po</w:t>
            </w:r>
            <w:r w:rsidRPr="00DD1DFA">
              <w:rPr>
                <w:noProof/>
              </w:rPr>
              <w:t xml:space="preserve"> </w:t>
            </w:r>
            <w:r w:rsidRPr="00DD1DFA">
              <w:rPr>
                <w:noProof/>
              </w:rPr>
              <w:br/>
            </w:r>
            <w:r w:rsidRPr="00DD1DFA">
              <w:rPr>
                <w:b/>
                <w:noProof/>
                <w:sz w:val="18"/>
              </w:rPr>
              <w:t>2027</w:t>
            </w:r>
          </w:p>
        </w:tc>
        <w:tc>
          <w:tcPr>
            <w:tcW w:w="1777" w:type="dxa"/>
            <w:vAlign w:val="center"/>
          </w:tcPr>
          <w:p w14:paraId="21305BE2" w14:textId="77777777" w:rsidR="001739D6" w:rsidRPr="00DD1DFA" w:rsidRDefault="001739D6" w:rsidP="005D44AF">
            <w:pPr>
              <w:jc w:val="center"/>
              <w:rPr>
                <w:b/>
                <w:noProof/>
                <w:sz w:val="20"/>
              </w:rPr>
            </w:pPr>
            <w:r w:rsidRPr="00DD1DFA">
              <w:rPr>
                <w:b/>
                <w:noProof/>
                <w:sz w:val="20"/>
              </w:rPr>
              <w:t>OGÓŁEM</w:t>
            </w:r>
          </w:p>
        </w:tc>
      </w:tr>
      <w:tr w:rsidR="001739D6" w:rsidRPr="00DD1DFA" w14:paraId="0449B3D6" w14:textId="77777777" w:rsidTr="00380F0F">
        <w:trPr>
          <w:trHeight w:val="213"/>
        </w:trPr>
        <w:tc>
          <w:tcPr>
            <w:tcW w:w="6054" w:type="dxa"/>
            <w:gridSpan w:val="4"/>
            <w:vAlign w:val="center"/>
          </w:tcPr>
          <w:p w14:paraId="10B38626" w14:textId="77777777" w:rsidR="001739D6" w:rsidRPr="00DD1DFA" w:rsidRDefault="001739D6" w:rsidP="005D44AF">
            <w:pPr>
              <w:spacing w:before="20" w:after="20"/>
              <w:rPr>
                <w:noProof/>
                <w:sz w:val="21"/>
              </w:rPr>
            </w:pPr>
            <w:r w:rsidRPr="00DD1DFA">
              <w:rPr>
                <w:rFonts w:ascii="Wingdings" w:hAnsi="Wingdings"/>
                <w:noProof/>
                <w:sz w:val="21"/>
              </w:rPr>
              <w:t>□</w:t>
            </w:r>
            <w:r w:rsidRPr="00DD1DFA">
              <w:rPr>
                <w:noProof/>
                <w:sz w:val="21"/>
              </w:rPr>
              <w:t xml:space="preserve"> Środki operacyjne </w:t>
            </w:r>
          </w:p>
        </w:tc>
        <w:tc>
          <w:tcPr>
            <w:tcW w:w="1116" w:type="dxa"/>
            <w:vAlign w:val="center"/>
          </w:tcPr>
          <w:p w14:paraId="522E22A4" w14:textId="77777777" w:rsidR="001739D6" w:rsidRPr="00DD1DFA" w:rsidRDefault="001739D6" w:rsidP="005D44AF">
            <w:pPr>
              <w:rPr>
                <w:noProof/>
                <w:sz w:val="20"/>
                <w:lang w:eastAsia="en-GB"/>
              </w:rPr>
            </w:pPr>
          </w:p>
        </w:tc>
        <w:tc>
          <w:tcPr>
            <w:tcW w:w="767" w:type="dxa"/>
            <w:vAlign w:val="center"/>
          </w:tcPr>
          <w:p w14:paraId="4EF3C851" w14:textId="77777777" w:rsidR="001739D6" w:rsidRPr="00DD1DFA" w:rsidRDefault="001739D6" w:rsidP="005D44AF">
            <w:pPr>
              <w:rPr>
                <w:noProof/>
                <w:sz w:val="20"/>
                <w:lang w:eastAsia="en-GB"/>
              </w:rPr>
            </w:pPr>
          </w:p>
        </w:tc>
        <w:tc>
          <w:tcPr>
            <w:tcW w:w="868" w:type="dxa"/>
            <w:vAlign w:val="center"/>
          </w:tcPr>
          <w:p w14:paraId="7958A3FD" w14:textId="77777777" w:rsidR="001739D6" w:rsidRPr="00DD1DFA" w:rsidRDefault="001739D6" w:rsidP="005D44AF">
            <w:pPr>
              <w:rPr>
                <w:noProof/>
                <w:sz w:val="20"/>
                <w:lang w:eastAsia="en-GB"/>
              </w:rPr>
            </w:pPr>
          </w:p>
        </w:tc>
        <w:tc>
          <w:tcPr>
            <w:tcW w:w="868" w:type="dxa"/>
            <w:vAlign w:val="center"/>
          </w:tcPr>
          <w:p w14:paraId="58981593" w14:textId="77777777" w:rsidR="001739D6" w:rsidRPr="00DD1DFA" w:rsidRDefault="001739D6" w:rsidP="005D44AF">
            <w:pPr>
              <w:rPr>
                <w:noProof/>
                <w:sz w:val="20"/>
                <w:lang w:eastAsia="en-GB"/>
              </w:rPr>
            </w:pPr>
          </w:p>
        </w:tc>
        <w:tc>
          <w:tcPr>
            <w:tcW w:w="868" w:type="dxa"/>
            <w:vAlign w:val="center"/>
          </w:tcPr>
          <w:p w14:paraId="5D807B32" w14:textId="77777777" w:rsidR="001739D6" w:rsidRPr="00DD1DFA" w:rsidRDefault="001739D6" w:rsidP="005D44AF">
            <w:pPr>
              <w:rPr>
                <w:b/>
                <w:noProof/>
                <w:sz w:val="20"/>
                <w:lang w:eastAsia="en-GB"/>
              </w:rPr>
            </w:pPr>
          </w:p>
        </w:tc>
        <w:tc>
          <w:tcPr>
            <w:tcW w:w="1777" w:type="dxa"/>
            <w:vAlign w:val="center"/>
          </w:tcPr>
          <w:p w14:paraId="2503225B" w14:textId="77777777" w:rsidR="001739D6" w:rsidRPr="00DD1DFA" w:rsidRDefault="001739D6" w:rsidP="005D44AF">
            <w:pPr>
              <w:rPr>
                <w:b/>
                <w:noProof/>
                <w:sz w:val="20"/>
                <w:lang w:eastAsia="en-GB"/>
              </w:rPr>
            </w:pPr>
          </w:p>
        </w:tc>
      </w:tr>
      <w:tr w:rsidR="001739D6" w:rsidRPr="00DD1DFA" w14:paraId="58BAF95D" w14:textId="77777777" w:rsidTr="00380F0F">
        <w:trPr>
          <w:trHeight w:val="277"/>
        </w:trPr>
        <w:tc>
          <w:tcPr>
            <w:tcW w:w="3960" w:type="dxa"/>
            <w:vMerge w:val="restart"/>
            <w:vAlign w:val="center"/>
          </w:tcPr>
          <w:p w14:paraId="1A84C3C1" w14:textId="77777777" w:rsidR="001739D6" w:rsidRPr="00DD1DFA" w:rsidRDefault="001739D6" w:rsidP="005D44AF">
            <w:pPr>
              <w:rPr>
                <w:noProof/>
              </w:rPr>
            </w:pPr>
            <w:r w:rsidRPr="00DD1DFA">
              <w:rPr>
                <w:noProof/>
                <w:sz w:val="20"/>
              </w:rPr>
              <w:t>03.020101</w:t>
            </w:r>
          </w:p>
        </w:tc>
        <w:tc>
          <w:tcPr>
            <w:tcW w:w="1440" w:type="dxa"/>
            <w:vAlign w:val="center"/>
          </w:tcPr>
          <w:p w14:paraId="725680A0" w14:textId="77777777" w:rsidR="001739D6" w:rsidRPr="00DD1DFA" w:rsidRDefault="001739D6" w:rsidP="005D44AF">
            <w:pPr>
              <w:spacing w:before="20" w:after="20"/>
              <w:rPr>
                <w:noProof/>
                <w:sz w:val="18"/>
              </w:rPr>
            </w:pPr>
            <w:r w:rsidRPr="00DD1DFA">
              <w:rPr>
                <w:noProof/>
                <w:sz w:val="18"/>
              </w:rPr>
              <w:t>Środki na zobowiązania</w:t>
            </w:r>
          </w:p>
        </w:tc>
        <w:tc>
          <w:tcPr>
            <w:tcW w:w="654" w:type="dxa"/>
            <w:gridSpan w:val="2"/>
            <w:vAlign w:val="center"/>
          </w:tcPr>
          <w:p w14:paraId="7B917F32" w14:textId="77777777" w:rsidR="001739D6" w:rsidRPr="00DD1DFA" w:rsidRDefault="001739D6" w:rsidP="005D44AF">
            <w:pPr>
              <w:spacing w:before="20" w:after="20"/>
              <w:jc w:val="center"/>
              <w:rPr>
                <w:noProof/>
                <w:sz w:val="14"/>
              </w:rPr>
            </w:pPr>
            <w:r w:rsidRPr="00DD1DFA">
              <w:rPr>
                <w:noProof/>
                <w:sz w:val="14"/>
              </w:rPr>
              <w:t>(1a)</w:t>
            </w:r>
          </w:p>
        </w:tc>
        <w:tc>
          <w:tcPr>
            <w:tcW w:w="1116" w:type="dxa"/>
            <w:vAlign w:val="center"/>
          </w:tcPr>
          <w:p w14:paraId="17C991C9" w14:textId="77777777" w:rsidR="001739D6" w:rsidRPr="00DD1DFA" w:rsidRDefault="001739D6" w:rsidP="005D44AF">
            <w:pPr>
              <w:spacing w:before="20" w:after="20"/>
              <w:jc w:val="right"/>
              <w:rPr>
                <w:noProof/>
                <w:sz w:val="20"/>
              </w:rPr>
            </w:pPr>
            <w:r w:rsidRPr="00DD1DFA">
              <w:rPr>
                <w:noProof/>
                <w:sz w:val="20"/>
              </w:rPr>
              <w:t>0,860</w:t>
            </w:r>
          </w:p>
        </w:tc>
        <w:tc>
          <w:tcPr>
            <w:tcW w:w="767" w:type="dxa"/>
            <w:vAlign w:val="center"/>
          </w:tcPr>
          <w:p w14:paraId="2AEA7FCC" w14:textId="77777777" w:rsidR="001739D6" w:rsidRPr="00DD1DFA" w:rsidRDefault="001739D6" w:rsidP="005D44AF">
            <w:pPr>
              <w:spacing w:before="20" w:after="20"/>
              <w:jc w:val="right"/>
              <w:rPr>
                <w:noProof/>
                <w:sz w:val="20"/>
              </w:rPr>
            </w:pPr>
            <w:r w:rsidRPr="00DD1DFA">
              <w:rPr>
                <w:noProof/>
                <w:sz w:val="20"/>
              </w:rPr>
              <w:t>0,860</w:t>
            </w:r>
          </w:p>
        </w:tc>
        <w:tc>
          <w:tcPr>
            <w:tcW w:w="868" w:type="dxa"/>
            <w:vAlign w:val="center"/>
          </w:tcPr>
          <w:p w14:paraId="01357C4C" w14:textId="77777777" w:rsidR="001739D6" w:rsidRPr="00DD1DFA" w:rsidRDefault="001739D6" w:rsidP="005D44AF">
            <w:pPr>
              <w:spacing w:before="20" w:after="20"/>
              <w:jc w:val="right"/>
              <w:rPr>
                <w:noProof/>
                <w:sz w:val="20"/>
              </w:rPr>
            </w:pPr>
            <w:r w:rsidRPr="00DD1DFA">
              <w:rPr>
                <w:noProof/>
                <w:sz w:val="20"/>
              </w:rPr>
              <w:t>0,860</w:t>
            </w:r>
          </w:p>
        </w:tc>
        <w:tc>
          <w:tcPr>
            <w:tcW w:w="868" w:type="dxa"/>
            <w:vAlign w:val="center"/>
          </w:tcPr>
          <w:p w14:paraId="7BEE1226" w14:textId="77777777" w:rsidR="001739D6" w:rsidRPr="00DD1DFA" w:rsidRDefault="001739D6" w:rsidP="005D44AF">
            <w:pPr>
              <w:spacing w:before="20" w:after="20"/>
              <w:jc w:val="right"/>
              <w:rPr>
                <w:noProof/>
                <w:sz w:val="20"/>
              </w:rPr>
            </w:pPr>
            <w:r w:rsidRPr="00DD1DFA">
              <w:rPr>
                <w:noProof/>
                <w:sz w:val="20"/>
              </w:rPr>
              <w:t>0,860</w:t>
            </w:r>
          </w:p>
        </w:tc>
        <w:tc>
          <w:tcPr>
            <w:tcW w:w="868" w:type="dxa"/>
            <w:shd w:val="clear" w:color="auto" w:fill="BFBFBF" w:themeFill="background1" w:themeFillShade="BF"/>
            <w:vAlign w:val="center"/>
          </w:tcPr>
          <w:p w14:paraId="773B31E4" w14:textId="77777777" w:rsidR="001739D6" w:rsidRPr="00DD1DFA" w:rsidRDefault="001739D6" w:rsidP="005D44AF">
            <w:pPr>
              <w:spacing w:before="20" w:after="20"/>
              <w:jc w:val="right"/>
              <w:rPr>
                <w:b/>
                <w:noProof/>
                <w:sz w:val="20"/>
                <w:lang w:eastAsia="en-GB"/>
              </w:rPr>
            </w:pPr>
          </w:p>
        </w:tc>
        <w:tc>
          <w:tcPr>
            <w:tcW w:w="1777" w:type="dxa"/>
            <w:vAlign w:val="center"/>
          </w:tcPr>
          <w:p w14:paraId="34F5E766" w14:textId="77777777" w:rsidR="001739D6" w:rsidRPr="00DD1DFA" w:rsidRDefault="001739D6" w:rsidP="005D44AF">
            <w:pPr>
              <w:spacing w:before="20" w:after="20"/>
              <w:jc w:val="right"/>
              <w:rPr>
                <w:b/>
                <w:noProof/>
                <w:sz w:val="20"/>
              </w:rPr>
            </w:pPr>
            <w:r w:rsidRPr="00DD1DFA">
              <w:rPr>
                <w:b/>
                <w:noProof/>
                <w:sz w:val="20"/>
              </w:rPr>
              <w:t>3,440</w:t>
            </w:r>
          </w:p>
        </w:tc>
      </w:tr>
      <w:tr w:rsidR="001739D6" w:rsidRPr="00DD1DFA" w14:paraId="50DB6948" w14:textId="77777777" w:rsidTr="00380F0F">
        <w:tc>
          <w:tcPr>
            <w:tcW w:w="3960" w:type="dxa"/>
            <w:vMerge/>
          </w:tcPr>
          <w:p w14:paraId="17FD3F4D" w14:textId="77777777" w:rsidR="001739D6" w:rsidRPr="00DD1DFA" w:rsidRDefault="001739D6" w:rsidP="005D44AF">
            <w:pPr>
              <w:jc w:val="center"/>
              <w:rPr>
                <w:noProof/>
                <w:sz w:val="20"/>
                <w:lang w:eastAsia="en-GB"/>
              </w:rPr>
            </w:pPr>
          </w:p>
        </w:tc>
        <w:tc>
          <w:tcPr>
            <w:tcW w:w="1440" w:type="dxa"/>
            <w:vAlign w:val="center"/>
          </w:tcPr>
          <w:p w14:paraId="697230A1" w14:textId="77777777" w:rsidR="001739D6" w:rsidRPr="00DD1DFA" w:rsidRDefault="001739D6" w:rsidP="005D44AF">
            <w:pPr>
              <w:spacing w:before="20" w:after="20"/>
              <w:rPr>
                <w:noProof/>
                <w:sz w:val="18"/>
              </w:rPr>
            </w:pPr>
            <w:r w:rsidRPr="00DD1DFA">
              <w:rPr>
                <w:noProof/>
                <w:sz w:val="18"/>
              </w:rPr>
              <w:t>Środki na płatności</w:t>
            </w:r>
          </w:p>
        </w:tc>
        <w:tc>
          <w:tcPr>
            <w:tcW w:w="654" w:type="dxa"/>
            <w:gridSpan w:val="2"/>
            <w:vAlign w:val="center"/>
          </w:tcPr>
          <w:p w14:paraId="5CC09183" w14:textId="77777777" w:rsidR="001739D6" w:rsidRPr="00DD1DFA" w:rsidRDefault="001739D6" w:rsidP="005D44AF">
            <w:pPr>
              <w:spacing w:before="20" w:after="20"/>
              <w:jc w:val="center"/>
              <w:rPr>
                <w:noProof/>
                <w:sz w:val="14"/>
              </w:rPr>
            </w:pPr>
            <w:r w:rsidRPr="00DD1DFA">
              <w:rPr>
                <w:noProof/>
                <w:sz w:val="14"/>
              </w:rPr>
              <w:t>(2a)</w:t>
            </w:r>
          </w:p>
        </w:tc>
        <w:tc>
          <w:tcPr>
            <w:tcW w:w="1116" w:type="dxa"/>
            <w:vAlign w:val="center"/>
          </w:tcPr>
          <w:p w14:paraId="629B468C" w14:textId="77777777" w:rsidR="001739D6" w:rsidRPr="00DD1DFA" w:rsidRDefault="001739D6" w:rsidP="005D44AF">
            <w:pPr>
              <w:spacing w:before="20" w:after="20"/>
              <w:jc w:val="right"/>
              <w:rPr>
                <w:noProof/>
                <w:sz w:val="20"/>
              </w:rPr>
            </w:pPr>
            <w:r w:rsidRPr="00DD1DFA">
              <w:rPr>
                <w:noProof/>
                <w:sz w:val="20"/>
              </w:rPr>
              <w:t>0,258</w:t>
            </w:r>
          </w:p>
        </w:tc>
        <w:tc>
          <w:tcPr>
            <w:tcW w:w="767" w:type="dxa"/>
            <w:vAlign w:val="center"/>
          </w:tcPr>
          <w:p w14:paraId="79EE61A4" w14:textId="77777777" w:rsidR="001739D6" w:rsidRPr="00DD1DFA" w:rsidRDefault="001739D6" w:rsidP="005D44AF">
            <w:pPr>
              <w:spacing w:before="20" w:after="20"/>
              <w:jc w:val="right"/>
              <w:rPr>
                <w:noProof/>
                <w:sz w:val="20"/>
              </w:rPr>
            </w:pPr>
            <w:r w:rsidRPr="00DD1DFA">
              <w:rPr>
                <w:noProof/>
                <w:sz w:val="20"/>
              </w:rPr>
              <w:t>0,688</w:t>
            </w:r>
          </w:p>
        </w:tc>
        <w:tc>
          <w:tcPr>
            <w:tcW w:w="868" w:type="dxa"/>
            <w:vAlign w:val="center"/>
          </w:tcPr>
          <w:p w14:paraId="4924C94A" w14:textId="77777777" w:rsidR="001739D6" w:rsidRPr="00DD1DFA" w:rsidRDefault="001739D6" w:rsidP="005D44AF">
            <w:pPr>
              <w:spacing w:before="20" w:after="20"/>
              <w:jc w:val="right"/>
              <w:rPr>
                <w:noProof/>
                <w:sz w:val="20"/>
              </w:rPr>
            </w:pPr>
            <w:r w:rsidRPr="00DD1DFA">
              <w:rPr>
                <w:noProof/>
                <w:sz w:val="20"/>
              </w:rPr>
              <w:t>0,860</w:t>
            </w:r>
          </w:p>
        </w:tc>
        <w:tc>
          <w:tcPr>
            <w:tcW w:w="868" w:type="dxa"/>
            <w:vAlign w:val="center"/>
          </w:tcPr>
          <w:p w14:paraId="234AE756" w14:textId="77777777" w:rsidR="001739D6" w:rsidRPr="00DD1DFA" w:rsidRDefault="001739D6" w:rsidP="005D44AF">
            <w:pPr>
              <w:spacing w:before="20" w:after="20"/>
              <w:jc w:val="right"/>
              <w:rPr>
                <w:noProof/>
                <w:sz w:val="20"/>
              </w:rPr>
            </w:pPr>
            <w:r w:rsidRPr="00DD1DFA">
              <w:rPr>
                <w:noProof/>
                <w:sz w:val="20"/>
              </w:rPr>
              <w:t>0,860</w:t>
            </w:r>
          </w:p>
        </w:tc>
        <w:tc>
          <w:tcPr>
            <w:tcW w:w="868" w:type="dxa"/>
            <w:vAlign w:val="center"/>
          </w:tcPr>
          <w:p w14:paraId="0B99A4B7" w14:textId="77777777" w:rsidR="001739D6" w:rsidRPr="00DD1DFA" w:rsidRDefault="001739D6" w:rsidP="005D44AF">
            <w:pPr>
              <w:spacing w:before="20" w:after="20"/>
              <w:jc w:val="right"/>
              <w:rPr>
                <w:noProof/>
                <w:sz w:val="20"/>
              </w:rPr>
            </w:pPr>
            <w:r w:rsidRPr="00DD1DFA">
              <w:rPr>
                <w:noProof/>
                <w:sz w:val="20"/>
              </w:rPr>
              <w:t>0,774</w:t>
            </w:r>
          </w:p>
        </w:tc>
        <w:tc>
          <w:tcPr>
            <w:tcW w:w="1777" w:type="dxa"/>
            <w:vAlign w:val="center"/>
          </w:tcPr>
          <w:p w14:paraId="2050A51F" w14:textId="77777777" w:rsidR="001739D6" w:rsidRPr="00DD1DFA" w:rsidRDefault="001739D6" w:rsidP="005D44AF">
            <w:pPr>
              <w:spacing w:before="20" w:after="20"/>
              <w:jc w:val="right"/>
              <w:rPr>
                <w:b/>
                <w:noProof/>
                <w:sz w:val="20"/>
              </w:rPr>
            </w:pPr>
            <w:r w:rsidRPr="00DD1DFA">
              <w:rPr>
                <w:b/>
                <w:noProof/>
                <w:sz w:val="20"/>
              </w:rPr>
              <w:t>5,160</w:t>
            </w:r>
          </w:p>
        </w:tc>
      </w:tr>
      <w:tr w:rsidR="001739D6" w:rsidRPr="00DD1DFA" w14:paraId="3FDCA5E4" w14:textId="77777777" w:rsidTr="00380F0F">
        <w:trPr>
          <w:trHeight w:val="231"/>
        </w:trPr>
        <w:tc>
          <w:tcPr>
            <w:tcW w:w="6054" w:type="dxa"/>
            <w:gridSpan w:val="4"/>
            <w:vAlign w:val="center"/>
          </w:tcPr>
          <w:p w14:paraId="0C62D2E4" w14:textId="77777777" w:rsidR="001739D6" w:rsidRPr="00DD1DFA" w:rsidRDefault="001739D6" w:rsidP="005D44AF">
            <w:pPr>
              <w:spacing w:before="20" w:after="20"/>
              <w:rPr>
                <w:noProof/>
              </w:rPr>
            </w:pPr>
            <w:r w:rsidRPr="00DD1DFA">
              <w:rPr>
                <w:noProof/>
                <w:sz w:val="21"/>
              </w:rPr>
              <w:t>Środki administracyjne finansowane ze środków przydzielonych na określone programy</w:t>
            </w:r>
            <w:r w:rsidRPr="00DD1DFA">
              <w:rPr>
                <w:rStyle w:val="Odwoanieprzypisudolnego"/>
                <w:noProof/>
              </w:rPr>
              <w:footnoteReference w:id="59"/>
            </w:r>
            <w:r w:rsidRPr="00DD1DFA">
              <w:rPr>
                <w:noProof/>
                <w:sz w:val="21"/>
              </w:rPr>
              <w:t xml:space="preserve"> </w:t>
            </w:r>
          </w:p>
          <w:p w14:paraId="46411F3D" w14:textId="77777777" w:rsidR="001739D6" w:rsidRPr="00DD1DFA" w:rsidRDefault="001739D6" w:rsidP="005D44AF">
            <w:pPr>
              <w:spacing w:before="0" w:after="0"/>
              <w:rPr>
                <w:noProof/>
                <w:lang w:eastAsia="en-GB"/>
              </w:rPr>
            </w:pPr>
          </w:p>
        </w:tc>
        <w:tc>
          <w:tcPr>
            <w:tcW w:w="1116" w:type="dxa"/>
            <w:vAlign w:val="center"/>
          </w:tcPr>
          <w:p w14:paraId="4B5839A8" w14:textId="77777777" w:rsidR="001739D6" w:rsidRPr="00DD1DFA" w:rsidRDefault="001739D6" w:rsidP="005D44AF">
            <w:pPr>
              <w:rPr>
                <w:b/>
                <w:noProof/>
                <w:sz w:val="20"/>
                <w:lang w:eastAsia="en-GB"/>
              </w:rPr>
            </w:pPr>
          </w:p>
        </w:tc>
        <w:tc>
          <w:tcPr>
            <w:tcW w:w="767" w:type="dxa"/>
            <w:vAlign w:val="center"/>
          </w:tcPr>
          <w:p w14:paraId="12A8BB59" w14:textId="77777777" w:rsidR="001739D6" w:rsidRPr="00DD1DFA" w:rsidRDefault="001739D6" w:rsidP="005D44AF">
            <w:pPr>
              <w:rPr>
                <w:b/>
                <w:noProof/>
                <w:sz w:val="20"/>
                <w:lang w:eastAsia="en-GB"/>
              </w:rPr>
            </w:pPr>
          </w:p>
        </w:tc>
        <w:tc>
          <w:tcPr>
            <w:tcW w:w="868" w:type="dxa"/>
            <w:vAlign w:val="center"/>
          </w:tcPr>
          <w:p w14:paraId="6E280C96" w14:textId="77777777" w:rsidR="001739D6" w:rsidRPr="00DD1DFA" w:rsidRDefault="001739D6" w:rsidP="005D44AF">
            <w:pPr>
              <w:rPr>
                <w:b/>
                <w:noProof/>
                <w:sz w:val="20"/>
                <w:lang w:eastAsia="en-GB"/>
              </w:rPr>
            </w:pPr>
          </w:p>
        </w:tc>
        <w:tc>
          <w:tcPr>
            <w:tcW w:w="868" w:type="dxa"/>
            <w:vAlign w:val="center"/>
          </w:tcPr>
          <w:p w14:paraId="1177CCBB" w14:textId="77777777" w:rsidR="001739D6" w:rsidRPr="00DD1DFA" w:rsidRDefault="001739D6" w:rsidP="005D44AF">
            <w:pPr>
              <w:rPr>
                <w:b/>
                <w:noProof/>
                <w:sz w:val="20"/>
                <w:lang w:eastAsia="en-GB"/>
              </w:rPr>
            </w:pPr>
          </w:p>
        </w:tc>
        <w:tc>
          <w:tcPr>
            <w:tcW w:w="868" w:type="dxa"/>
            <w:vAlign w:val="center"/>
          </w:tcPr>
          <w:p w14:paraId="3BF5EDB0" w14:textId="77777777" w:rsidR="001739D6" w:rsidRPr="00DD1DFA" w:rsidRDefault="001739D6" w:rsidP="005D44AF">
            <w:pPr>
              <w:rPr>
                <w:b/>
                <w:noProof/>
                <w:sz w:val="20"/>
                <w:lang w:eastAsia="en-GB"/>
              </w:rPr>
            </w:pPr>
          </w:p>
        </w:tc>
        <w:tc>
          <w:tcPr>
            <w:tcW w:w="1777" w:type="dxa"/>
            <w:vAlign w:val="center"/>
          </w:tcPr>
          <w:p w14:paraId="64AC44EA" w14:textId="77777777" w:rsidR="001739D6" w:rsidRPr="00DD1DFA" w:rsidRDefault="001739D6" w:rsidP="005D44AF">
            <w:pPr>
              <w:rPr>
                <w:b/>
                <w:noProof/>
                <w:sz w:val="20"/>
                <w:lang w:eastAsia="en-GB"/>
              </w:rPr>
            </w:pPr>
          </w:p>
        </w:tc>
      </w:tr>
      <w:tr w:rsidR="001739D6" w:rsidRPr="00DD1DFA" w14:paraId="4D9B1B6B" w14:textId="77777777" w:rsidTr="00380F0F">
        <w:trPr>
          <w:trHeight w:val="319"/>
        </w:trPr>
        <w:tc>
          <w:tcPr>
            <w:tcW w:w="3960" w:type="dxa"/>
            <w:vAlign w:val="center"/>
          </w:tcPr>
          <w:p w14:paraId="0ED4F05A" w14:textId="77777777" w:rsidR="001739D6" w:rsidRPr="00DD1DFA" w:rsidRDefault="001739D6" w:rsidP="005D44AF">
            <w:pPr>
              <w:spacing w:before="60" w:after="60"/>
              <w:rPr>
                <w:noProof/>
                <w:highlight w:val="cyan"/>
              </w:rPr>
            </w:pPr>
            <w:r w:rsidRPr="00DD1DFA">
              <w:rPr>
                <w:noProof/>
                <w:sz w:val="20"/>
              </w:rPr>
              <w:t>Linia budżetowa 03.010101</w:t>
            </w:r>
          </w:p>
        </w:tc>
        <w:tc>
          <w:tcPr>
            <w:tcW w:w="1440" w:type="dxa"/>
            <w:vAlign w:val="center"/>
          </w:tcPr>
          <w:p w14:paraId="1A155BFA" w14:textId="77777777" w:rsidR="001739D6" w:rsidRPr="00DD1DFA" w:rsidRDefault="001739D6" w:rsidP="005D44AF">
            <w:pPr>
              <w:spacing w:before="40" w:after="40"/>
              <w:jc w:val="right"/>
              <w:rPr>
                <w:noProof/>
                <w:sz w:val="18"/>
                <w:lang w:eastAsia="en-GB"/>
              </w:rPr>
            </w:pPr>
          </w:p>
        </w:tc>
        <w:tc>
          <w:tcPr>
            <w:tcW w:w="654" w:type="dxa"/>
            <w:gridSpan w:val="2"/>
            <w:vAlign w:val="center"/>
          </w:tcPr>
          <w:p w14:paraId="407650E6" w14:textId="77777777" w:rsidR="001739D6" w:rsidRPr="00DD1DFA" w:rsidRDefault="001739D6" w:rsidP="005D44AF">
            <w:pPr>
              <w:spacing w:before="40" w:after="40"/>
              <w:jc w:val="center"/>
              <w:rPr>
                <w:noProof/>
                <w:sz w:val="14"/>
              </w:rPr>
            </w:pPr>
            <w:r w:rsidRPr="00DD1DFA">
              <w:rPr>
                <w:noProof/>
                <w:sz w:val="14"/>
              </w:rPr>
              <w:t>(3)</w:t>
            </w:r>
          </w:p>
        </w:tc>
        <w:tc>
          <w:tcPr>
            <w:tcW w:w="1116" w:type="dxa"/>
            <w:vAlign w:val="center"/>
          </w:tcPr>
          <w:p w14:paraId="160A618C" w14:textId="77777777" w:rsidR="001739D6" w:rsidRPr="00DD1DFA" w:rsidRDefault="001739D6" w:rsidP="005D44AF">
            <w:pPr>
              <w:spacing w:before="40" w:after="40"/>
              <w:jc w:val="right"/>
              <w:rPr>
                <w:b/>
                <w:noProof/>
                <w:sz w:val="20"/>
              </w:rPr>
            </w:pPr>
            <w:r w:rsidRPr="00DD1DFA">
              <w:rPr>
                <w:b/>
                <w:noProof/>
                <w:sz w:val="20"/>
              </w:rPr>
              <w:t>0</w:t>
            </w:r>
          </w:p>
        </w:tc>
        <w:tc>
          <w:tcPr>
            <w:tcW w:w="767" w:type="dxa"/>
            <w:vAlign w:val="center"/>
          </w:tcPr>
          <w:p w14:paraId="274CF11B" w14:textId="77777777" w:rsidR="001739D6" w:rsidRPr="00DD1DFA" w:rsidRDefault="001739D6" w:rsidP="005D44AF">
            <w:pPr>
              <w:spacing w:before="40" w:after="40"/>
              <w:jc w:val="right"/>
              <w:rPr>
                <w:b/>
                <w:noProof/>
                <w:sz w:val="20"/>
              </w:rPr>
            </w:pPr>
            <w:r w:rsidRPr="00DD1DFA">
              <w:rPr>
                <w:b/>
                <w:noProof/>
                <w:sz w:val="20"/>
              </w:rPr>
              <w:t>0</w:t>
            </w:r>
          </w:p>
        </w:tc>
        <w:tc>
          <w:tcPr>
            <w:tcW w:w="868" w:type="dxa"/>
            <w:vAlign w:val="center"/>
          </w:tcPr>
          <w:p w14:paraId="4DCA69F5" w14:textId="77777777" w:rsidR="001739D6" w:rsidRPr="00DD1DFA" w:rsidRDefault="001739D6" w:rsidP="005D44AF">
            <w:pPr>
              <w:spacing w:before="40" w:after="40"/>
              <w:jc w:val="right"/>
              <w:rPr>
                <w:b/>
                <w:noProof/>
                <w:sz w:val="20"/>
              </w:rPr>
            </w:pPr>
            <w:r w:rsidRPr="00DD1DFA">
              <w:rPr>
                <w:b/>
                <w:noProof/>
                <w:sz w:val="20"/>
              </w:rPr>
              <w:t>0</w:t>
            </w:r>
          </w:p>
        </w:tc>
        <w:tc>
          <w:tcPr>
            <w:tcW w:w="868" w:type="dxa"/>
            <w:vAlign w:val="center"/>
          </w:tcPr>
          <w:p w14:paraId="694FAAFA" w14:textId="77777777" w:rsidR="001739D6" w:rsidRPr="00DD1DFA" w:rsidRDefault="001739D6" w:rsidP="005D44AF">
            <w:pPr>
              <w:spacing w:before="40" w:after="40"/>
              <w:jc w:val="right"/>
              <w:rPr>
                <w:b/>
                <w:noProof/>
                <w:sz w:val="20"/>
              </w:rPr>
            </w:pPr>
            <w:r w:rsidRPr="00DD1DFA">
              <w:rPr>
                <w:b/>
                <w:noProof/>
                <w:sz w:val="20"/>
              </w:rPr>
              <w:t>0</w:t>
            </w:r>
          </w:p>
        </w:tc>
        <w:tc>
          <w:tcPr>
            <w:tcW w:w="868" w:type="dxa"/>
            <w:vAlign w:val="center"/>
          </w:tcPr>
          <w:p w14:paraId="305F23E5" w14:textId="77777777" w:rsidR="001739D6" w:rsidRPr="00DD1DFA" w:rsidRDefault="001739D6" w:rsidP="005D44AF">
            <w:pPr>
              <w:spacing w:before="40" w:after="40"/>
              <w:jc w:val="right"/>
              <w:rPr>
                <w:b/>
                <w:noProof/>
                <w:sz w:val="20"/>
              </w:rPr>
            </w:pPr>
            <w:r w:rsidRPr="00DD1DFA">
              <w:rPr>
                <w:b/>
                <w:noProof/>
                <w:sz w:val="20"/>
              </w:rPr>
              <w:t>0</w:t>
            </w:r>
          </w:p>
        </w:tc>
        <w:tc>
          <w:tcPr>
            <w:tcW w:w="1777" w:type="dxa"/>
            <w:vAlign w:val="center"/>
          </w:tcPr>
          <w:p w14:paraId="4CF0D152" w14:textId="77777777" w:rsidR="001739D6" w:rsidRPr="00DD1DFA" w:rsidRDefault="001739D6" w:rsidP="005D44AF">
            <w:pPr>
              <w:spacing w:before="40" w:after="40"/>
              <w:jc w:val="right"/>
              <w:rPr>
                <w:b/>
                <w:noProof/>
                <w:sz w:val="20"/>
              </w:rPr>
            </w:pPr>
            <w:r w:rsidRPr="00DD1DFA">
              <w:rPr>
                <w:b/>
                <w:noProof/>
                <w:sz w:val="20"/>
              </w:rPr>
              <w:t>0</w:t>
            </w:r>
          </w:p>
        </w:tc>
      </w:tr>
      <w:tr w:rsidR="001739D6" w:rsidRPr="00DD1DFA" w14:paraId="68CC50F5" w14:textId="77777777" w:rsidTr="00380F0F">
        <w:tc>
          <w:tcPr>
            <w:tcW w:w="3960" w:type="dxa"/>
            <w:vMerge w:val="restart"/>
            <w:vAlign w:val="center"/>
          </w:tcPr>
          <w:p w14:paraId="5277AF89" w14:textId="77777777" w:rsidR="001739D6" w:rsidRPr="00DD1DFA" w:rsidRDefault="001739D6" w:rsidP="005D44AF">
            <w:pPr>
              <w:jc w:val="center"/>
              <w:rPr>
                <w:b/>
                <w:noProof/>
              </w:rPr>
            </w:pPr>
            <w:r w:rsidRPr="00DD1DFA">
              <w:rPr>
                <w:b/>
                <w:noProof/>
                <w:sz w:val="22"/>
              </w:rPr>
              <w:t>OGÓŁEM środki</w:t>
            </w:r>
            <w:r w:rsidRPr="00DD1DFA">
              <w:rPr>
                <w:noProof/>
              </w:rPr>
              <w:t xml:space="preserve"> </w:t>
            </w:r>
            <w:r w:rsidRPr="00DD1DFA">
              <w:rPr>
                <w:noProof/>
              </w:rPr>
              <w:br/>
            </w:r>
            <w:r w:rsidRPr="00DD1DFA">
              <w:rPr>
                <w:b/>
                <w:noProof/>
                <w:sz w:val="22"/>
              </w:rPr>
              <w:t xml:space="preserve">dla DG </w:t>
            </w:r>
            <w:r w:rsidRPr="00DD1DFA">
              <w:rPr>
                <w:noProof/>
                <w:sz w:val="22"/>
              </w:rPr>
              <w:t>GROW</w:t>
            </w:r>
          </w:p>
        </w:tc>
        <w:tc>
          <w:tcPr>
            <w:tcW w:w="1440" w:type="dxa"/>
            <w:vAlign w:val="center"/>
          </w:tcPr>
          <w:p w14:paraId="5496088A" w14:textId="77777777" w:rsidR="001739D6" w:rsidRPr="00DD1DFA" w:rsidRDefault="001739D6" w:rsidP="005D44AF">
            <w:pPr>
              <w:rPr>
                <w:noProof/>
                <w:sz w:val="18"/>
              </w:rPr>
            </w:pPr>
            <w:r w:rsidRPr="00DD1DFA">
              <w:rPr>
                <w:noProof/>
                <w:sz w:val="18"/>
              </w:rPr>
              <w:t>Środki na zobowiązania</w:t>
            </w:r>
          </w:p>
        </w:tc>
        <w:tc>
          <w:tcPr>
            <w:tcW w:w="654" w:type="dxa"/>
            <w:gridSpan w:val="2"/>
            <w:vAlign w:val="center"/>
          </w:tcPr>
          <w:p w14:paraId="1AD273F2" w14:textId="77777777" w:rsidR="001739D6" w:rsidRPr="00DD1DFA" w:rsidRDefault="001739D6" w:rsidP="005D44AF">
            <w:pPr>
              <w:jc w:val="center"/>
              <w:rPr>
                <w:noProof/>
                <w:sz w:val="14"/>
              </w:rPr>
            </w:pPr>
            <w:r w:rsidRPr="00DD1DFA">
              <w:rPr>
                <w:noProof/>
                <w:sz w:val="14"/>
              </w:rPr>
              <w:t>=1a+1b+3</w:t>
            </w:r>
          </w:p>
        </w:tc>
        <w:tc>
          <w:tcPr>
            <w:tcW w:w="1116" w:type="dxa"/>
            <w:vAlign w:val="center"/>
          </w:tcPr>
          <w:p w14:paraId="16B6CE47" w14:textId="77777777" w:rsidR="001739D6" w:rsidRPr="00DD1DFA" w:rsidRDefault="001739D6" w:rsidP="005D44AF">
            <w:pPr>
              <w:spacing w:before="20" w:after="20"/>
              <w:jc w:val="right"/>
              <w:rPr>
                <w:noProof/>
                <w:sz w:val="20"/>
              </w:rPr>
            </w:pPr>
            <w:r w:rsidRPr="00DD1DFA">
              <w:rPr>
                <w:noProof/>
                <w:sz w:val="20"/>
              </w:rPr>
              <w:t>0,860</w:t>
            </w:r>
          </w:p>
        </w:tc>
        <w:tc>
          <w:tcPr>
            <w:tcW w:w="767" w:type="dxa"/>
            <w:vAlign w:val="center"/>
          </w:tcPr>
          <w:p w14:paraId="7E143894" w14:textId="77777777" w:rsidR="001739D6" w:rsidRPr="00DD1DFA" w:rsidRDefault="001739D6" w:rsidP="005D44AF">
            <w:pPr>
              <w:spacing w:before="20" w:after="20"/>
              <w:jc w:val="right"/>
              <w:rPr>
                <w:noProof/>
                <w:sz w:val="20"/>
              </w:rPr>
            </w:pPr>
            <w:r w:rsidRPr="00DD1DFA">
              <w:rPr>
                <w:noProof/>
                <w:sz w:val="20"/>
              </w:rPr>
              <w:t>0,860</w:t>
            </w:r>
          </w:p>
        </w:tc>
        <w:tc>
          <w:tcPr>
            <w:tcW w:w="868" w:type="dxa"/>
            <w:vAlign w:val="center"/>
          </w:tcPr>
          <w:p w14:paraId="68CB8E35" w14:textId="77777777" w:rsidR="001739D6" w:rsidRPr="00DD1DFA" w:rsidRDefault="001739D6" w:rsidP="005D44AF">
            <w:pPr>
              <w:spacing w:before="20" w:after="20"/>
              <w:jc w:val="right"/>
              <w:rPr>
                <w:noProof/>
                <w:sz w:val="20"/>
              </w:rPr>
            </w:pPr>
            <w:r w:rsidRPr="00DD1DFA">
              <w:rPr>
                <w:noProof/>
                <w:sz w:val="20"/>
              </w:rPr>
              <w:t>0,860</w:t>
            </w:r>
          </w:p>
        </w:tc>
        <w:tc>
          <w:tcPr>
            <w:tcW w:w="868" w:type="dxa"/>
            <w:vAlign w:val="center"/>
          </w:tcPr>
          <w:p w14:paraId="641B7E9D" w14:textId="77777777" w:rsidR="001739D6" w:rsidRPr="00DD1DFA" w:rsidRDefault="001739D6" w:rsidP="005D44AF">
            <w:pPr>
              <w:spacing w:before="20" w:after="20"/>
              <w:jc w:val="right"/>
              <w:rPr>
                <w:noProof/>
                <w:sz w:val="20"/>
              </w:rPr>
            </w:pPr>
            <w:r w:rsidRPr="00DD1DFA">
              <w:rPr>
                <w:noProof/>
                <w:sz w:val="20"/>
              </w:rPr>
              <w:t>0,860</w:t>
            </w:r>
          </w:p>
        </w:tc>
        <w:tc>
          <w:tcPr>
            <w:tcW w:w="868" w:type="dxa"/>
            <w:shd w:val="clear" w:color="auto" w:fill="BFBFBF" w:themeFill="background1" w:themeFillShade="BF"/>
            <w:vAlign w:val="center"/>
          </w:tcPr>
          <w:p w14:paraId="0DD53471" w14:textId="77777777" w:rsidR="001739D6" w:rsidRPr="00DD1DFA" w:rsidRDefault="001739D6" w:rsidP="005D44AF">
            <w:pPr>
              <w:spacing w:before="20" w:after="20"/>
              <w:jc w:val="right"/>
              <w:rPr>
                <w:b/>
                <w:noProof/>
                <w:sz w:val="20"/>
                <w:lang w:eastAsia="en-GB"/>
              </w:rPr>
            </w:pPr>
          </w:p>
        </w:tc>
        <w:tc>
          <w:tcPr>
            <w:tcW w:w="1777" w:type="dxa"/>
            <w:vAlign w:val="center"/>
          </w:tcPr>
          <w:p w14:paraId="474979A4" w14:textId="77777777" w:rsidR="001739D6" w:rsidRPr="00DD1DFA" w:rsidRDefault="001739D6" w:rsidP="005D44AF">
            <w:pPr>
              <w:spacing w:before="20" w:after="20"/>
              <w:jc w:val="right"/>
              <w:rPr>
                <w:b/>
                <w:noProof/>
                <w:sz w:val="20"/>
              </w:rPr>
            </w:pPr>
            <w:r w:rsidRPr="00DD1DFA">
              <w:rPr>
                <w:b/>
                <w:noProof/>
                <w:sz w:val="20"/>
              </w:rPr>
              <w:t>3,440</w:t>
            </w:r>
          </w:p>
        </w:tc>
      </w:tr>
      <w:tr w:rsidR="001739D6" w:rsidRPr="00DD1DFA" w14:paraId="4A013F5A" w14:textId="77777777" w:rsidTr="00380F0F">
        <w:tc>
          <w:tcPr>
            <w:tcW w:w="3960" w:type="dxa"/>
            <w:vMerge/>
          </w:tcPr>
          <w:p w14:paraId="014AB2AE" w14:textId="77777777" w:rsidR="001739D6" w:rsidRPr="00DD1DFA" w:rsidRDefault="001739D6" w:rsidP="005D44AF">
            <w:pPr>
              <w:rPr>
                <w:noProof/>
                <w:sz w:val="20"/>
                <w:lang w:eastAsia="en-GB"/>
              </w:rPr>
            </w:pPr>
          </w:p>
        </w:tc>
        <w:tc>
          <w:tcPr>
            <w:tcW w:w="1440" w:type="dxa"/>
            <w:vAlign w:val="center"/>
          </w:tcPr>
          <w:p w14:paraId="29B5715D" w14:textId="77777777" w:rsidR="001739D6" w:rsidRPr="00DD1DFA" w:rsidRDefault="001739D6" w:rsidP="005D44AF">
            <w:pPr>
              <w:rPr>
                <w:noProof/>
                <w:sz w:val="18"/>
              </w:rPr>
            </w:pPr>
            <w:r w:rsidRPr="00DD1DFA">
              <w:rPr>
                <w:noProof/>
                <w:sz w:val="18"/>
              </w:rPr>
              <w:t>Środki na płatności</w:t>
            </w:r>
          </w:p>
        </w:tc>
        <w:tc>
          <w:tcPr>
            <w:tcW w:w="654" w:type="dxa"/>
            <w:gridSpan w:val="2"/>
            <w:vAlign w:val="center"/>
          </w:tcPr>
          <w:p w14:paraId="30CAC073" w14:textId="77777777" w:rsidR="001739D6" w:rsidRPr="00DD1DFA" w:rsidRDefault="001739D6" w:rsidP="005D44AF">
            <w:pPr>
              <w:jc w:val="center"/>
              <w:rPr>
                <w:noProof/>
                <w:sz w:val="14"/>
              </w:rPr>
            </w:pPr>
            <w:r w:rsidRPr="00DD1DFA">
              <w:rPr>
                <w:noProof/>
                <w:sz w:val="14"/>
              </w:rPr>
              <w:t>=2a+2b</w:t>
            </w:r>
          </w:p>
          <w:p w14:paraId="6D45BB94" w14:textId="77777777" w:rsidR="001739D6" w:rsidRPr="00DD1DFA" w:rsidRDefault="001739D6" w:rsidP="005D44AF">
            <w:pPr>
              <w:jc w:val="center"/>
              <w:rPr>
                <w:noProof/>
                <w:sz w:val="14"/>
              </w:rPr>
            </w:pPr>
            <w:r w:rsidRPr="00DD1DFA">
              <w:rPr>
                <w:noProof/>
                <w:sz w:val="14"/>
              </w:rPr>
              <w:t>+3</w:t>
            </w:r>
          </w:p>
        </w:tc>
        <w:tc>
          <w:tcPr>
            <w:tcW w:w="1116" w:type="dxa"/>
            <w:vAlign w:val="center"/>
          </w:tcPr>
          <w:p w14:paraId="2739FD03" w14:textId="77777777" w:rsidR="001739D6" w:rsidRPr="00DD1DFA" w:rsidRDefault="001739D6" w:rsidP="005D44AF">
            <w:pPr>
              <w:spacing w:before="20" w:after="20"/>
              <w:jc w:val="right"/>
              <w:rPr>
                <w:noProof/>
                <w:sz w:val="20"/>
              </w:rPr>
            </w:pPr>
            <w:r w:rsidRPr="00DD1DFA">
              <w:rPr>
                <w:noProof/>
                <w:sz w:val="20"/>
              </w:rPr>
              <w:t>0,258</w:t>
            </w:r>
          </w:p>
        </w:tc>
        <w:tc>
          <w:tcPr>
            <w:tcW w:w="767" w:type="dxa"/>
            <w:vAlign w:val="center"/>
          </w:tcPr>
          <w:p w14:paraId="76AC2F08" w14:textId="77777777" w:rsidR="001739D6" w:rsidRPr="00DD1DFA" w:rsidRDefault="001739D6" w:rsidP="005D44AF">
            <w:pPr>
              <w:spacing w:before="20" w:after="20"/>
              <w:jc w:val="right"/>
              <w:rPr>
                <w:noProof/>
                <w:sz w:val="20"/>
              </w:rPr>
            </w:pPr>
            <w:r w:rsidRPr="00DD1DFA">
              <w:rPr>
                <w:noProof/>
                <w:sz w:val="20"/>
              </w:rPr>
              <w:t>0,688</w:t>
            </w:r>
          </w:p>
        </w:tc>
        <w:tc>
          <w:tcPr>
            <w:tcW w:w="868" w:type="dxa"/>
            <w:vAlign w:val="center"/>
          </w:tcPr>
          <w:p w14:paraId="46954908" w14:textId="77777777" w:rsidR="001739D6" w:rsidRPr="00DD1DFA" w:rsidRDefault="001739D6" w:rsidP="005D44AF">
            <w:pPr>
              <w:spacing w:before="20" w:after="20"/>
              <w:jc w:val="right"/>
              <w:rPr>
                <w:noProof/>
                <w:sz w:val="20"/>
              </w:rPr>
            </w:pPr>
            <w:r w:rsidRPr="00DD1DFA">
              <w:rPr>
                <w:noProof/>
                <w:sz w:val="20"/>
              </w:rPr>
              <w:t>0,860</w:t>
            </w:r>
          </w:p>
        </w:tc>
        <w:tc>
          <w:tcPr>
            <w:tcW w:w="868" w:type="dxa"/>
            <w:vAlign w:val="center"/>
          </w:tcPr>
          <w:p w14:paraId="681F8CF3" w14:textId="77777777" w:rsidR="001739D6" w:rsidRPr="00DD1DFA" w:rsidRDefault="001739D6" w:rsidP="005D44AF">
            <w:pPr>
              <w:spacing w:before="20" w:after="20"/>
              <w:jc w:val="right"/>
              <w:rPr>
                <w:noProof/>
                <w:sz w:val="20"/>
              </w:rPr>
            </w:pPr>
            <w:r w:rsidRPr="00DD1DFA">
              <w:rPr>
                <w:noProof/>
                <w:sz w:val="20"/>
              </w:rPr>
              <w:t>0,860</w:t>
            </w:r>
          </w:p>
        </w:tc>
        <w:tc>
          <w:tcPr>
            <w:tcW w:w="868" w:type="dxa"/>
            <w:vAlign w:val="center"/>
          </w:tcPr>
          <w:p w14:paraId="1D6F2656" w14:textId="77777777" w:rsidR="001739D6" w:rsidRPr="00DD1DFA" w:rsidRDefault="001739D6" w:rsidP="005D44AF">
            <w:pPr>
              <w:spacing w:before="20" w:after="20"/>
              <w:jc w:val="right"/>
              <w:rPr>
                <w:b/>
                <w:noProof/>
                <w:sz w:val="20"/>
              </w:rPr>
            </w:pPr>
            <w:r w:rsidRPr="00DD1DFA">
              <w:rPr>
                <w:b/>
                <w:noProof/>
                <w:sz w:val="20"/>
              </w:rPr>
              <w:t>0,774</w:t>
            </w:r>
          </w:p>
        </w:tc>
        <w:tc>
          <w:tcPr>
            <w:tcW w:w="1777" w:type="dxa"/>
            <w:vAlign w:val="center"/>
          </w:tcPr>
          <w:p w14:paraId="4C1E85D6" w14:textId="77777777" w:rsidR="001739D6" w:rsidRPr="00DD1DFA" w:rsidRDefault="001739D6" w:rsidP="005D44AF">
            <w:pPr>
              <w:spacing w:before="20" w:after="20"/>
              <w:jc w:val="right"/>
              <w:rPr>
                <w:b/>
                <w:noProof/>
                <w:sz w:val="20"/>
              </w:rPr>
            </w:pPr>
            <w:r w:rsidRPr="00DD1DFA">
              <w:rPr>
                <w:b/>
                <w:noProof/>
                <w:sz w:val="20"/>
              </w:rPr>
              <w:t>3,440</w:t>
            </w:r>
          </w:p>
        </w:tc>
      </w:tr>
    </w:tbl>
    <w:p w14:paraId="2CE84D04" w14:textId="77777777" w:rsidR="005D44AF" w:rsidRPr="00DD1DFA" w:rsidRDefault="005D44AF" w:rsidP="005D44AF">
      <w:pPr>
        <w:rPr>
          <w:noProof/>
        </w:rPr>
      </w:pPr>
      <w:r w:rsidRPr="00DD1DFA">
        <w:rPr>
          <w:noProof/>
        </w:rPr>
        <w:t xml:space="preserve"> </w:t>
      </w:r>
      <w:r w:rsidRPr="00DD1DFA">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110"/>
        <w:gridCol w:w="709"/>
        <w:gridCol w:w="992"/>
        <w:gridCol w:w="851"/>
        <w:gridCol w:w="850"/>
        <w:gridCol w:w="1605"/>
      </w:tblGrid>
      <w:tr w:rsidR="001739D6" w:rsidRPr="00DD1DFA" w14:paraId="1EFE54C7" w14:textId="77777777" w:rsidTr="00D920C1">
        <w:trPr>
          <w:trHeight w:val="277"/>
        </w:trPr>
        <w:tc>
          <w:tcPr>
            <w:tcW w:w="3960" w:type="dxa"/>
            <w:vMerge w:val="restart"/>
            <w:vAlign w:val="center"/>
          </w:tcPr>
          <w:p w14:paraId="66DF6CD1" w14:textId="77777777" w:rsidR="001739D6" w:rsidRPr="00DD1DFA" w:rsidRDefault="001739D6" w:rsidP="005D44AF">
            <w:pPr>
              <w:spacing w:before="20" w:after="20"/>
              <w:rPr>
                <w:noProof/>
              </w:rPr>
            </w:pPr>
            <w:r w:rsidRPr="00DD1DFA">
              <w:rPr>
                <w:noProof/>
              </w:rPr>
              <w:br w:type="page"/>
            </w:r>
            <w:r w:rsidRPr="00DD1DFA">
              <w:rPr>
                <w:rFonts w:ascii="Wingdings" w:hAnsi="Wingdings"/>
                <w:noProof/>
                <w:sz w:val="21"/>
              </w:rPr>
              <w:t>□</w:t>
            </w:r>
            <w:r w:rsidRPr="00DD1DFA">
              <w:rPr>
                <w:noProof/>
                <w:sz w:val="21"/>
              </w:rPr>
              <w:t xml:space="preserve"> OGÓŁEM środki operacyjne </w:t>
            </w:r>
          </w:p>
        </w:tc>
        <w:tc>
          <w:tcPr>
            <w:tcW w:w="1440" w:type="dxa"/>
            <w:vAlign w:val="center"/>
          </w:tcPr>
          <w:p w14:paraId="245E6A04" w14:textId="77777777" w:rsidR="001739D6" w:rsidRPr="00DD1DFA" w:rsidRDefault="001739D6" w:rsidP="005D44AF">
            <w:pPr>
              <w:spacing w:beforeLines="20" w:before="48" w:afterLines="20" w:after="48"/>
              <w:rPr>
                <w:noProof/>
                <w:sz w:val="18"/>
              </w:rPr>
            </w:pPr>
            <w:r w:rsidRPr="00DD1DFA">
              <w:rPr>
                <w:noProof/>
                <w:sz w:val="18"/>
              </w:rPr>
              <w:t>Środki na zobowiązania</w:t>
            </w:r>
          </w:p>
        </w:tc>
        <w:tc>
          <w:tcPr>
            <w:tcW w:w="654" w:type="dxa"/>
            <w:vAlign w:val="center"/>
          </w:tcPr>
          <w:p w14:paraId="5515D7FF" w14:textId="77777777" w:rsidR="001739D6" w:rsidRPr="00DD1DFA" w:rsidRDefault="001739D6" w:rsidP="005D44AF">
            <w:pPr>
              <w:spacing w:beforeLines="20" w:before="48" w:afterLines="20" w:after="48"/>
              <w:jc w:val="center"/>
              <w:rPr>
                <w:noProof/>
                <w:sz w:val="14"/>
              </w:rPr>
            </w:pPr>
            <w:r w:rsidRPr="00DD1DFA">
              <w:rPr>
                <w:noProof/>
                <w:sz w:val="14"/>
              </w:rPr>
              <w:t>(4)</w:t>
            </w:r>
          </w:p>
        </w:tc>
        <w:tc>
          <w:tcPr>
            <w:tcW w:w="1110" w:type="dxa"/>
            <w:vAlign w:val="center"/>
          </w:tcPr>
          <w:p w14:paraId="420C227C" w14:textId="77777777" w:rsidR="001739D6" w:rsidRPr="00DD1DFA" w:rsidRDefault="001739D6" w:rsidP="005D44AF">
            <w:pPr>
              <w:spacing w:before="20" w:after="20"/>
              <w:jc w:val="right"/>
              <w:rPr>
                <w:noProof/>
                <w:sz w:val="20"/>
              </w:rPr>
            </w:pPr>
            <w:r w:rsidRPr="00DD1DFA">
              <w:rPr>
                <w:noProof/>
                <w:sz w:val="20"/>
              </w:rPr>
              <w:t>0,860</w:t>
            </w:r>
          </w:p>
        </w:tc>
        <w:tc>
          <w:tcPr>
            <w:tcW w:w="709" w:type="dxa"/>
            <w:vAlign w:val="center"/>
          </w:tcPr>
          <w:p w14:paraId="6693C882" w14:textId="77777777" w:rsidR="001739D6" w:rsidRPr="00DD1DFA" w:rsidRDefault="001739D6" w:rsidP="005D44AF">
            <w:pPr>
              <w:spacing w:before="20" w:after="20"/>
              <w:jc w:val="right"/>
              <w:rPr>
                <w:noProof/>
                <w:sz w:val="20"/>
              </w:rPr>
            </w:pPr>
            <w:r w:rsidRPr="00DD1DFA">
              <w:rPr>
                <w:noProof/>
                <w:sz w:val="20"/>
              </w:rPr>
              <w:t>0,860</w:t>
            </w:r>
          </w:p>
        </w:tc>
        <w:tc>
          <w:tcPr>
            <w:tcW w:w="992" w:type="dxa"/>
            <w:vAlign w:val="center"/>
          </w:tcPr>
          <w:p w14:paraId="4E801EC8" w14:textId="77777777" w:rsidR="001739D6" w:rsidRPr="00DD1DFA" w:rsidRDefault="001739D6" w:rsidP="005D44AF">
            <w:pPr>
              <w:spacing w:before="20" w:after="20"/>
              <w:jc w:val="right"/>
              <w:rPr>
                <w:noProof/>
                <w:sz w:val="20"/>
              </w:rPr>
            </w:pPr>
            <w:r w:rsidRPr="00DD1DFA">
              <w:rPr>
                <w:noProof/>
                <w:sz w:val="20"/>
              </w:rPr>
              <w:t>0,860</w:t>
            </w:r>
          </w:p>
        </w:tc>
        <w:tc>
          <w:tcPr>
            <w:tcW w:w="851" w:type="dxa"/>
            <w:vAlign w:val="center"/>
          </w:tcPr>
          <w:p w14:paraId="2429CCA7" w14:textId="77777777" w:rsidR="001739D6" w:rsidRPr="00DD1DFA" w:rsidRDefault="001739D6" w:rsidP="005D44AF">
            <w:pPr>
              <w:spacing w:before="20" w:after="20"/>
              <w:jc w:val="right"/>
              <w:rPr>
                <w:noProof/>
                <w:sz w:val="20"/>
              </w:rPr>
            </w:pPr>
            <w:r w:rsidRPr="00DD1DFA">
              <w:rPr>
                <w:noProof/>
                <w:sz w:val="20"/>
              </w:rPr>
              <w:t>0,860</w:t>
            </w:r>
          </w:p>
        </w:tc>
        <w:tc>
          <w:tcPr>
            <w:tcW w:w="850" w:type="dxa"/>
            <w:shd w:val="clear" w:color="auto" w:fill="BFBFBF" w:themeFill="background1" w:themeFillShade="BF"/>
            <w:vAlign w:val="center"/>
          </w:tcPr>
          <w:p w14:paraId="729CEF04" w14:textId="77777777" w:rsidR="001739D6" w:rsidRPr="00DD1DFA" w:rsidRDefault="001739D6" w:rsidP="005D44AF">
            <w:pPr>
              <w:spacing w:before="20" w:after="20"/>
              <w:jc w:val="right"/>
              <w:rPr>
                <w:b/>
                <w:noProof/>
                <w:sz w:val="20"/>
                <w:lang w:eastAsia="en-GB"/>
              </w:rPr>
            </w:pPr>
          </w:p>
        </w:tc>
        <w:tc>
          <w:tcPr>
            <w:tcW w:w="1605" w:type="dxa"/>
            <w:vAlign w:val="center"/>
          </w:tcPr>
          <w:p w14:paraId="098A702E" w14:textId="77777777" w:rsidR="001739D6" w:rsidRPr="00DD1DFA" w:rsidRDefault="001739D6" w:rsidP="005D44AF">
            <w:pPr>
              <w:spacing w:before="20" w:after="20"/>
              <w:jc w:val="right"/>
              <w:rPr>
                <w:b/>
                <w:noProof/>
                <w:sz w:val="20"/>
              </w:rPr>
            </w:pPr>
            <w:r w:rsidRPr="00DD1DFA">
              <w:rPr>
                <w:b/>
                <w:noProof/>
                <w:sz w:val="20"/>
              </w:rPr>
              <w:t>3,440</w:t>
            </w:r>
          </w:p>
        </w:tc>
      </w:tr>
      <w:tr w:rsidR="001739D6" w:rsidRPr="00DD1DFA" w14:paraId="4A8EE594" w14:textId="77777777" w:rsidTr="00D920C1">
        <w:tc>
          <w:tcPr>
            <w:tcW w:w="3960" w:type="dxa"/>
            <w:vMerge/>
          </w:tcPr>
          <w:p w14:paraId="1E071563" w14:textId="77777777" w:rsidR="001739D6" w:rsidRPr="00DD1DFA" w:rsidRDefault="001739D6" w:rsidP="005D44AF">
            <w:pPr>
              <w:jc w:val="center"/>
              <w:rPr>
                <w:noProof/>
                <w:sz w:val="20"/>
                <w:lang w:eastAsia="en-GB"/>
              </w:rPr>
            </w:pPr>
          </w:p>
        </w:tc>
        <w:tc>
          <w:tcPr>
            <w:tcW w:w="1440" w:type="dxa"/>
            <w:vAlign w:val="center"/>
          </w:tcPr>
          <w:p w14:paraId="10CC2832" w14:textId="77777777" w:rsidR="001739D6" w:rsidRPr="00DD1DFA" w:rsidRDefault="001739D6" w:rsidP="005D44AF">
            <w:pPr>
              <w:spacing w:beforeLines="20" w:before="48" w:afterLines="20" w:after="48"/>
              <w:rPr>
                <w:noProof/>
                <w:sz w:val="18"/>
              </w:rPr>
            </w:pPr>
            <w:r w:rsidRPr="00DD1DFA">
              <w:rPr>
                <w:noProof/>
                <w:sz w:val="18"/>
              </w:rPr>
              <w:t>Środki na płatności</w:t>
            </w:r>
          </w:p>
        </w:tc>
        <w:tc>
          <w:tcPr>
            <w:tcW w:w="654" w:type="dxa"/>
            <w:vAlign w:val="center"/>
          </w:tcPr>
          <w:p w14:paraId="032EC69B" w14:textId="77777777" w:rsidR="001739D6" w:rsidRPr="00DD1DFA" w:rsidRDefault="001739D6" w:rsidP="005D44AF">
            <w:pPr>
              <w:spacing w:beforeLines="20" w:before="48" w:afterLines="20" w:after="48"/>
              <w:jc w:val="center"/>
              <w:rPr>
                <w:noProof/>
                <w:sz w:val="14"/>
              </w:rPr>
            </w:pPr>
            <w:r w:rsidRPr="00DD1DFA">
              <w:rPr>
                <w:noProof/>
                <w:sz w:val="14"/>
              </w:rPr>
              <w:t>(5)</w:t>
            </w:r>
          </w:p>
        </w:tc>
        <w:tc>
          <w:tcPr>
            <w:tcW w:w="1110" w:type="dxa"/>
            <w:vAlign w:val="center"/>
          </w:tcPr>
          <w:p w14:paraId="3485E3E1" w14:textId="77777777" w:rsidR="001739D6" w:rsidRPr="00DD1DFA" w:rsidRDefault="001739D6" w:rsidP="005D44AF">
            <w:pPr>
              <w:spacing w:before="20" w:after="20"/>
              <w:jc w:val="right"/>
              <w:rPr>
                <w:noProof/>
                <w:sz w:val="20"/>
              </w:rPr>
            </w:pPr>
            <w:r w:rsidRPr="00DD1DFA">
              <w:rPr>
                <w:noProof/>
                <w:sz w:val="20"/>
              </w:rPr>
              <w:t>0,258</w:t>
            </w:r>
          </w:p>
        </w:tc>
        <w:tc>
          <w:tcPr>
            <w:tcW w:w="709" w:type="dxa"/>
            <w:vAlign w:val="center"/>
          </w:tcPr>
          <w:p w14:paraId="0F83F1BB" w14:textId="77777777" w:rsidR="001739D6" w:rsidRPr="00DD1DFA" w:rsidRDefault="001739D6" w:rsidP="005D44AF">
            <w:pPr>
              <w:spacing w:before="20" w:after="20"/>
              <w:jc w:val="right"/>
              <w:rPr>
                <w:noProof/>
                <w:sz w:val="20"/>
              </w:rPr>
            </w:pPr>
            <w:r w:rsidRPr="00DD1DFA">
              <w:rPr>
                <w:noProof/>
                <w:sz w:val="20"/>
              </w:rPr>
              <w:t>0,688</w:t>
            </w:r>
          </w:p>
        </w:tc>
        <w:tc>
          <w:tcPr>
            <w:tcW w:w="992" w:type="dxa"/>
            <w:vAlign w:val="center"/>
          </w:tcPr>
          <w:p w14:paraId="53DD45E2" w14:textId="77777777" w:rsidR="001739D6" w:rsidRPr="00DD1DFA" w:rsidRDefault="001739D6" w:rsidP="005D44AF">
            <w:pPr>
              <w:spacing w:before="20" w:after="20"/>
              <w:jc w:val="right"/>
              <w:rPr>
                <w:noProof/>
                <w:sz w:val="20"/>
              </w:rPr>
            </w:pPr>
            <w:r w:rsidRPr="00DD1DFA">
              <w:rPr>
                <w:noProof/>
                <w:sz w:val="20"/>
              </w:rPr>
              <w:t>0,860</w:t>
            </w:r>
          </w:p>
        </w:tc>
        <w:tc>
          <w:tcPr>
            <w:tcW w:w="851" w:type="dxa"/>
            <w:vAlign w:val="center"/>
          </w:tcPr>
          <w:p w14:paraId="6ACEDCB8" w14:textId="77777777" w:rsidR="001739D6" w:rsidRPr="00DD1DFA" w:rsidRDefault="001739D6" w:rsidP="005D44AF">
            <w:pPr>
              <w:spacing w:before="20" w:after="20"/>
              <w:jc w:val="right"/>
              <w:rPr>
                <w:noProof/>
                <w:sz w:val="20"/>
              </w:rPr>
            </w:pPr>
            <w:r w:rsidRPr="00DD1DFA">
              <w:rPr>
                <w:noProof/>
                <w:sz w:val="20"/>
              </w:rPr>
              <w:t>0,860</w:t>
            </w:r>
          </w:p>
        </w:tc>
        <w:tc>
          <w:tcPr>
            <w:tcW w:w="850" w:type="dxa"/>
            <w:vAlign w:val="center"/>
          </w:tcPr>
          <w:p w14:paraId="1CF67515" w14:textId="77777777" w:rsidR="001739D6" w:rsidRPr="00DD1DFA" w:rsidRDefault="001739D6" w:rsidP="005D44AF">
            <w:pPr>
              <w:spacing w:before="20" w:after="20"/>
              <w:jc w:val="right"/>
              <w:rPr>
                <w:b/>
                <w:noProof/>
                <w:sz w:val="20"/>
              </w:rPr>
            </w:pPr>
            <w:r w:rsidRPr="00DD1DFA">
              <w:rPr>
                <w:noProof/>
                <w:sz w:val="20"/>
              </w:rPr>
              <w:t>0,774</w:t>
            </w:r>
          </w:p>
        </w:tc>
        <w:tc>
          <w:tcPr>
            <w:tcW w:w="1605" w:type="dxa"/>
            <w:vAlign w:val="center"/>
          </w:tcPr>
          <w:p w14:paraId="35F67262" w14:textId="77777777" w:rsidR="001739D6" w:rsidRPr="00DD1DFA" w:rsidRDefault="001739D6" w:rsidP="005D44AF">
            <w:pPr>
              <w:spacing w:before="20" w:after="20"/>
              <w:jc w:val="right"/>
              <w:rPr>
                <w:b/>
                <w:noProof/>
                <w:sz w:val="20"/>
              </w:rPr>
            </w:pPr>
            <w:r w:rsidRPr="00DD1DFA">
              <w:rPr>
                <w:b/>
                <w:noProof/>
                <w:sz w:val="20"/>
              </w:rPr>
              <w:t>3,440</w:t>
            </w:r>
          </w:p>
        </w:tc>
      </w:tr>
      <w:tr w:rsidR="001739D6" w:rsidRPr="00DD1DFA" w14:paraId="4386D71B" w14:textId="77777777" w:rsidTr="00D920C1">
        <w:trPr>
          <w:trHeight w:val="533"/>
        </w:trPr>
        <w:tc>
          <w:tcPr>
            <w:tcW w:w="5400" w:type="dxa"/>
            <w:gridSpan w:val="2"/>
            <w:vAlign w:val="center"/>
          </w:tcPr>
          <w:p w14:paraId="670A3FA5" w14:textId="77777777" w:rsidR="001739D6" w:rsidRPr="00DD1DFA" w:rsidRDefault="001739D6" w:rsidP="005D44AF">
            <w:pPr>
              <w:spacing w:beforeLines="20" w:before="48" w:afterLines="20" w:after="48"/>
              <w:rPr>
                <w:noProof/>
              </w:rPr>
            </w:pPr>
            <w:r w:rsidRPr="00DD1DFA">
              <w:rPr>
                <w:rFonts w:ascii="Wingdings" w:hAnsi="Wingdings"/>
                <w:noProof/>
                <w:sz w:val="21"/>
              </w:rPr>
              <w:t>□</w:t>
            </w:r>
            <w:r w:rsidRPr="00DD1DFA">
              <w:rPr>
                <w:noProof/>
                <w:sz w:val="21"/>
              </w:rPr>
              <w:t xml:space="preserve"> OGÓŁEM środki administracyjne finansowane ze środków przydzielonych na określone programy </w:t>
            </w:r>
          </w:p>
        </w:tc>
        <w:tc>
          <w:tcPr>
            <w:tcW w:w="654" w:type="dxa"/>
            <w:vAlign w:val="center"/>
          </w:tcPr>
          <w:p w14:paraId="0F3897D4" w14:textId="77777777" w:rsidR="001739D6" w:rsidRPr="00DD1DFA" w:rsidRDefault="001739D6" w:rsidP="005D44AF">
            <w:pPr>
              <w:spacing w:beforeLines="20" w:before="48" w:afterLines="20" w:after="48"/>
              <w:jc w:val="center"/>
              <w:rPr>
                <w:noProof/>
                <w:sz w:val="14"/>
              </w:rPr>
            </w:pPr>
            <w:r w:rsidRPr="00DD1DFA">
              <w:rPr>
                <w:noProof/>
                <w:sz w:val="14"/>
              </w:rPr>
              <w:t>(6)</w:t>
            </w:r>
          </w:p>
        </w:tc>
        <w:tc>
          <w:tcPr>
            <w:tcW w:w="1110" w:type="dxa"/>
            <w:vAlign w:val="center"/>
          </w:tcPr>
          <w:p w14:paraId="09254F4D" w14:textId="77777777" w:rsidR="001739D6" w:rsidRPr="00DD1DFA" w:rsidRDefault="001739D6" w:rsidP="005D44AF">
            <w:pPr>
              <w:spacing w:before="20" w:after="20"/>
              <w:jc w:val="right"/>
              <w:rPr>
                <w:b/>
                <w:noProof/>
                <w:sz w:val="20"/>
                <w:highlight w:val="cyan"/>
              </w:rPr>
            </w:pPr>
            <w:r w:rsidRPr="00DD1DFA">
              <w:rPr>
                <w:b/>
                <w:noProof/>
                <w:sz w:val="20"/>
              </w:rPr>
              <w:t>0</w:t>
            </w:r>
          </w:p>
        </w:tc>
        <w:tc>
          <w:tcPr>
            <w:tcW w:w="709" w:type="dxa"/>
            <w:vAlign w:val="center"/>
          </w:tcPr>
          <w:p w14:paraId="775FE1AF" w14:textId="77777777" w:rsidR="001739D6" w:rsidRPr="00DD1DFA" w:rsidRDefault="001739D6" w:rsidP="005D44AF">
            <w:pPr>
              <w:spacing w:before="20" w:after="20"/>
              <w:jc w:val="right"/>
              <w:rPr>
                <w:b/>
                <w:noProof/>
                <w:sz w:val="20"/>
              </w:rPr>
            </w:pPr>
            <w:r w:rsidRPr="00DD1DFA">
              <w:rPr>
                <w:b/>
                <w:noProof/>
                <w:sz w:val="20"/>
              </w:rPr>
              <w:t>0</w:t>
            </w:r>
          </w:p>
        </w:tc>
        <w:tc>
          <w:tcPr>
            <w:tcW w:w="992" w:type="dxa"/>
            <w:vAlign w:val="center"/>
          </w:tcPr>
          <w:p w14:paraId="3461F6ED" w14:textId="77777777" w:rsidR="001739D6" w:rsidRPr="00DD1DFA" w:rsidRDefault="001739D6" w:rsidP="005D44AF">
            <w:pPr>
              <w:spacing w:before="20" w:after="20"/>
              <w:jc w:val="right"/>
              <w:rPr>
                <w:b/>
                <w:noProof/>
                <w:sz w:val="20"/>
              </w:rPr>
            </w:pPr>
            <w:r w:rsidRPr="00DD1DFA">
              <w:rPr>
                <w:b/>
                <w:noProof/>
                <w:sz w:val="20"/>
              </w:rPr>
              <w:t>0</w:t>
            </w:r>
          </w:p>
        </w:tc>
        <w:tc>
          <w:tcPr>
            <w:tcW w:w="851" w:type="dxa"/>
            <w:vAlign w:val="center"/>
          </w:tcPr>
          <w:p w14:paraId="2D4AC1C8" w14:textId="77777777" w:rsidR="001739D6" w:rsidRPr="00DD1DFA" w:rsidRDefault="001739D6" w:rsidP="005D44AF">
            <w:pPr>
              <w:spacing w:before="20" w:after="20"/>
              <w:jc w:val="right"/>
              <w:rPr>
                <w:b/>
                <w:noProof/>
                <w:sz w:val="20"/>
              </w:rPr>
            </w:pPr>
            <w:r w:rsidRPr="00DD1DFA">
              <w:rPr>
                <w:b/>
                <w:noProof/>
                <w:sz w:val="20"/>
              </w:rPr>
              <w:t>0</w:t>
            </w:r>
          </w:p>
        </w:tc>
        <w:tc>
          <w:tcPr>
            <w:tcW w:w="850" w:type="dxa"/>
            <w:vAlign w:val="center"/>
          </w:tcPr>
          <w:p w14:paraId="27F8EDC6" w14:textId="77777777" w:rsidR="001739D6" w:rsidRPr="00DD1DFA" w:rsidRDefault="001739D6" w:rsidP="005D44AF">
            <w:pPr>
              <w:spacing w:before="20" w:after="20"/>
              <w:jc w:val="right"/>
              <w:rPr>
                <w:b/>
                <w:noProof/>
                <w:sz w:val="20"/>
              </w:rPr>
            </w:pPr>
            <w:r w:rsidRPr="00DD1DFA">
              <w:rPr>
                <w:b/>
                <w:noProof/>
                <w:sz w:val="20"/>
              </w:rPr>
              <w:t>0</w:t>
            </w:r>
          </w:p>
        </w:tc>
        <w:tc>
          <w:tcPr>
            <w:tcW w:w="1605" w:type="dxa"/>
            <w:vAlign w:val="center"/>
          </w:tcPr>
          <w:p w14:paraId="13C68FC9" w14:textId="77777777" w:rsidR="001739D6" w:rsidRPr="00DD1DFA" w:rsidRDefault="001739D6" w:rsidP="005D44AF">
            <w:pPr>
              <w:spacing w:before="20" w:after="20"/>
              <w:jc w:val="right"/>
              <w:rPr>
                <w:b/>
                <w:noProof/>
                <w:sz w:val="20"/>
              </w:rPr>
            </w:pPr>
            <w:r w:rsidRPr="00DD1DFA">
              <w:rPr>
                <w:b/>
                <w:noProof/>
                <w:sz w:val="20"/>
              </w:rPr>
              <w:t>0</w:t>
            </w:r>
          </w:p>
        </w:tc>
      </w:tr>
      <w:tr w:rsidR="001739D6" w:rsidRPr="00DD1DFA" w14:paraId="04F24D1D" w14:textId="77777777" w:rsidTr="00D920C1">
        <w:tc>
          <w:tcPr>
            <w:tcW w:w="3960" w:type="dxa"/>
            <w:vMerge w:val="restart"/>
            <w:shd w:val="thinDiagStripe" w:color="C0C0C0" w:fill="auto"/>
            <w:vAlign w:val="center"/>
          </w:tcPr>
          <w:p w14:paraId="26F6EC6B" w14:textId="77777777" w:rsidR="001739D6" w:rsidRPr="00DD1DFA" w:rsidRDefault="001739D6" w:rsidP="005D44AF">
            <w:pPr>
              <w:jc w:val="center"/>
              <w:rPr>
                <w:b/>
                <w:noProof/>
              </w:rPr>
            </w:pPr>
            <w:r w:rsidRPr="00DD1DFA">
              <w:rPr>
                <w:b/>
                <w:noProof/>
                <w:sz w:val="22"/>
              </w:rPr>
              <w:t>OGÓŁEM środki</w:t>
            </w:r>
            <w:r w:rsidRPr="00DD1DFA">
              <w:rPr>
                <w:noProof/>
              </w:rPr>
              <w:t xml:space="preserve"> </w:t>
            </w:r>
            <w:r w:rsidRPr="00DD1DFA">
              <w:rPr>
                <w:noProof/>
              </w:rPr>
              <w:br/>
            </w:r>
            <w:r w:rsidRPr="00DD1DFA">
              <w:rPr>
                <w:b/>
                <w:noProof/>
                <w:sz w:val="22"/>
              </w:rPr>
              <w:t>na DZIAŁ 1</w:t>
            </w:r>
            <w:r w:rsidRPr="00DD1DFA">
              <w:rPr>
                <w:noProof/>
              </w:rPr>
              <w:t xml:space="preserve"> </w:t>
            </w:r>
            <w:r w:rsidRPr="00DD1DFA">
              <w:rPr>
                <w:noProof/>
              </w:rPr>
              <w:br/>
            </w:r>
            <w:r w:rsidRPr="00DD1DFA">
              <w:rPr>
                <w:noProof/>
                <w:sz w:val="22"/>
              </w:rPr>
              <w:t>wieloletnich ram finansowych</w:t>
            </w:r>
          </w:p>
        </w:tc>
        <w:tc>
          <w:tcPr>
            <w:tcW w:w="1440" w:type="dxa"/>
            <w:vAlign w:val="center"/>
          </w:tcPr>
          <w:p w14:paraId="69D894E4" w14:textId="77777777" w:rsidR="001739D6" w:rsidRPr="00DD1DFA" w:rsidRDefault="001739D6" w:rsidP="005D44AF">
            <w:pPr>
              <w:rPr>
                <w:noProof/>
                <w:sz w:val="18"/>
              </w:rPr>
            </w:pPr>
            <w:r w:rsidRPr="00DD1DFA">
              <w:rPr>
                <w:noProof/>
                <w:sz w:val="18"/>
              </w:rPr>
              <w:t>Środki na zobowiązania</w:t>
            </w:r>
          </w:p>
        </w:tc>
        <w:tc>
          <w:tcPr>
            <w:tcW w:w="654" w:type="dxa"/>
            <w:vAlign w:val="center"/>
          </w:tcPr>
          <w:p w14:paraId="34D4EEBB" w14:textId="77777777" w:rsidR="001739D6" w:rsidRPr="00DD1DFA" w:rsidRDefault="001739D6" w:rsidP="005D44AF">
            <w:pPr>
              <w:jc w:val="center"/>
              <w:rPr>
                <w:noProof/>
                <w:sz w:val="14"/>
              </w:rPr>
            </w:pPr>
            <w:r w:rsidRPr="00DD1DFA">
              <w:rPr>
                <w:noProof/>
                <w:sz w:val="14"/>
              </w:rPr>
              <w:t>=4+ 6</w:t>
            </w:r>
          </w:p>
        </w:tc>
        <w:tc>
          <w:tcPr>
            <w:tcW w:w="1110" w:type="dxa"/>
            <w:vAlign w:val="center"/>
          </w:tcPr>
          <w:p w14:paraId="67D75818" w14:textId="77777777" w:rsidR="001739D6" w:rsidRPr="00DD1DFA" w:rsidRDefault="001739D6" w:rsidP="005D44AF">
            <w:pPr>
              <w:spacing w:before="20" w:after="20"/>
              <w:jc w:val="right"/>
              <w:rPr>
                <w:noProof/>
                <w:sz w:val="20"/>
                <w:highlight w:val="cyan"/>
              </w:rPr>
            </w:pPr>
            <w:r w:rsidRPr="00DD1DFA">
              <w:rPr>
                <w:noProof/>
                <w:sz w:val="20"/>
              </w:rPr>
              <w:t>0,860</w:t>
            </w:r>
          </w:p>
        </w:tc>
        <w:tc>
          <w:tcPr>
            <w:tcW w:w="709" w:type="dxa"/>
            <w:vAlign w:val="center"/>
          </w:tcPr>
          <w:p w14:paraId="4B5B7A98" w14:textId="77777777" w:rsidR="001739D6" w:rsidRPr="00DD1DFA" w:rsidRDefault="001739D6" w:rsidP="005D44AF">
            <w:pPr>
              <w:spacing w:before="20" w:after="20"/>
              <w:jc w:val="right"/>
              <w:rPr>
                <w:noProof/>
                <w:sz w:val="20"/>
              </w:rPr>
            </w:pPr>
            <w:r w:rsidRPr="00DD1DFA">
              <w:rPr>
                <w:noProof/>
                <w:sz w:val="20"/>
              </w:rPr>
              <w:t>0,860</w:t>
            </w:r>
          </w:p>
        </w:tc>
        <w:tc>
          <w:tcPr>
            <w:tcW w:w="992" w:type="dxa"/>
            <w:vAlign w:val="center"/>
          </w:tcPr>
          <w:p w14:paraId="0F7AE5F3" w14:textId="77777777" w:rsidR="001739D6" w:rsidRPr="00DD1DFA" w:rsidRDefault="001739D6" w:rsidP="005D44AF">
            <w:pPr>
              <w:spacing w:before="20" w:after="20"/>
              <w:jc w:val="right"/>
              <w:rPr>
                <w:noProof/>
                <w:sz w:val="20"/>
              </w:rPr>
            </w:pPr>
            <w:r w:rsidRPr="00DD1DFA">
              <w:rPr>
                <w:noProof/>
                <w:sz w:val="20"/>
              </w:rPr>
              <w:t>0,860</w:t>
            </w:r>
          </w:p>
        </w:tc>
        <w:tc>
          <w:tcPr>
            <w:tcW w:w="851" w:type="dxa"/>
            <w:vAlign w:val="center"/>
          </w:tcPr>
          <w:p w14:paraId="78D44EC0" w14:textId="77777777" w:rsidR="001739D6" w:rsidRPr="00DD1DFA" w:rsidRDefault="001739D6" w:rsidP="005D44AF">
            <w:pPr>
              <w:spacing w:before="20" w:after="20"/>
              <w:jc w:val="right"/>
              <w:rPr>
                <w:noProof/>
                <w:sz w:val="20"/>
              </w:rPr>
            </w:pPr>
            <w:r w:rsidRPr="00DD1DFA">
              <w:rPr>
                <w:noProof/>
                <w:sz w:val="20"/>
              </w:rPr>
              <w:t>0,860</w:t>
            </w:r>
          </w:p>
        </w:tc>
        <w:tc>
          <w:tcPr>
            <w:tcW w:w="850" w:type="dxa"/>
            <w:shd w:val="clear" w:color="auto" w:fill="BFBFBF" w:themeFill="background1" w:themeFillShade="BF"/>
            <w:vAlign w:val="center"/>
          </w:tcPr>
          <w:p w14:paraId="03DE13CA" w14:textId="77777777" w:rsidR="001739D6" w:rsidRPr="00DD1DFA" w:rsidRDefault="001739D6" w:rsidP="005D44AF">
            <w:pPr>
              <w:spacing w:before="20" w:after="20"/>
              <w:jc w:val="right"/>
              <w:rPr>
                <w:b/>
                <w:noProof/>
                <w:sz w:val="20"/>
                <w:lang w:eastAsia="en-GB"/>
              </w:rPr>
            </w:pPr>
          </w:p>
        </w:tc>
        <w:tc>
          <w:tcPr>
            <w:tcW w:w="1605" w:type="dxa"/>
            <w:vAlign w:val="center"/>
          </w:tcPr>
          <w:p w14:paraId="79A9DF8E" w14:textId="77777777" w:rsidR="001739D6" w:rsidRPr="00DD1DFA" w:rsidRDefault="001739D6" w:rsidP="005D44AF">
            <w:pPr>
              <w:spacing w:before="20" w:after="20"/>
              <w:jc w:val="right"/>
              <w:rPr>
                <w:b/>
                <w:noProof/>
                <w:sz w:val="20"/>
              </w:rPr>
            </w:pPr>
            <w:r w:rsidRPr="00DD1DFA">
              <w:rPr>
                <w:b/>
                <w:noProof/>
                <w:sz w:val="20"/>
              </w:rPr>
              <w:t>3,440</w:t>
            </w:r>
          </w:p>
        </w:tc>
      </w:tr>
      <w:tr w:rsidR="001739D6" w:rsidRPr="00DD1DFA" w14:paraId="35E115E8" w14:textId="77777777" w:rsidTr="00D920C1">
        <w:tc>
          <w:tcPr>
            <w:tcW w:w="3960" w:type="dxa"/>
            <w:vMerge/>
            <w:shd w:val="thinDiagStripe" w:color="C0C0C0" w:fill="auto"/>
          </w:tcPr>
          <w:p w14:paraId="5E851532" w14:textId="77777777" w:rsidR="001739D6" w:rsidRPr="00DD1DFA" w:rsidRDefault="001739D6" w:rsidP="005D44AF">
            <w:pPr>
              <w:rPr>
                <w:noProof/>
                <w:sz w:val="20"/>
                <w:lang w:eastAsia="en-GB"/>
              </w:rPr>
            </w:pPr>
          </w:p>
        </w:tc>
        <w:tc>
          <w:tcPr>
            <w:tcW w:w="1440" w:type="dxa"/>
            <w:vAlign w:val="center"/>
          </w:tcPr>
          <w:p w14:paraId="328AF9D4" w14:textId="77777777" w:rsidR="001739D6" w:rsidRPr="00DD1DFA" w:rsidRDefault="001739D6" w:rsidP="005D44AF">
            <w:pPr>
              <w:rPr>
                <w:noProof/>
                <w:sz w:val="18"/>
              </w:rPr>
            </w:pPr>
            <w:r w:rsidRPr="00DD1DFA">
              <w:rPr>
                <w:noProof/>
                <w:sz w:val="18"/>
              </w:rPr>
              <w:t>Środki na płatności</w:t>
            </w:r>
          </w:p>
        </w:tc>
        <w:tc>
          <w:tcPr>
            <w:tcW w:w="654" w:type="dxa"/>
            <w:vAlign w:val="center"/>
          </w:tcPr>
          <w:p w14:paraId="189F0B9E" w14:textId="77777777" w:rsidR="001739D6" w:rsidRPr="00DD1DFA" w:rsidRDefault="001739D6" w:rsidP="005D44AF">
            <w:pPr>
              <w:jc w:val="center"/>
              <w:rPr>
                <w:noProof/>
                <w:sz w:val="14"/>
              </w:rPr>
            </w:pPr>
            <w:r w:rsidRPr="00DD1DFA">
              <w:rPr>
                <w:noProof/>
                <w:sz w:val="14"/>
              </w:rPr>
              <w:t>=5+ 6</w:t>
            </w:r>
          </w:p>
        </w:tc>
        <w:tc>
          <w:tcPr>
            <w:tcW w:w="1110" w:type="dxa"/>
            <w:vAlign w:val="center"/>
          </w:tcPr>
          <w:p w14:paraId="288D5875" w14:textId="77777777" w:rsidR="001739D6" w:rsidRPr="00DD1DFA" w:rsidRDefault="001739D6" w:rsidP="005D44AF">
            <w:pPr>
              <w:spacing w:before="20" w:after="20"/>
              <w:jc w:val="right"/>
              <w:rPr>
                <w:noProof/>
                <w:sz w:val="20"/>
                <w:highlight w:val="cyan"/>
              </w:rPr>
            </w:pPr>
            <w:r w:rsidRPr="00DD1DFA">
              <w:rPr>
                <w:noProof/>
                <w:sz w:val="20"/>
              </w:rPr>
              <w:t>0,258</w:t>
            </w:r>
          </w:p>
        </w:tc>
        <w:tc>
          <w:tcPr>
            <w:tcW w:w="709" w:type="dxa"/>
            <w:vAlign w:val="center"/>
          </w:tcPr>
          <w:p w14:paraId="518752D9" w14:textId="77777777" w:rsidR="001739D6" w:rsidRPr="00DD1DFA" w:rsidRDefault="001739D6" w:rsidP="005D44AF">
            <w:pPr>
              <w:spacing w:before="20" w:after="20"/>
              <w:jc w:val="right"/>
              <w:rPr>
                <w:noProof/>
                <w:sz w:val="20"/>
              </w:rPr>
            </w:pPr>
            <w:r w:rsidRPr="00DD1DFA">
              <w:rPr>
                <w:noProof/>
                <w:sz w:val="20"/>
              </w:rPr>
              <w:t>0,688</w:t>
            </w:r>
          </w:p>
        </w:tc>
        <w:tc>
          <w:tcPr>
            <w:tcW w:w="992" w:type="dxa"/>
            <w:vAlign w:val="center"/>
          </w:tcPr>
          <w:p w14:paraId="4F824093" w14:textId="77777777" w:rsidR="001739D6" w:rsidRPr="00DD1DFA" w:rsidRDefault="001739D6" w:rsidP="005D44AF">
            <w:pPr>
              <w:spacing w:before="20" w:after="20"/>
              <w:jc w:val="right"/>
              <w:rPr>
                <w:noProof/>
                <w:sz w:val="20"/>
              </w:rPr>
            </w:pPr>
            <w:r w:rsidRPr="00DD1DFA">
              <w:rPr>
                <w:noProof/>
                <w:sz w:val="20"/>
              </w:rPr>
              <w:t>0,860</w:t>
            </w:r>
          </w:p>
        </w:tc>
        <w:tc>
          <w:tcPr>
            <w:tcW w:w="851" w:type="dxa"/>
            <w:vAlign w:val="center"/>
          </w:tcPr>
          <w:p w14:paraId="52F416E7" w14:textId="77777777" w:rsidR="001739D6" w:rsidRPr="00DD1DFA" w:rsidRDefault="001739D6" w:rsidP="005D44AF">
            <w:pPr>
              <w:spacing w:before="20" w:after="20"/>
              <w:jc w:val="right"/>
              <w:rPr>
                <w:noProof/>
                <w:sz w:val="20"/>
              </w:rPr>
            </w:pPr>
            <w:r w:rsidRPr="00DD1DFA">
              <w:rPr>
                <w:noProof/>
                <w:sz w:val="20"/>
              </w:rPr>
              <w:t>0,860</w:t>
            </w:r>
          </w:p>
        </w:tc>
        <w:tc>
          <w:tcPr>
            <w:tcW w:w="850" w:type="dxa"/>
            <w:vAlign w:val="center"/>
          </w:tcPr>
          <w:p w14:paraId="791F6B0A" w14:textId="77777777" w:rsidR="001739D6" w:rsidRPr="00DD1DFA" w:rsidRDefault="001739D6" w:rsidP="005D44AF">
            <w:pPr>
              <w:spacing w:before="20" w:after="20"/>
              <w:jc w:val="right"/>
              <w:rPr>
                <w:b/>
                <w:noProof/>
                <w:sz w:val="20"/>
              </w:rPr>
            </w:pPr>
            <w:r w:rsidRPr="00DD1DFA">
              <w:rPr>
                <w:b/>
                <w:noProof/>
                <w:sz w:val="20"/>
              </w:rPr>
              <w:t>0,774</w:t>
            </w:r>
          </w:p>
        </w:tc>
        <w:tc>
          <w:tcPr>
            <w:tcW w:w="1605" w:type="dxa"/>
            <w:vAlign w:val="center"/>
          </w:tcPr>
          <w:p w14:paraId="455A57A4" w14:textId="77777777" w:rsidR="001739D6" w:rsidRPr="00DD1DFA" w:rsidRDefault="001739D6" w:rsidP="005D44AF">
            <w:pPr>
              <w:spacing w:before="20" w:after="20"/>
              <w:jc w:val="right"/>
              <w:rPr>
                <w:b/>
                <w:noProof/>
                <w:sz w:val="20"/>
              </w:rPr>
            </w:pPr>
            <w:r w:rsidRPr="00DD1DFA">
              <w:rPr>
                <w:b/>
                <w:noProof/>
                <w:sz w:val="20"/>
              </w:rPr>
              <w:t>3,440</w:t>
            </w:r>
          </w:p>
        </w:tc>
      </w:tr>
    </w:tbl>
    <w:p w14:paraId="17122B44" w14:textId="77777777" w:rsidR="005D44AF" w:rsidRPr="00DD1DFA" w:rsidRDefault="005D44AF" w:rsidP="005D44AF">
      <w:pPr>
        <w:rPr>
          <w:noProof/>
          <w:lang w:eastAsia="en-GB"/>
        </w:rPr>
      </w:pPr>
    </w:p>
    <w:p w14:paraId="2F129C35" w14:textId="77777777" w:rsidR="005D44AF" w:rsidRPr="00DD1DFA" w:rsidRDefault="005D44AF" w:rsidP="005D44AF">
      <w:pPr>
        <w:spacing w:before="0" w:after="0"/>
        <w:jc w:val="left"/>
        <w:rPr>
          <w:noProof/>
        </w:rPr>
      </w:pPr>
      <w:r w:rsidRPr="00DD1DFA">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D44AF" w:rsidRPr="00DD1DFA" w14:paraId="73D4C65D" w14:textId="77777777" w:rsidTr="00380F0F">
        <w:trPr>
          <w:jc w:val="center"/>
        </w:trPr>
        <w:tc>
          <w:tcPr>
            <w:tcW w:w="4744" w:type="dxa"/>
            <w:shd w:val="thinDiagStripe" w:color="C0C0C0" w:fill="auto"/>
            <w:vAlign w:val="center"/>
          </w:tcPr>
          <w:p w14:paraId="77FF622F" w14:textId="77777777" w:rsidR="005D44AF" w:rsidRPr="00DD1DFA" w:rsidRDefault="005D44AF" w:rsidP="005D44AF">
            <w:pPr>
              <w:spacing w:before="60" w:after="60"/>
              <w:jc w:val="center"/>
              <w:rPr>
                <w:b/>
                <w:noProof/>
              </w:rPr>
            </w:pPr>
            <w:r w:rsidRPr="00DD1DFA">
              <w:rPr>
                <w:noProof/>
              </w:rPr>
              <w:br w:type="page"/>
            </w:r>
            <w:r w:rsidRPr="00DD1DFA">
              <w:rPr>
                <w:b/>
                <w:noProof/>
                <w:sz w:val="22"/>
              </w:rPr>
              <w:t xml:space="preserve">Dział wieloletnich ram </w:t>
            </w:r>
            <w:r w:rsidRPr="00DD1DFA">
              <w:rPr>
                <w:noProof/>
              </w:rPr>
              <w:br/>
            </w:r>
            <w:r w:rsidRPr="00DD1DFA">
              <w:rPr>
                <w:b/>
                <w:noProof/>
                <w:sz w:val="22"/>
              </w:rPr>
              <w:t xml:space="preserve">finansowych </w:t>
            </w:r>
          </w:p>
        </w:tc>
        <w:tc>
          <w:tcPr>
            <w:tcW w:w="1080" w:type="dxa"/>
            <w:shd w:val="thinDiagStripe" w:color="C0C0C0" w:fill="auto"/>
            <w:vAlign w:val="center"/>
          </w:tcPr>
          <w:p w14:paraId="1B66A97A" w14:textId="77777777" w:rsidR="005D44AF" w:rsidRPr="00DD1DFA" w:rsidRDefault="005D44AF" w:rsidP="005D44AF">
            <w:pPr>
              <w:spacing w:before="60" w:after="60"/>
              <w:jc w:val="center"/>
              <w:rPr>
                <w:noProof/>
              </w:rPr>
            </w:pPr>
            <w:r w:rsidRPr="00DD1DFA">
              <w:rPr>
                <w:b/>
                <w:noProof/>
                <w:sz w:val="22"/>
              </w:rPr>
              <w:t>7</w:t>
            </w:r>
          </w:p>
        </w:tc>
        <w:tc>
          <w:tcPr>
            <w:tcW w:w="7817" w:type="dxa"/>
            <w:vAlign w:val="center"/>
          </w:tcPr>
          <w:p w14:paraId="4C805F4C" w14:textId="77777777" w:rsidR="005D44AF" w:rsidRPr="00DD1DFA" w:rsidRDefault="005D44AF" w:rsidP="005D44AF">
            <w:pPr>
              <w:spacing w:before="60" w:after="60"/>
              <w:rPr>
                <w:noProof/>
              </w:rPr>
            </w:pPr>
            <w:r w:rsidRPr="00DD1DFA">
              <w:rPr>
                <w:noProof/>
                <w:sz w:val="22"/>
              </w:rPr>
              <w:t>„Wydatki administracyjne”</w:t>
            </w:r>
          </w:p>
        </w:tc>
      </w:tr>
    </w:tbl>
    <w:p w14:paraId="44CAE33C" w14:textId="43CED7A8" w:rsidR="005D44AF" w:rsidRPr="00DD1DFA" w:rsidRDefault="005D44AF" w:rsidP="005D44AF">
      <w:pPr>
        <w:jc w:val="left"/>
        <w:rPr>
          <w:noProof/>
          <w:sz w:val="20"/>
        </w:rPr>
      </w:pPr>
      <w:r w:rsidRPr="00DD1DFA">
        <w:rPr>
          <w:noProof/>
        </w:rPr>
        <w:t>Niniejszą część uzupełnia się przy użyciu „danych budżetowych</w:t>
      </w:r>
      <w:r w:rsidR="00DD1DFA" w:rsidRPr="00DD1DFA">
        <w:rPr>
          <w:noProof/>
        </w:rPr>
        <w:t xml:space="preserve"> o</w:t>
      </w:r>
      <w:r w:rsidR="00DD1DFA">
        <w:rPr>
          <w:noProof/>
        </w:rPr>
        <w:t> </w:t>
      </w:r>
      <w:r w:rsidR="00DD1DFA" w:rsidRPr="00DD1DFA">
        <w:rPr>
          <w:noProof/>
        </w:rPr>
        <w:t>cha</w:t>
      </w:r>
      <w:r w:rsidRPr="00DD1DFA">
        <w:rPr>
          <w:noProof/>
        </w:rPr>
        <w:t xml:space="preserve">rakterze administracyjnym”, które należy najpierw wprowadzić do </w:t>
      </w:r>
      <w:hyperlink r:id="rId14" w:history="1">
        <w:r w:rsidRPr="00DD1DFA">
          <w:rPr>
            <w:noProof/>
            <w:color w:val="0000FF"/>
            <w:u w:val="single"/>
          </w:rPr>
          <w:t>załącznika do oceny skutków finansowych regulacji</w:t>
        </w:r>
      </w:hyperlink>
      <w:r w:rsidRPr="00DD1DFA">
        <w:rPr>
          <w:noProof/>
        </w:rPr>
        <w:t xml:space="preserve"> (załącznika V do zasad wewnętrznych), przesyłanego do DECIDE</w:t>
      </w:r>
      <w:r w:rsidR="00DD1DFA" w:rsidRPr="00DD1DFA">
        <w:rPr>
          <w:noProof/>
        </w:rPr>
        <w:t xml:space="preserve"> w</w:t>
      </w:r>
      <w:r w:rsidR="00DD1DFA">
        <w:rPr>
          <w:noProof/>
        </w:rPr>
        <w:t> </w:t>
      </w:r>
      <w:r w:rsidR="00DD1DFA" w:rsidRPr="00DD1DFA">
        <w:rPr>
          <w:noProof/>
        </w:rPr>
        <w:t>cel</w:t>
      </w:r>
      <w:r w:rsidRPr="00DD1DFA">
        <w:rPr>
          <w:noProof/>
        </w:rPr>
        <w:t>u konsultacji między służbami.</w:t>
      </w:r>
    </w:p>
    <w:p w14:paraId="367C3B9B" w14:textId="77777777" w:rsidR="005D44AF" w:rsidRPr="00DD1DFA" w:rsidRDefault="005D44AF" w:rsidP="005D44AF">
      <w:pPr>
        <w:jc w:val="right"/>
        <w:rPr>
          <w:noProof/>
          <w:sz w:val="20"/>
        </w:rPr>
      </w:pPr>
      <w:r w:rsidRPr="00DD1DFA">
        <w:rPr>
          <w:noProof/>
          <w:sz w:val="20"/>
        </w:rPr>
        <w:t>w mln EUR (do trzech miejsc po przecinku)</w:t>
      </w:r>
    </w:p>
    <w:tbl>
      <w:tblPr>
        <w:tblW w:w="137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636"/>
      </w:tblGrid>
      <w:tr w:rsidR="005D44AF" w:rsidRPr="00DD1DFA" w14:paraId="0F999E0E" w14:textId="77777777" w:rsidTr="00380F0F">
        <w:tc>
          <w:tcPr>
            <w:tcW w:w="3960" w:type="dxa"/>
            <w:tcBorders>
              <w:top w:val="nil"/>
              <w:left w:val="nil"/>
              <w:right w:val="nil"/>
            </w:tcBorders>
            <w:vAlign w:val="center"/>
          </w:tcPr>
          <w:p w14:paraId="570775BC" w14:textId="77777777" w:rsidR="005D44AF" w:rsidRPr="00DD1DFA" w:rsidRDefault="005D44AF" w:rsidP="005D44AF">
            <w:pPr>
              <w:rPr>
                <w:noProof/>
                <w:lang w:eastAsia="en-GB"/>
              </w:rPr>
            </w:pPr>
          </w:p>
        </w:tc>
        <w:tc>
          <w:tcPr>
            <w:tcW w:w="1560" w:type="dxa"/>
            <w:tcBorders>
              <w:top w:val="nil"/>
              <w:left w:val="nil"/>
              <w:right w:val="nil"/>
            </w:tcBorders>
          </w:tcPr>
          <w:p w14:paraId="543C91A0" w14:textId="77777777" w:rsidR="005D44AF" w:rsidRPr="00DD1DFA" w:rsidRDefault="005D44AF" w:rsidP="005D44AF">
            <w:pPr>
              <w:rPr>
                <w:noProof/>
                <w:lang w:eastAsia="en-GB"/>
              </w:rPr>
            </w:pPr>
          </w:p>
        </w:tc>
        <w:tc>
          <w:tcPr>
            <w:tcW w:w="534" w:type="dxa"/>
            <w:tcBorders>
              <w:top w:val="nil"/>
              <w:left w:val="nil"/>
            </w:tcBorders>
          </w:tcPr>
          <w:p w14:paraId="32AB8948" w14:textId="77777777" w:rsidR="005D44AF" w:rsidRPr="00DD1DFA" w:rsidRDefault="005D44AF" w:rsidP="005D44AF">
            <w:pPr>
              <w:rPr>
                <w:noProof/>
                <w:lang w:eastAsia="en-GB"/>
              </w:rPr>
            </w:pPr>
          </w:p>
        </w:tc>
        <w:tc>
          <w:tcPr>
            <w:tcW w:w="868" w:type="dxa"/>
            <w:vAlign w:val="center"/>
          </w:tcPr>
          <w:p w14:paraId="79BE670B" w14:textId="77777777" w:rsidR="005D44AF" w:rsidRPr="00DD1DFA" w:rsidRDefault="005D44AF" w:rsidP="005D44AF">
            <w:pPr>
              <w:rPr>
                <w:noProof/>
              </w:rPr>
            </w:pPr>
            <w:r w:rsidRPr="00DD1DFA">
              <w:rPr>
                <w:noProof/>
              </w:rPr>
              <w:t xml:space="preserve">Rok </w:t>
            </w:r>
            <w:r w:rsidRPr="00DD1DFA">
              <w:rPr>
                <w:noProof/>
              </w:rPr>
              <w:br/>
            </w:r>
            <w:r w:rsidRPr="00DD1DFA">
              <w:rPr>
                <w:b/>
                <w:noProof/>
              </w:rPr>
              <w:t>2024</w:t>
            </w:r>
          </w:p>
        </w:tc>
        <w:tc>
          <w:tcPr>
            <w:tcW w:w="868" w:type="dxa"/>
            <w:vAlign w:val="center"/>
          </w:tcPr>
          <w:p w14:paraId="188413AC" w14:textId="77777777" w:rsidR="005D44AF" w:rsidRPr="00DD1DFA" w:rsidRDefault="005D44AF" w:rsidP="005D44AF">
            <w:pPr>
              <w:rPr>
                <w:noProof/>
              </w:rPr>
            </w:pPr>
            <w:r w:rsidRPr="00DD1DFA">
              <w:rPr>
                <w:noProof/>
              </w:rPr>
              <w:t xml:space="preserve">Rok </w:t>
            </w:r>
            <w:r w:rsidRPr="00DD1DFA">
              <w:rPr>
                <w:noProof/>
              </w:rPr>
              <w:br/>
            </w:r>
            <w:r w:rsidRPr="00DD1DFA">
              <w:rPr>
                <w:b/>
                <w:noProof/>
              </w:rPr>
              <w:t>2025</w:t>
            </w:r>
          </w:p>
        </w:tc>
        <w:tc>
          <w:tcPr>
            <w:tcW w:w="868" w:type="dxa"/>
            <w:vAlign w:val="center"/>
          </w:tcPr>
          <w:p w14:paraId="1DF37EEF" w14:textId="77777777" w:rsidR="005D44AF" w:rsidRPr="00DD1DFA" w:rsidRDefault="005D44AF" w:rsidP="005D44AF">
            <w:pPr>
              <w:rPr>
                <w:noProof/>
              </w:rPr>
            </w:pPr>
            <w:r w:rsidRPr="00DD1DFA">
              <w:rPr>
                <w:noProof/>
              </w:rPr>
              <w:t xml:space="preserve">Rok </w:t>
            </w:r>
            <w:r w:rsidRPr="00DD1DFA">
              <w:rPr>
                <w:noProof/>
              </w:rPr>
              <w:br/>
            </w:r>
            <w:r w:rsidRPr="00DD1DFA">
              <w:rPr>
                <w:b/>
                <w:noProof/>
              </w:rPr>
              <w:t>2026</w:t>
            </w:r>
          </w:p>
        </w:tc>
        <w:tc>
          <w:tcPr>
            <w:tcW w:w="868" w:type="dxa"/>
            <w:vAlign w:val="center"/>
          </w:tcPr>
          <w:p w14:paraId="21595B50" w14:textId="77777777" w:rsidR="005D44AF" w:rsidRPr="00DD1DFA" w:rsidRDefault="005D44AF" w:rsidP="005D44AF">
            <w:pPr>
              <w:rPr>
                <w:noProof/>
              </w:rPr>
            </w:pPr>
            <w:r w:rsidRPr="00DD1DFA">
              <w:rPr>
                <w:noProof/>
              </w:rPr>
              <w:t xml:space="preserve">Rok </w:t>
            </w:r>
            <w:r w:rsidRPr="00DD1DFA">
              <w:rPr>
                <w:noProof/>
              </w:rPr>
              <w:br/>
            </w:r>
            <w:r w:rsidRPr="00DD1DFA">
              <w:rPr>
                <w:b/>
                <w:noProof/>
              </w:rPr>
              <w:t>2027</w:t>
            </w:r>
          </w:p>
        </w:tc>
        <w:tc>
          <w:tcPr>
            <w:tcW w:w="868" w:type="dxa"/>
            <w:vAlign w:val="center"/>
          </w:tcPr>
          <w:p w14:paraId="7C10C049" w14:textId="77777777" w:rsidR="005D44AF" w:rsidRPr="00DD1DFA" w:rsidRDefault="005D44AF" w:rsidP="005D44AF">
            <w:pPr>
              <w:rPr>
                <w:b/>
                <w:noProof/>
              </w:rPr>
            </w:pPr>
            <w:r w:rsidRPr="00DD1DFA">
              <w:rPr>
                <w:noProof/>
              </w:rPr>
              <w:t xml:space="preserve">Rok </w:t>
            </w:r>
            <w:r w:rsidRPr="00DD1DFA">
              <w:rPr>
                <w:noProof/>
              </w:rPr>
              <w:br/>
            </w:r>
            <w:r w:rsidRPr="00DD1DFA">
              <w:rPr>
                <w:b/>
                <w:noProof/>
              </w:rPr>
              <w:t>2028</w:t>
            </w:r>
          </w:p>
        </w:tc>
        <w:tc>
          <w:tcPr>
            <w:tcW w:w="868" w:type="dxa"/>
            <w:vAlign w:val="center"/>
          </w:tcPr>
          <w:p w14:paraId="29ADA183" w14:textId="77777777" w:rsidR="005D44AF" w:rsidRPr="00DD1DFA" w:rsidRDefault="005D44AF" w:rsidP="005D44AF">
            <w:pPr>
              <w:rPr>
                <w:b/>
                <w:noProof/>
              </w:rPr>
            </w:pPr>
            <w:r w:rsidRPr="00DD1DFA">
              <w:rPr>
                <w:b/>
                <w:noProof/>
              </w:rPr>
              <w:t>Rok</w:t>
            </w:r>
            <w:r w:rsidRPr="00DD1DFA">
              <w:rPr>
                <w:noProof/>
              </w:rPr>
              <w:t xml:space="preserve"> </w:t>
            </w:r>
            <w:r w:rsidRPr="00DD1DFA">
              <w:rPr>
                <w:noProof/>
              </w:rPr>
              <w:br/>
            </w:r>
            <w:r w:rsidRPr="00DD1DFA">
              <w:rPr>
                <w:b/>
                <w:noProof/>
              </w:rPr>
              <w:t>2029</w:t>
            </w:r>
          </w:p>
        </w:tc>
        <w:tc>
          <w:tcPr>
            <w:tcW w:w="868" w:type="dxa"/>
            <w:vAlign w:val="center"/>
          </w:tcPr>
          <w:p w14:paraId="0519F523" w14:textId="77777777" w:rsidR="005D44AF" w:rsidRPr="00DD1DFA" w:rsidRDefault="005D44AF" w:rsidP="005D44AF">
            <w:pPr>
              <w:rPr>
                <w:b/>
                <w:noProof/>
              </w:rPr>
            </w:pPr>
            <w:r w:rsidRPr="00DD1DFA">
              <w:rPr>
                <w:b/>
                <w:noProof/>
              </w:rPr>
              <w:t>Po</w:t>
            </w:r>
            <w:r w:rsidRPr="00DD1DFA">
              <w:rPr>
                <w:noProof/>
              </w:rPr>
              <w:t xml:space="preserve"> </w:t>
            </w:r>
            <w:r w:rsidRPr="00DD1DFA">
              <w:rPr>
                <w:noProof/>
              </w:rPr>
              <w:br/>
            </w:r>
            <w:r w:rsidRPr="00DD1DFA">
              <w:rPr>
                <w:b/>
                <w:noProof/>
              </w:rPr>
              <w:t>2029</w:t>
            </w:r>
          </w:p>
        </w:tc>
        <w:tc>
          <w:tcPr>
            <w:tcW w:w="1636" w:type="dxa"/>
            <w:vAlign w:val="center"/>
          </w:tcPr>
          <w:p w14:paraId="4FDDEB53" w14:textId="77777777" w:rsidR="005D44AF" w:rsidRPr="00DD1DFA" w:rsidRDefault="005D44AF" w:rsidP="005D44AF">
            <w:pPr>
              <w:rPr>
                <w:b/>
                <w:noProof/>
              </w:rPr>
            </w:pPr>
            <w:r w:rsidRPr="00DD1DFA">
              <w:rPr>
                <w:b/>
                <w:noProof/>
              </w:rPr>
              <w:t>OGÓŁEM</w:t>
            </w:r>
          </w:p>
        </w:tc>
      </w:tr>
      <w:tr w:rsidR="005D44AF" w:rsidRPr="00DD1DFA" w14:paraId="2E975E45" w14:textId="77777777" w:rsidTr="00380F0F">
        <w:trPr>
          <w:gridAfter w:val="10"/>
          <w:wAfter w:w="9806" w:type="dxa"/>
        </w:trPr>
        <w:tc>
          <w:tcPr>
            <w:tcW w:w="3960" w:type="dxa"/>
            <w:vAlign w:val="center"/>
          </w:tcPr>
          <w:p w14:paraId="13513CD4" w14:textId="77777777" w:rsidR="005D44AF" w:rsidRPr="00DD1DFA" w:rsidRDefault="005D44AF" w:rsidP="005D44AF">
            <w:pPr>
              <w:rPr>
                <w:noProof/>
              </w:rPr>
            </w:pPr>
            <w:r w:rsidRPr="00DD1DFA">
              <w:rPr>
                <w:noProof/>
              </w:rPr>
              <w:t>Dyrekcja generalna: DG GROW</w:t>
            </w:r>
          </w:p>
        </w:tc>
      </w:tr>
      <w:tr w:rsidR="005D44AF" w:rsidRPr="00DD1DFA" w14:paraId="7C9442AE" w14:textId="77777777" w:rsidTr="00380F0F">
        <w:trPr>
          <w:trHeight w:val="313"/>
        </w:trPr>
        <w:tc>
          <w:tcPr>
            <w:tcW w:w="6054" w:type="dxa"/>
            <w:gridSpan w:val="3"/>
            <w:vAlign w:val="center"/>
          </w:tcPr>
          <w:p w14:paraId="00083AF6" w14:textId="77777777" w:rsidR="005D44AF" w:rsidRPr="00DD1DFA" w:rsidRDefault="005D44AF" w:rsidP="005D44AF">
            <w:pPr>
              <w:rPr>
                <w:noProof/>
              </w:rPr>
            </w:pPr>
            <w:r w:rsidRPr="00DD1DFA">
              <w:rPr>
                <w:noProof/>
              </w:rPr>
              <w:t xml:space="preserve">□ Zasoby ludzkie </w:t>
            </w:r>
          </w:p>
        </w:tc>
        <w:tc>
          <w:tcPr>
            <w:tcW w:w="868" w:type="dxa"/>
            <w:vAlign w:val="center"/>
          </w:tcPr>
          <w:p w14:paraId="56CAA431" w14:textId="77777777" w:rsidR="005D44AF" w:rsidRPr="00DD1DFA" w:rsidRDefault="005D44AF" w:rsidP="005D44AF">
            <w:pPr>
              <w:rPr>
                <w:noProof/>
              </w:rPr>
            </w:pPr>
            <w:r w:rsidRPr="00DD1DFA">
              <w:rPr>
                <w:noProof/>
              </w:rPr>
              <w:t>1,099 </w:t>
            </w:r>
          </w:p>
        </w:tc>
        <w:tc>
          <w:tcPr>
            <w:tcW w:w="868" w:type="dxa"/>
            <w:vAlign w:val="center"/>
          </w:tcPr>
          <w:p w14:paraId="3709C7D1" w14:textId="77777777" w:rsidR="005D44AF" w:rsidRPr="00DD1DFA" w:rsidRDefault="005D44AF" w:rsidP="005D44AF">
            <w:pPr>
              <w:rPr>
                <w:noProof/>
              </w:rPr>
            </w:pPr>
            <w:r w:rsidRPr="00DD1DFA">
              <w:rPr>
                <w:noProof/>
              </w:rPr>
              <w:t> 1,099</w:t>
            </w:r>
          </w:p>
        </w:tc>
        <w:tc>
          <w:tcPr>
            <w:tcW w:w="868" w:type="dxa"/>
            <w:vAlign w:val="center"/>
          </w:tcPr>
          <w:p w14:paraId="0D436024" w14:textId="77777777" w:rsidR="005D44AF" w:rsidRPr="00DD1DFA" w:rsidRDefault="005D44AF" w:rsidP="005D44AF">
            <w:pPr>
              <w:rPr>
                <w:noProof/>
              </w:rPr>
            </w:pPr>
            <w:r w:rsidRPr="00DD1DFA">
              <w:rPr>
                <w:noProof/>
              </w:rPr>
              <w:t>1,099 </w:t>
            </w:r>
          </w:p>
        </w:tc>
        <w:tc>
          <w:tcPr>
            <w:tcW w:w="868" w:type="dxa"/>
            <w:vAlign w:val="center"/>
          </w:tcPr>
          <w:p w14:paraId="6CCBF5EE" w14:textId="77777777" w:rsidR="005D44AF" w:rsidRPr="00DD1DFA" w:rsidRDefault="005D44AF" w:rsidP="005D44AF">
            <w:pPr>
              <w:rPr>
                <w:noProof/>
              </w:rPr>
            </w:pPr>
            <w:r w:rsidRPr="00DD1DFA">
              <w:rPr>
                <w:noProof/>
              </w:rPr>
              <w:t>0,942 </w:t>
            </w:r>
          </w:p>
        </w:tc>
        <w:tc>
          <w:tcPr>
            <w:tcW w:w="868" w:type="dxa"/>
            <w:vAlign w:val="center"/>
          </w:tcPr>
          <w:p w14:paraId="67A695C8" w14:textId="77777777" w:rsidR="005D44AF" w:rsidRPr="00DD1DFA" w:rsidRDefault="005D44AF" w:rsidP="005D44AF">
            <w:pPr>
              <w:rPr>
                <w:noProof/>
              </w:rPr>
            </w:pPr>
            <w:r w:rsidRPr="00DD1DFA">
              <w:rPr>
                <w:noProof/>
              </w:rPr>
              <w:t>0,942 </w:t>
            </w:r>
          </w:p>
        </w:tc>
        <w:tc>
          <w:tcPr>
            <w:tcW w:w="868" w:type="dxa"/>
            <w:vAlign w:val="center"/>
          </w:tcPr>
          <w:p w14:paraId="7CCD1044" w14:textId="77777777" w:rsidR="005D44AF" w:rsidRPr="00DD1DFA" w:rsidRDefault="005D44AF" w:rsidP="005D44AF">
            <w:pPr>
              <w:rPr>
                <w:noProof/>
              </w:rPr>
            </w:pPr>
            <w:r w:rsidRPr="00DD1DFA">
              <w:rPr>
                <w:noProof/>
              </w:rPr>
              <w:t>0,628 </w:t>
            </w:r>
          </w:p>
        </w:tc>
        <w:tc>
          <w:tcPr>
            <w:tcW w:w="868" w:type="dxa"/>
            <w:shd w:val="clear" w:color="auto" w:fill="BFBFBF" w:themeFill="background1" w:themeFillShade="BF"/>
            <w:vAlign w:val="center"/>
          </w:tcPr>
          <w:p w14:paraId="61F5EF25" w14:textId="77777777" w:rsidR="005D44AF" w:rsidRPr="00DD1DFA" w:rsidRDefault="005D44AF" w:rsidP="005D44AF">
            <w:pPr>
              <w:rPr>
                <w:b/>
                <w:noProof/>
                <w:lang w:eastAsia="en-GB"/>
              </w:rPr>
            </w:pPr>
          </w:p>
        </w:tc>
        <w:tc>
          <w:tcPr>
            <w:tcW w:w="1636" w:type="dxa"/>
            <w:vAlign w:val="center"/>
          </w:tcPr>
          <w:p w14:paraId="32E454C1" w14:textId="77777777" w:rsidR="005D44AF" w:rsidRPr="00DD1DFA" w:rsidRDefault="005D44AF" w:rsidP="005D44AF">
            <w:pPr>
              <w:rPr>
                <w:b/>
                <w:noProof/>
              </w:rPr>
            </w:pPr>
            <w:r w:rsidRPr="00DD1DFA">
              <w:rPr>
                <w:b/>
                <w:bCs/>
                <w:noProof/>
              </w:rPr>
              <w:t>5,809 </w:t>
            </w:r>
          </w:p>
        </w:tc>
      </w:tr>
      <w:tr w:rsidR="005D44AF" w:rsidRPr="00DD1DFA" w14:paraId="3EF49671" w14:textId="77777777" w:rsidTr="00380F0F">
        <w:trPr>
          <w:trHeight w:val="351"/>
        </w:trPr>
        <w:tc>
          <w:tcPr>
            <w:tcW w:w="6054" w:type="dxa"/>
            <w:gridSpan w:val="3"/>
            <w:vAlign w:val="center"/>
          </w:tcPr>
          <w:p w14:paraId="5ECF13DB" w14:textId="77777777" w:rsidR="005D44AF" w:rsidRPr="00DD1DFA" w:rsidRDefault="005D44AF" w:rsidP="005D44AF">
            <w:pPr>
              <w:rPr>
                <w:noProof/>
              </w:rPr>
            </w:pPr>
            <w:r w:rsidRPr="00DD1DFA">
              <w:rPr>
                <w:noProof/>
              </w:rPr>
              <w:t xml:space="preserve">□ Pozostałe wydatki administracyjne </w:t>
            </w:r>
          </w:p>
        </w:tc>
        <w:tc>
          <w:tcPr>
            <w:tcW w:w="868" w:type="dxa"/>
            <w:vAlign w:val="center"/>
          </w:tcPr>
          <w:p w14:paraId="4939A222" w14:textId="77777777" w:rsidR="005D44AF" w:rsidRPr="00DD1DFA" w:rsidRDefault="005D44AF" w:rsidP="005D44AF">
            <w:pPr>
              <w:rPr>
                <w:noProof/>
              </w:rPr>
            </w:pPr>
            <w:r w:rsidRPr="00DD1DFA">
              <w:rPr>
                <w:noProof/>
              </w:rPr>
              <w:t>0,170</w:t>
            </w:r>
          </w:p>
        </w:tc>
        <w:tc>
          <w:tcPr>
            <w:tcW w:w="868" w:type="dxa"/>
            <w:vAlign w:val="center"/>
          </w:tcPr>
          <w:p w14:paraId="430DC991" w14:textId="77777777" w:rsidR="005D44AF" w:rsidRPr="00DD1DFA" w:rsidRDefault="005D44AF" w:rsidP="005D44AF">
            <w:pPr>
              <w:rPr>
                <w:noProof/>
              </w:rPr>
            </w:pPr>
            <w:r w:rsidRPr="00DD1DFA">
              <w:rPr>
                <w:noProof/>
              </w:rPr>
              <w:t>0,170</w:t>
            </w:r>
          </w:p>
        </w:tc>
        <w:tc>
          <w:tcPr>
            <w:tcW w:w="868" w:type="dxa"/>
            <w:vAlign w:val="center"/>
          </w:tcPr>
          <w:p w14:paraId="02FAAA01" w14:textId="77777777" w:rsidR="005D44AF" w:rsidRPr="00DD1DFA" w:rsidRDefault="005D44AF" w:rsidP="005D44AF">
            <w:pPr>
              <w:rPr>
                <w:noProof/>
              </w:rPr>
            </w:pPr>
            <w:r w:rsidRPr="00DD1DFA">
              <w:rPr>
                <w:noProof/>
              </w:rPr>
              <w:t>0,170</w:t>
            </w:r>
          </w:p>
        </w:tc>
        <w:tc>
          <w:tcPr>
            <w:tcW w:w="868" w:type="dxa"/>
            <w:vAlign w:val="center"/>
          </w:tcPr>
          <w:p w14:paraId="6558922C" w14:textId="77777777" w:rsidR="005D44AF" w:rsidRPr="00DD1DFA" w:rsidRDefault="005D44AF" w:rsidP="005D44AF">
            <w:pPr>
              <w:rPr>
                <w:noProof/>
              </w:rPr>
            </w:pPr>
            <w:r w:rsidRPr="00DD1DFA">
              <w:rPr>
                <w:noProof/>
              </w:rPr>
              <w:t>0,170</w:t>
            </w:r>
          </w:p>
        </w:tc>
        <w:tc>
          <w:tcPr>
            <w:tcW w:w="868" w:type="dxa"/>
            <w:vAlign w:val="center"/>
          </w:tcPr>
          <w:p w14:paraId="11EC8977" w14:textId="77777777" w:rsidR="005D44AF" w:rsidRPr="00DD1DFA" w:rsidRDefault="005D44AF" w:rsidP="005D44AF">
            <w:pPr>
              <w:rPr>
                <w:noProof/>
              </w:rPr>
            </w:pPr>
            <w:r w:rsidRPr="00DD1DFA">
              <w:rPr>
                <w:noProof/>
              </w:rPr>
              <w:t>0,170</w:t>
            </w:r>
          </w:p>
        </w:tc>
        <w:tc>
          <w:tcPr>
            <w:tcW w:w="868" w:type="dxa"/>
            <w:vAlign w:val="center"/>
          </w:tcPr>
          <w:p w14:paraId="3A625ECA" w14:textId="77777777" w:rsidR="005D44AF" w:rsidRPr="00DD1DFA" w:rsidRDefault="005D44AF" w:rsidP="005D44AF">
            <w:pPr>
              <w:rPr>
                <w:noProof/>
              </w:rPr>
            </w:pPr>
            <w:r w:rsidRPr="00DD1DFA">
              <w:rPr>
                <w:noProof/>
              </w:rPr>
              <w:t>0,170</w:t>
            </w:r>
          </w:p>
        </w:tc>
        <w:tc>
          <w:tcPr>
            <w:tcW w:w="868" w:type="dxa"/>
            <w:shd w:val="clear" w:color="auto" w:fill="BFBFBF" w:themeFill="background1" w:themeFillShade="BF"/>
            <w:vAlign w:val="center"/>
          </w:tcPr>
          <w:p w14:paraId="6ADB4CF0" w14:textId="77777777" w:rsidR="005D44AF" w:rsidRPr="00DD1DFA" w:rsidRDefault="005D44AF" w:rsidP="005D44AF">
            <w:pPr>
              <w:rPr>
                <w:b/>
                <w:noProof/>
                <w:lang w:eastAsia="en-GB"/>
              </w:rPr>
            </w:pPr>
          </w:p>
        </w:tc>
        <w:tc>
          <w:tcPr>
            <w:tcW w:w="1636" w:type="dxa"/>
            <w:vAlign w:val="center"/>
          </w:tcPr>
          <w:p w14:paraId="7A23800E" w14:textId="77777777" w:rsidR="005D44AF" w:rsidRPr="00DD1DFA" w:rsidRDefault="005D44AF" w:rsidP="005D44AF">
            <w:pPr>
              <w:rPr>
                <w:b/>
                <w:noProof/>
              </w:rPr>
            </w:pPr>
            <w:r w:rsidRPr="00DD1DFA">
              <w:rPr>
                <w:b/>
                <w:noProof/>
              </w:rPr>
              <w:t>1,020</w:t>
            </w:r>
          </w:p>
        </w:tc>
      </w:tr>
      <w:tr w:rsidR="005D44AF" w:rsidRPr="00DD1DFA" w14:paraId="66649FFE" w14:textId="77777777" w:rsidTr="00380F0F">
        <w:tc>
          <w:tcPr>
            <w:tcW w:w="3960" w:type="dxa"/>
            <w:vAlign w:val="center"/>
          </w:tcPr>
          <w:p w14:paraId="483C428B" w14:textId="77777777" w:rsidR="005D44AF" w:rsidRPr="00DD1DFA" w:rsidRDefault="005D44AF" w:rsidP="005D44AF">
            <w:pPr>
              <w:rPr>
                <w:b/>
                <w:noProof/>
              </w:rPr>
            </w:pPr>
            <w:r w:rsidRPr="00DD1DFA">
              <w:rPr>
                <w:b/>
                <w:noProof/>
              </w:rPr>
              <w:t>OGÓŁEM DG</w:t>
            </w:r>
            <w:r w:rsidRPr="00DD1DFA">
              <w:rPr>
                <w:noProof/>
              </w:rPr>
              <w:t xml:space="preserve"> GROW</w:t>
            </w:r>
          </w:p>
        </w:tc>
        <w:tc>
          <w:tcPr>
            <w:tcW w:w="2094" w:type="dxa"/>
            <w:gridSpan w:val="2"/>
            <w:vAlign w:val="center"/>
          </w:tcPr>
          <w:p w14:paraId="4AD1B200" w14:textId="77777777" w:rsidR="005D44AF" w:rsidRPr="00DD1DFA" w:rsidRDefault="005D44AF" w:rsidP="005D44AF">
            <w:pPr>
              <w:rPr>
                <w:noProof/>
              </w:rPr>
            </w:pPr>
            <w:r w:rsidRPr="00DD1DFA">
              <w:rPr>
                <w:noProof/>
              </w:rPr>
              <w:t xml:space="preserve">Środki </w:t>
            </w:r>
          </w:p>
        </w:tc>
        <w:tc>
          <w:tcPr>
            <w:tcW w:w="868" w:type="dxa"/>
            <w:vAlign w:val="center"/>
          </w:tcPr>
          <w:p w14:paraId="69A68C3B" w14:textId="77777777" w:rsidR="005D44AF" w:rsidRPr="00DD1DFA" w:rsidRDefault="005D44AF" w:rsidP="005D44AF">
            <w:pPr>
              <w:rPr>
                <w:noProof/>
              </w:rPr>
            </w:pPr>
            <w:r w:rsidRPr="00DD1DFA">
              <w:rPr>
                <w:noProof/>
              </w:rPr>
              <w:t>1,269 </w:t>
            </w:r>
          </w:p>
        </w:tc>
        <w:tc>
          <w:tcPr>
            <w:tcW w:w="868" w:type="dxa"/>
            <w:vAlign w:val="center"/>
          </w:tcPr>
          <w:p w14:paraId="355E924B" w14:textId="77777777" w:rsidR="005D44AF" w:rsidRPr="00DD1DFA" w:rsidRDefault="005D44AF" w:rsidP="005D44AF">
            <w:pPr>
              <w:rPr>
                <w:noProof/>
              </w:rPr>
            </w:pPr>
            <w:r w:rsidRPr="00DD1DFA">
              <w:rPr>
                <w:noProof/>
              </w:rPr>
              <w:t> 1,269</w:t>
            </w:r>
          </w:p>
        </w:tc>
        <w:tc>
          <w:tcPr>
            <w:tcW w:w="868" w:type="dxa"/>
            <w:vAlign w:val="center"/>
          </w:tcPr>
          <w:p w14:paraId="081F1F71" w14:textId="77777777" w:rsidR="005D44AF" w:rsidRPr="00DD1DFA" w:rsidRDefault="005D44AF" w:rsidP="005D44AF">
            <w:pPr>
              <w:rPr>
                <w:noProof/>
              </w:rPr>
            </w:pPr>
            <w:r w:rsidRPr="00DD1DFA">
              <w:rPr>
                <w:noProof/>
              </w:rPr>
              <w:t>1,269</w:t>
            </w:r>
          </w:p>
        </w:tc>
        <w:tc>
          <w:tcPr>
            <w:tcW w:w="868" w:type="dxa"/>
            <w:vAlign w:val="center"/>
          </w:tcPr>
          <w:p w14:paraId="2D05DD83" w14:textId="77777777" w:rsidR="005D44AF" w:rsidRPr="00DD1DFA" w:rsidRDefault="005D44AF" w:rsidP="005D44AF">
            <w:pPr>
              <w:rPr>
                <w:noProof/>
              </w:rPr>
            </w:pPr>
            <w:r w:rsidRPr="00DD1DFA">
              <w:rPr>
                <w:noProof/>
              </w:rPr>
              <w:t>1,112 </w:t>
            </w:r>
          </w:p>
        </w:tc>
        <w:tc>
          <w:tcPr>
            <w:tcW w:w="868" w:type="dxa"/>
            <w:vAlign w:val="center"/>
          </w:tcPr>
          <w:p w14:paraId="550FAB8D" w14:textId="77777777" w:rsidR="005D44AF" w:rsidRPr="00DD1DFA" w:rsidRDefault="005D44AF" w:rsidP="005D44AF">
            <w:pPr>
              <w:rPr>
                <w:noProof/>
              </w:rPr>
            </w:pPr>
            <w:r w:rsidRPr="00DD1DFA">
              <w:rPr>
                <w:noProof/>
              </w:rPr>
              <w:t>1,112 </w:t>
            </w:r>
          </w:p>
        </w:tc>
        <w:tc>
          <w:tcPr>
            <w:tcW w:w="868" w:type="dxa"/>
            <w:vAlign w:val="center"/>
          </w:tcPr>
          <w:p w14:paraId="55352C91" w14:textId="77777777" w:rsidR="005D44AF" w:rsidRPr="00DD1DFA" w:rsidRDefault="005D44AF" w:rsidP="005D44AF">
            <w:pPr>
              <w:rPr>
                <w:noProof/>
              </w:rPr>
            </w:pPr>
            <w:r w:rsidRPr="00DD1DFA">
              <w:rPr>
                <w:noProof/>
              </w:rPr>
              <w:t>0,798 </w:t>
            </w:r>
          </w:p>
        </w:tc>
        <w:tc>
          <w:tcPr>
            <w:tcW w:w="868" w:type="dxa"/>
            <w:shd w:val="clear" w:color="auto" w:fill="BFBFBF" w:themeFill="background1" w:themeFillShade="BF"/>
            <w:vAlign w:val="center"/>
          </w:tcPr>
          <w:p w14:paraId="73FBA98A" w14:textId="77777777" w:rsidR="005D44AF" w:rsidRPr="00DD1DFA" w:rsidRDefault="005D44AF" w:rsidP="005D44AF">
            <w:pPr>
              <w:rPr>
                <w:b/>
                <w:noProof/>
                <w:lang w:eastAsia="en-GB"/>
              </w:rPr>
            </w:pPr>
          </w:p>
        </w:tc>
        <w:tc>
          <w:tcPr>
            <w:tcW w:w="1636" w:type="dxa"/>
            <w:vAlign w:val="center"/>
          </w:tcPr>
          <w:p w14:paraId="18A3FE6F" w14:textId="77777777" w:rsidR="005D44AF" w:rsidRPr="00DD1DFA" w:rsidRDefault="005D44AF" w:rsidP="005D44AF">
            <w:pPr>
              <w:rPr>
                <w:b/>
                <w:noProof/>
              </w:rPr>
            </w:pPr>
            <w:r w:rsidRPr="00DD1DFA">
              <w:rPr>
                <w:b/>
                <w:bCs/>
                <w:noProof/>
              </w:rPr>
              <w:t>6,829</w:t>
            </w:r>
          </w:p>
        </w:tc>
      </w:tr>
    </w:tbl>
    <w:p w14:paraId="3D5AD1E7" w14:textId="77777777" w:rsidR="005D44AF" w:rsidRPr="00DD1DFA" w:rsidRDefault="005D44AF" w:rsidP="005D44AF">
      <w:pPr>
        <w:rPr>
          <w:noProof/>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5D44AF" w:rsidRPr="00DD1DFA" w14:paraId="7A0EF656" w14:textId="77777777" w:rsidTr="00380F0F">
        <w:tc>
          <w:tcPr>
            <w:tcW w:w="3960" w:type="dxa"/>
            <w:shd w:val="thinDiagStripe" w:color="C0C0C0" w:fill="auto"/>
            <w:vAlign w:val="center"/>
          </w:tcPr>
          <w:p w14:paraId="603363B5" w14:textId="77777777" w:rsidR="005D44AF" w:rsidRPr="00DD1DFA" w:rsidRDefault="005D44AF" w:rsidP="005D44AF">
            <w:pPr>
              <w:jc w:val="center"/>
              <w:rPr>
                <w:b/>
                <w:noProof/>
              </w:rPr>
            </w:pPr>
            <w:r w:rsidRPr="00DD1DFA">
              <w:rPr>
                <w:b/>
                <w:noProof/>
                <w:sz w:val="22"/>
              </w:rPr>
              <w:t>OGÓŁEM środki</w:t>
            </w:r>
            <w:r w:rsidRPr="00DD1DFA">
              <w:rPr>
                <w:noProof/>
              </w:rPr>
              <w:t xml:space="preserve"> </w:t>
            </w:r>
            <w:r w:rsidRPr="00DD1DFA">
              <w:rPr>
                <w:noProof/>
              </w:rPr>
              <w:br/>
            </w:r>
            <w:r w:rsidRPr="00DD1DFA">
              <w:rPr>
                <w:b/>
                <w:noProof/>
                <w:sz w:val="22"/>
              </w:rPr>
              <w:t>na DZIAŁ 7</w:t>
            </w:r>
            <w:r w:rsidRPr="00DD1DFA">
              <w:rPr>
                <w:noProof/>
              </w:rPr>
              <w:t xml:space="preserve"> </w:t>
            </w:r>
            <w:r w:rsidRPr="00DD1DFA">
              <w:rPr>
                <w:noProof/>
              </w:rPr>
              <w:br/>
            </w:r>
            <w:r w:rsidRPr="00DD1DFA">
              <w:rPr>
                <w:noProof/>
                <w:sz w:val="22"/>
              </w:rPr>
              <w:t>wieloletnich ram finansowych</w:t>
            </w:r>
            <w:r w:rsidRPr="00DD1DFA">
              <w:rPr>
                <w:b/>
                <w:noProof/>
                <w:sz w:val="22"/>
              </w:rPr>
              <w:t xml:space="preserve"> </w:t>
            </w:r>
          </w:p>
        </w:tc>
        <w:tc>
          <w:tcPr>
            <w:tcW w:w="2094" w:type="dxa"/>
            <w:vAlign w:val="center"/>
          </w:tcPr>
          <w:p w14:paraId="2E84F9F6" w14:textId="77777777" w:rsidR="005D44AF" w:rsidRPr="00DD1DFA" w:rsidRDefault="005D44AF" w:rsidP="005D44AF">
            <w:pPr>
              <w:spacing w:before="40" w:after="40"/>
              <w:rPr>
                <w:noProof/>
              </w:rPr>
            </w:pPr>
            <w:r w:rsidRPr="00DD1DFA">
              <w:rPr>
                <w:noProof/>
                <w:sz w:val="18"/>
              </w:rPr>
              <w:t>(Środki na zobowiązania ogółem = środki na płatności ogółem)</w:t>
            </w:r>
          </w:p>
        </w:tc>
        <w:tc>
          <w:tcPr>
            <w:tcW w:w="868" w:type="dxa"/>
            <w:vAlign w:val="center"/>
          </w:tcPr>
          <w:p w14:paraId="3E7618BA" w14:textId="77777777" w:rsidR="005D44AF" w:rsidRPr="00DD1DFA" w:rsidRDefault="005D44AF" w:rsidP="005D44AF">
            <w:pPr>
              <w:spacing w:before="20" w:after="20"/>
              <w:jc w:val="right"/>
              <w:rPr>
                <w:noProof/>
                <w:sz w:val="20"/>
              </w:rPr>
            </w:pPr>
            <w:r w:rsidRPr="00DD1DFA">
              <w:rPr>
                <w:rFonts w:ascii="Arial Narrow" w:hAnsi="Arial Narrow"/>
                <w:noProof/>
                <w:color w:val="000000"/>
                <w:sz w:val="20"/>
                <w:szCs w:val="20"/>
              </w:rPr>
              <w:t>1,269 </w:t>
            </w:r>
          </w:p>
        </w:tc>
        <w:tc>
          <w:tcPr>
            <w:tcW w:w="868" w:type="dxa"/>
            <w:vAlign w:val="center"/>
          </w:tcPr>
          <w:p w14:paraId="539F608D" w14:textId="77777777" w:rsidR="005D44AF" w:rsidRPr="00DD1DFA" w:rsidRDefault="005D44AF" w:rsidP="005D44AF">
            <w:pPr>
              <w:spacing w:before="20" w:after="20"/>
              <w:jc w:val="right"/>
              <w:rPr>
                <w:noProof/>
                <w:sz w:val="20"/>
              </w:rPr>
            </w:pPr>
            <w:r w:rsidRPr="00DD1DFA">
              <w:rPr>
                <w:rFonts w:ascii="Arial Narrow" w:hAnsi="Arial Narrow"/>
                <w:noProof/>
                <w:color w:val="000000"/>
                <w:sz w:val="20"/>
                <w:szCs w:val="20"/>
              </w:rPr>
              <w:t> 1,269</w:t>
            </w:r>
          </w:p>
        </w:tc>
        <w:tc>
          <w:tcPr>
            <w:tcW w:w="868" w:type="dxa"/>
            <w:vAlign w:val="center"/>
          </w:tcPr>
          <w:p w14:paraId="2447D7EB" w14:textId="77777777" w:rsidR="005D44AF" w:rsidRPr="00DD1DFA" w:rsidRDefault="005D44AF" w:rsidP="005D44AF">
            <w:pPr>
              <w:spacing w:before="20" w:after="20"/>
              <w:jc w:val="right"/>
              <w:rPr>
                <w:noProof/>
                <w:sz w:val="20"/>
              </w:rPr>
            </w:pPr>
            <w:r w:rsidRPr="00DD1DFA">
              <w:rPr>
                <w:rFonts w:ascii="Arial Narrow" w:hAnsi="Arial Narrow"/>
                <w:noProof/>
                <w:color w:val="000000"/>
                <w:sz w:val="20"/>
                <w:szCs w:val="20"/>
              </w:rPr>
              <w:t>1,269 </w:t>
            </w:r>
          </w:p>
        </w:tc>
        <w:tc>
          <w:tcPr>
            <w:tcW w:w="868" w:type="dxa"/>
            <w:vAlign w:val="center"/>
          </w:tcPr>
          <w:p w14:paraId="73330BEA" w14:textId="77777777" w:rsidR="005D44AF" w:rsidRPr="00DD1DFA" w:rsidRDefault="005D44AF" w:rsidP="005D44AF">
            <w:pPr>
              <w:spacing w:before="20" w:after="20"/>
              <w:jc w:val="right"/>
              <w:rPr>
                <w:noProof/>
                <w:sz w:val="20"/>
              </w:rPr>
            </w:pPr>
            <w:r w:rsidRPr="00DD1DFA">
              <w:rPr>
                <w:rFonts w:ascii="Arial Narrow" w:hAnsi="Arial Narrow"/>
                <w:noProof/>
                <w:color w:val="000000"/>
                <w:sz w:val="20"/>
                <w:szCs w:val="20"/>
              </w:rPr>
              <w:t>1,112 </w:t>
            </w:r>
          </w:p>
        </w:tc>
        <w:tc>
          <w:tcPr>
            <w:tcW w:w="868" w:type="dxa"/>
            <w:vAlign w:val="center"/>
          </w:tcPr>
          <w:p w14:paraId="085CFD08" w14:textId="77777777" w:rsidR="005D44AF" w:rsidRPr="00DD1DFA" w:rsidRDefault="005D44AF" w:rsidP="005D44AF">
            <w:pPr>
              <w:spacing w:before="20" w:after="20"/>
              <w:jc w:val="right"/>
              <w:rPr>
                <w:noProof/>
                <w:sz w:val="20"/>
              </w:rPr>
            </w:pPr>
            <w:r w:rsidRPr="00DD1DFA">
              <w:rPr>
                <w:rFonts w:ascii="Arial Narrow" w:hAnsi="Arial Narrow"/>
                <w:noProof/>
                <w:color w:val="000000"/>
                <w:sz w:val="20"/>
                <w:szCs w:val="20"/>
              </w:rPr>
              <w:t>1,112 </w:t>
            </w:r>
          </w:p>
        </w:tc>
        <w:tc>
          <w:tcPr>
            <w:tcW w:w="868" w:type="dxa"/>
            <w:vAlign w:val="center"/>
          </w:tcPr>
          <w:p w14:paraId="7263DA78" w14:textId="77777777" w:rsidR="005D44AF" w:rsidRPr="00DD1DFA" w:rsidRDefault="005D44AF" w:rsidP="005D44AF">
            <w:pPr>
              <w:spacing w:before="20" w:after="20"/>
              <w:jc w:val="right"/>
              <w:rPr>
                <w:noProof/>
                <w:sz w:val="20"/>
              </w:rPr>
            </w:pPr>
            <w:r w:rsidRPr="00DD1DFA">
              <w:rPr>
                <w:rFonts w:ascii="Arial Narrow" w:hAnsi="Arial Narrow"/>
                <w:noProof/>
                <w:color w:val="000000"/>
                <w:sz w:val="20"/>
                <w:szCs w:val="20"/>
              </w:rPr>
              <w:t>0,798 </w:t>
            </w:r>
          </w:p>
        </w:tc>
        <w:tc>
          <w:tcPr>
            <w:tcW w:w="868" w:type="dxa"/>
            <w:shd w:val="clear" w:color="auto" w:fill="BFBFBF" w:themeFill="background1" w:themeFillShade="BF"/>
            <w:vAlign w:val="center"/>
          </w:tcPr>
          <w:p w14:paraId="7BC12121" w14:textId="77777777" w:rsidR="005D44AF" w:rsidRPr="00DD1DFA" w:rsidRDefault="005D44AF" w:rsidP="005D44AF">
            <w:pPr>
              <w:spacing w:before="20" w:after="20"/>
              <w:jc w:val="right"/>
              <w:rPr>
                <w:b/>
                <w:noProof/>
                <w:sz w:val="20"/>
                <w:lang w:eastAsia="en-GB"/>
              </w:rPr>
            </w:pPr>
          </w:p>
        </w:tc>
        <w:tc>
          <w:tcPr>
            <w:tcW w:w="1777" w:type="dxa"/>
            <w:vAlign w:val="center"/>
          </w:tcPr>
          <w:p w14:paraId="3B20F2CA" w14:textId="77777777" w:rsidR="005D44AF" w:rsidRPr="00DD1DFA" w:rsidRDefault="005D44AF" w:rsidP="005D44AF">
            <w:pPr>
              <w:spacing w:before="20" w:after="20"/>
              <w:jc w:val="right"/>
              <w:rPr>
                <w:b/>
                <w:noProof/>
                <w:sz w:val="20"/>
              </w:rPr>
            </w:pPr>
            <w:r w:rsidRPr="00DD1DFA">
              <w:rPr>
                <w:rFonts w:ascii="Arial Narrow" w:hAnsi="Arial Narrow"/>
                <w:b/>
                <w:bCs/>
                <w:noProof/>
                <w:color w:val="000000"/>
                <w:sz w:val="20"/>
                <w:szCs w:val="20"/>
              </w:rPr>
              <w:t>6,829 </w:t>
            </w:r>
          </w:p>
        </w:tc>
      </w:tr>
    </w:tbl>
    <w:p w14:paraId="2B0D41F8" w14:textId="77777777" w:rsidR="005D44AF" w:rsidRPr="00DD1DFA" w:rsidRDefault="005D44AF" w:rsidP="005D44AF">
      <w:pPr>
        <w:jc w:val="right"/>
        <w:rPr>
          <w:noProof/>
          <w:sz w:val="20"/>
        </w:rPr>
      </w:pPr>
      <w:r w:rsidRPr="00DD1DFA">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D44AF" w:rsidRPr="00DD1DFA" w14:paraId="3746430C" w14:textId="77777777" w:rsidTr="00380F0F">
        <w:tc>
          <w:tcPr>
            <w:tcW w:w="3960" w:type="dxa"/>
            <w:tcBorders>
              <w:top w:val="nil"/>
              <w:left w:val="nil"/>
              <w:right w:val="nil"/>
            </w:tcBorders>
            <w:vAlign w:val="center"/>
          </w:tcPr>
          <w:p w14:paraId="36A8A355" w14:textId="77777777" w:rsidR="005D44AF" w:rsidRPr="00DD1DFA" w:rsidRDefault="005D44AF" w:rsidP="005D44AF">
            <w:pPr>
              <w:jc w:val="center"/>
              <w:rPr>
                <w:noProof/>
                <w:lang w:eastAsia="en-GB"/>
              </w:rPr>
            </w:pPr>
          </w:p>
        </w:tc>
        <w:tc>
          <w:tcPr>
            <w:tcW w:w="1560" w:type="dxa"/>
            <w:tcBorders>
              <w:top w:val="nil"/>
              <w:left w:val="nil"/>
              <w:right w:val="nil"/>
            </w:tcBorders>
          </w:tcPr>
          <w:p w14:paraId="7E8EBE5B" w14:textId="77777777" w:rsidR="005D44AF" w:rsidRPr="00DD1DFA" w:rsidRDefault="005D44AF" w:rsidP="005D44AF">
            <w:pPr>
              <w:rPr>
                <w:noProof/>
                <w:sz w:val="20"/>
                <w:lang w:eastAsia="en-GB"/>
              </w:rPr>
            </w:pPr>
          </w:p>
        </w:tc>
        <w:tc>
          <w:tcPr>
            <w:tcW w:w="534" w:type="dxa"/>
            <w:tcBorders>
              <w:top w:val="nil"/>
              <w:left w:val="nil"/>
            </w:tcBorders>
          </w:tcPr>
          <w:p w14:paraId="45299807" w14:textId="77777777" w:rsidR="005D44AF" w:rsidRPr="00DD1DFA" w:rsidRDefault="005D44AF" w:rsidP="005D44AF">
            <w:pPr>
              <w:jc w:val="center"/>
              <w:rPr>
                <w:noProof/>
                <w:sz w:val="20"/>
                <w:lang w:eastAsia="en-GB"/>
              </w:rPr>
            </w:pPr>
          </w:p>
        </w:tc>
        <w:tc>
          <w:tcPr>
            <w:tcW w:w="868" w:type="dxa"/>
            <w:vAlign w:val="center"/>
          </w:tcPr>
          <w:p w14:paraId="67BA1ED4" w14:textId="77777777" w:rsidR="005D44AF" w:rsidRPr="00DD1DFA" w:rsidRDefault="005D44AF"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2024</w:t>
            </w:r>
          </w:p>
        </w:tc>
        <w:tc>
          <w:tcPr>
            <w:tcW w:w="868" w:type="dxa"/>
            <w:vAlign w:val="center"/>
          </w:tcPr>
          <w:p w14:paraId="6A3DA67F" w14:textId="77777777" w:rsidR="005D44AF" w:rsidRPr="00DD1DFA" w:rsidRDefault="005D44AF"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2025</w:t>
            </w:r>
          </w:p>
        </w:tc>
        <w:tc>
          <w:tcPr>
            <w:tcW w:w="868" w:type="dxa"/>
            <w:vAlign w:val="center"/>
          </w:tcPr>
          <w:p w14:paraId="5A293D29" w14:textId="77777777" w:rsidR="005D44AF" w:rsidRPr="00DD1DFA" w:rsidRDefault="005D44AF"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2026</w:t>
            </w:r>
          </w:p>
        </w:tc>
        <w:tc>
          <w:tcPr>
            <w:tcW w:w="868" w:type="dxa"/>
            <w:vAlign w:val="center"/>
          </w:tcPr>
          <w:p w14:paraId="7B1C44BA" w14:textId="77777777" w:rsidR="005D44AF" w:rsidRPr="00DD1DFA" w:rsidRDefault="005D44AF"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2027</w:t>
            </w:r>
          </w:p>
        </w:tc>
        <w:tc>
          <w:tcPr>
            <w:tcW w:w="868" w:type="dxa"/>
            <w:vAlign w:val="center"/>
          </w:tcPr>
          <w:p w14:paraId="068596EC" w14:textId="77777777" w:rsidR="005D44AF" w:rsidRPr="00DD1DFA" w:rsidRDefault="005D44AF" w:rsidP="005D44AF">
            <w:pPr>
              <w:jc w:val="center"/>
              <w:rPr>
                <w:b/>
                <w:noProof/>
                <w:sz w:val="18"/>
              </w:rPr>
            </w:pPr>
            <w:r w:rsidRPr="00DD1DFA">
              <w:rPr>
                <w:noProof/>
                <w:sz w:val="20"/>
              </w:rPr>
              <w:t>Rok</w:t>
            </w:r>
            <w:r w:rsidRPr="00DD1DFA">
              <w:rPr>
                <w:noProof/>
              </w:rPr>
              <w:t xml:space="preserve"> </w:t>
            </w:r>
            <w:r w:rsidRPr="00DD1DFA">
              <w:rPr>
                <w:noProof/>
              </w:rPr>
              <w:br/>
            </w:r>
            <w:r w:rsidRPr="00DD1DFA">
              <w:rPr>
                <w:b/>
                <w:noProof/>
                <w:sz w:val="20"/>
              </w:rPr>
              <w:t>2028</w:t>
            </w:r>
          </w:p>
        </w:tc>
        <w:tc>
          <w:tcPr>
            <w:tcW w:w="868" w:type="dxa"/>
            <w:vAlign w:val="center"/>
          </w:tcPr>
          <w:p w14:paraId="4DFB9F3F" w14:textId="77777777" w:rsidR="005D44AF" w:rsidRPr="00DD1DFA" w:rsidRDefault="005D44AF" w:rsidP="005D44AF">
            <w:pPr>
              <w:jc w:val="center"/>
              <w:rPr>
                <w:b/>
                <w:noProof/>
                <w:sz w:val="18"/>
              </w:rPr>
            </w:pPr>
            <w:r w:rsidRPr="00DD1DFA">
              <w:rPr>
                <w:b/>
                <w:noProof/>
                <w:sz w:val="18"/>
              </w:rPr>
              <w:t>Rok</w:t>
            </w:r>
            <w:r w:rsidRPr="00DD1DFA">
              <w:rPr>
                <w:noProof/>
              </w:rPr>
              <w:t xml:space="preserve"> </w:t>
            </w:r>
            <w:r w:rsidRPr="00DD1DFA">
              <w:rPr>
                <w:noProof/>
              </w:rPr>
              <w:br/>
            </w:r>
            <w:r w:rsidRPr="00DD1DFA">
              <w:rPr>
                <w:b/>
                <w:noProof/>
                <w:sz w:val="18"/>
              </w:rPr>
              <w:t>2029</w:t>
            </w:r>
          </w:p>
        </w:tc>
        <w:tc>
          <w:tcPr>
            <w:tcW w:w="868" w:type="dxa"/>
            <w:vAlign w:val="center"/>
          </w:tcPr>
          <w:p w14:paraId="4919009D" w14:textId="77777777" w:rsidR="005D44AF" w:rsidRPr="00DD1DFA" w:rsidRDefault="005D44AF" w:rsidP="005D44AF">
            <w:pPr>
              <w:jc w:val="center"/>
              <w:rPr>
                <w:b/>
                <w:noProof/>
                <w:sz w:val="18"/>
              </w:rPr>
            </w:pPr>
            <w:r w:rsidRPr="00DD1DFA">
              <w:rPr>
                <w:b/>
                <w:noProof/>
                <w:sz w:val="18"/>
              </w:rPr>
              <w:t>Po</w:t>
            </w:r>
            <w:r w:rsidRPr="00DD1DFA">
              <w:rPr>
                <w:noProof/>
              </w:rPr>
              <w:t xml:space="preserve"> </w:t>
            </w:r>
            <w:r w:rsidRPr="00DD1DFA">
              <w:rPr>
                <w:noProof/>
              </w:rPr>
              <w:br/>
            </w:r>
            <w:r w:rsidRPr="00DD1DFA">
              <w:rPr>
                <w:b/>
                <w:noProof/>
                <w:sz w:val="18"/>
              </w:rPr>
              <w:t>2029</w:t>
            </w:r>
          </w:p>
        </w:tc>
        <w:tc>
          <w:tcPr>
            <w:tcW w:w="1777" w:type="dxa"/>
            <w:vAlign w:val="center"/>
          </w:tcPr>
          <w:p w14:paraId="5F3960DF" w14:textId="77777777" w:rsidR="005D44AF" w:rsidRPr="00DD1DFA" w:rsidRDefault="005D44AF" w:rsidP="005D44AF">
            <w:pPr>
              <w:jc w:val="center"/>
              <w:rPr>
                <w:b/>
                <w:noProof/>
                <w:sz w:val="20"/>
              </w:rPr>
            </w:pPr>
            <w:r w:rsidRPr="00DD1DFA">
              <w:rPr>
                <w:b/>
                <w:noProof/>
                <w:sz w:val="20"/>
              </w:rPr>
              <w:t>OGÓŁEM</w:t>
            </w:r>
          </w:p>
        </w:tc>
      </w:tr>
      <w:tr w:rsidR="005D44AF" w:rsidRPr="00DD1DFA" w14:paraId="481EA5C1" w14:textId="77777777" w:rsidTr="00380F0F">
        <w:tc>
          <w:tcPr>
            <w:tcW w:w="3960" w:type="dxa"/>
            <w:vMerge w:val="restart"/>
            <w:shd w:val="clear" w:color="auto" w:fill="C0C0C0"/>
            <w:vAlign w:val="center"/>
          </w:tcPr>
          <w:p w14:paraId="1D86FCC0" w14:textId="526D3C67" w:rsidR="005D44AF" w:rsidRPr="00DD1DFA" w:rsidRDefault="005D44AF" w:rsidP="005D44AF">
            <w:pPr>
              <w:jc w:val="center"/>
              <w:rPr>
                <w:b/>
                <w:noProof/>
              </w:rPr>
            </w:pPr>
            <w:r w:rsidRPr="00DD1DFA">
              <w:rPr>
                <w:b/>
                <w:noProof/>
                <w:sz w:val="22"/>
              </w:rPr>
              <w:t>OGÓŁEM środki</w:t>
            </w:r>
            <w:r w:rsidRPr="00DD1DFA">
              <w:rPr>
                <w:noProof/>
              </w:rPr>
              <w:t xml:space="preserve"> </w:t>
            </w:r>
            <w:r w:rsidRPr="00DD1DFA">
              <w:rPr>
                <w:noProof/>
              </w:rPr>
              <w:br/>
            </w:r>
            <w:r w:rsidRPr="00DD1DFA">
              <w:rPr>
                <w:b/>
                <w:noProof/>
                <w:sz w:val="22"/>
              </w:rPr>
              <w:t>na DZIAŁY od</w:t>
            </w:r>
            <w:r w:rsidR="00DD1DFA" w:rsidRPr="00DD1DFA">
              <w:rPr>
                <w:b/>
                <w:noProof/>
                <w:sz w:val="22"/>
              </w:rPr>
              <w:t> </w:t>
            </w:r>
            <w:r w:rsidRPr="00DD1DFA">
              <w:rPr>
                <w:b/>
                <w:noProof/>
                <w:sz w:val="22"/>
              </w:rPr>
              <w:t>1 do</w:t>
            </w:r>
            <w:r w:rsidR="00DD1DFA" w:rsidRPr="00DD1DFA">
              <w:rPr>
                <w:b/>
                <w:noProof/>
                <w:sz w:val="22"/>
              </w:rPr>
              <w:t> </w:t>
            </w:r>
            <w:r w:rsidRPr="00DD1DFA">
              <w:rPr>
                <w:b/>
                <w:noProof/>
                <w:sz w:val="22"/>
              </w:rPr>
              <w:t>7</w:t>
            </w:r>
            <w:r w:rsidRPr="00DD1DFA">
              <w:rPr>
                <w:noProof/>
              </w:rPr>
              <w:t xml:space="preserve"> </w:t>
            </w:r>
            <w:r w:rsidRPr="00DD1DFA">
              <w:rPr>
                <w:noProof/>
              </w:rPr>
              <w:br/>
            </w:r>
            <w:r w:rsidRPr="00DD1DFA">
              <w:rPr>
                <w:noProof/>
                <w:sz w:val="22"/>
              </w:rPr>
              <w:t>wieloletnich ram finansowych</w:t>
            </w:r>
            <w:r w:rsidRPr="00DD1DFA">
              <w:rPr>
                <w:b/>
                <w:noProof/>
                <w:sz w:val="22"/>
              </w:rPr>
              <w:t xml:space="preserve"> </w:t>
            </w:r>
          </w:p>
        </w:tc>
        <w:tc>
          <w:tcPr>
            <w:tcW w:w="2094" w:type="dxa"/>
            <w:gridSpan w:val="2"/>
            <w:vAlign w:val="center"/>
          </w:tcPr>
          <w:p w14:paraId="5E9B1FF9" w14:textId="77777777" w:rsidR="005D44AF" w:rsidRPr="00DD1DFA" w:rsidRDefault="005D44AF" w:rsidP="005D44AF">
            <w:pPr>
              <w:rPr>
                <w:noProof/>
                <w:sz w:val="14"/>
              </w:rPr>
            </w:pPr>
            <w:r w:rsidRPr="00DD1DFA">
              <w:rPr>
                <w:noProof/>
                <w:sz w:val="18"/>
              </w:rPr>
              <w:t>Środki na zobowiązania</w:t>
            </w:r>
          </w:p>
        </w:tc>
        <w:tc>
          <w:tcPr>
            <w:tcW w:w="868" w:type="dxa"/>
            <w:vAlign w:val="center"/>
          </w:tcPr>
          <w:p w14:paraId="00268594" w14:textId="77777777" w:rsidR="005D44AF" w:rsidRPr="00DD1DFA" w:rsidRDefault="005D44AF" w:rsidP="005D44AF">
            <w:pPr>
              <w:spacing w:before="60" w:after="60"/>
              <w:jc w:val="right"/>
              <w:rPr>
                <w:noProof/>
                <w:sz w:val="20"/>
              </w:rPr>
            </w:pPr>
            <w:r w:rsidRPr="00DD1DFA">
              <w:rPr>
                <w:noProof/>
                <w:sz w:val="20"/>
              </w:rPr>
              <w:t>2,109</w:t>
            </w:r>
          </w:p>
        </w:tc>
        <w:tc>
          <w:tcPr>
            <w:tcW w:w="868" w:type="dxa"/>
            <w:vAlign w:val="center"/>
          </w:tcPr>
          <w:p w14:paraId="60DF2461" w14:textId="77777777" w:rsidR="005D44AF" w:rsidRPr="00DD1DFA" w:rsidRDefault="005D44AF" w:rsidP="005D44AF">
            <w:pPr>
              <w:spacing w:before="60" w:after="60"/>
              <w:jc w:val="right"/>
              <w:rPr>
                <w:noProof/>
                <w:sz w:val="20"/>
              </w:rPr>
            </w:pPr>
            <w:r w:rsidRPr="00DD1DFA">
              <w:rPr>
                <w:noProof/>
                <w:sz w:val="20"/>
              </w:rPr>
              <w:t>2,109</w:t>
            </w:r>
          </w:p>
        </w:tc>
        <w:tc>
          <w:tcPr>
            <w:tcW w:w="868" w:type="dxa"/>
            <w:vAlign w:val="center"/>
          </w:tcPr>
          <w:p w14:paraId="6B837E1F" w14:textId="77777777" w:rsidR="005D44AF" w:rsidRPr="00DD1DFA" w:rsidRDefault="005D44AF" w:rsidP="005D44AF">
            <w:pPr>
              <w:spacing w:before="60" w:after="60"/>
              <w:jc w:val="right"/>
              <w:rPr>
                <w:noProof/>
                <w:sz w:val="20"/>
              </w:rPr>
            </w:pPr>
            <w:r w:rsidRPr="00DD1DFA">
              <w:rPr>
                <w:noProof/>
                <w:sz w:val="20"/>
              </w:rPr>
              <w:t>2,109</w:t>
            </w:r>
          </w:p>
        </w:tc>
        <w:tc>
          <w:tcPr>
            <w:tcW w:w="868" w:type="dxa"/>
            <w:vAlign w:val="center"/>
          </w:tcPr>
          <w:p w14:paraId="2E8A4E2B" w14:textId="77777777" w:rsidR="005D44AF" w:rsidRPr="00DD1DFA" w:rsidRDefault="005D44AF" w:rsidP="005D44AF">
            <w:pPr>
              <w:spacing w:before="60" w:after="60"/>
              <w:jc w:val="right"/>
              <w:rPr>
                <w:noProof/>
                <w:sz w:val="20"/>
              </w:rPr>
            </w:pPr>
            <w:r w:rsidRPr="00DD1DFA">
              <w:rPr>
                <w:noProof/>
                <w:sz w:val="20"/>
              </w:rPr>
              <w:t>1,952</w:t>
            </w:r>
          </w:p>
        </w:tc>
        <w:tc>
          <w:tcPr>
            <w:tcW w:w="868" w:type="dxa"/>
            <w:vAlign w:val="center"/>
          </w:tcPr>
          <w:p w14:paraId="0AE59879" w14:textId="77777777" w:rsidR="005D44AF" w:rsidRPr="00DD1DFA" w:rsidRDefault="005D44AF" w:rsidP="005D44AF">
            <w:pPr>
              <w:spacing w:before="60" w:after="60"/>
              <w:jc w:val="right"/>
              <w:rPr>
                <w:noProof/>
                <w:sz w:val="20"/>
              </w:rPr>
            </w:pPr>
            <w:r w:rsidRPr="00DD1DFA">
              <w:rPr>
                <w:noProof/>
                <w:sz w:val="20"/>
              </w:rPr>
              <w:t>1,952</w:t>
            </w:r>
          </w:p>
        </w:tc>
        <w:tc>
          <w:tcPr>
            <w:tcW w:w="868" w:type="dxa"/>
            <w:vAlign w:val="center"/>
          </w:tcPr>
          <w:p w14:paraId="25170D0F" w14:textId="77777777" w:rsidR="005D44AF" w:rsidRPr="00DD1DFA" w:rsidRDefault="005D44AF" w:rsidP="005D44AF">
            <w:pPr>
              <w:spacing w:before="60" w:after="60"/>
              <w:jc w:val="right"/>
              <w:rPr>
                <w:noProof/>
                <w:sz w:val="20"/>
              </w:rPr>
            </w:pPr>
            <w:r w:rsidRPr="00DD1DFA">
              <w:rPr>
                <w:noProof/>
                <w:sz w:val="20"/>
              </w:rPr>
              <w:t>1,638</w:t>
            </w:r>
          </w:p>
        </w:tc>
        <w:tc>
          <w:tcPr>
            <w:tcW w:w="868" w:type="dxa"/>
            <w:shd w:val="clear" w:color="auto" w:fill="BFBFBF" w:themeFill="background1" w:themeFillShade="BF"/>
            <w:vAlign w:val="center"/>
          </w:tcPr>
          <w:p w14:paraId="005CCDA6" w14:textId="77777777" w:rsidR="005D44AF" w:rsidRPr="00DD1DFA" w:rsidRDefault="005D44AF" w:rsidP="005D44AF">
            <w:pPr>
              <w:spacing w:before="60" w:after="60"/>
              <w:jc w:val="right"/>
              <w:rPr>
                <w:b/>
                <w:noProof/>
                <w:sz w:val="20"/>
                <w:lang w:eastAsia="en-GB"/>
              </w:rPr>
            </w:pPr>
          </w:p>
        </w:tc>
        <w:tc>
          <w:tcPr>
            <w:tcW w:w="1777" w:type="dxa"/>
            <w:vAlign w:val="center"/>
          </w:tcPr>
          <w:p w14:paraId="0349FA94" w14:textId="77777777" w:rsidR="005D44AF" w:rsidRPr="00DD1DFA" w:rsidRDefault="005D44AF" w:rsidP="005D44AF">
            <w:pPr>
              <w:spacing w:before="60" w:after="60"/>
              <w:jc w:val="right"/>
              <w:rPr>
                <w:b/>
                <w:noProof/>
                <w:sz w:val="20"/>
              </w:rPr>
            </w:pPr>
            <w:r w:rsidRPr="00DD1DFA">
              <w:rPr>
                <w:b/>
                <w:noProof/>
                <w:sz w:val="20"/>
              </w:rPr>
              <w:t>11,989</w:t>
            </w:r>
          </w:p>
        </w:tc>
      </w:tr>
      <w:tr w:rsidR="005D44AF" w:rsidRPr="00DD1DFA" w14:paraId="34E9FBA1" w14:textId="77777777" w:rsidTr="00380F0F">
        <w:tc>
          <w:tcPr>
            <w:tcW w:w="3960" w:type="dxa"/>
            <w:vMerge/>
            <w:shd w:val="clear" w:color="auto" w:fill="C0C0C0"/>
          </w:tcPr>
          <w:p w14:paraId="5AC9C8D9" w14:textId="77777777" w:rsidR="005D44AF" w:rsidRPr="00DD1DFA" w:rsidRDefault="005D44AF" w:rsidP="005D44AF">
            <w:pPr>
              <w:rPr>
                <w:noProof/>
                <w:sz w:val="20"/>
                <w:lang w:eastAsia="en-GB"/>
              </w:rPr>
            </w:pPr>
          </w:p>
        </w:tc>
        <w:tc>
          <w:tcPr>
            <w:tcW w:w="2094" w:type="dxa"/>
            <w:gridSpan w:val="2"/>
            <w:vAlign w:val="center"/>
          </w:tcPr>
          <w:p w14:paraId="0A2B0E64" w14:textId="77777777" w:rsidR="005D44AF" w:rsidRPr="00DD1DFA" w:rsidRDefault="005D44AF" w:rsidP="005D44AF">
            <w:pPr>
              <w:rPr>
                <w:noProof/>
                <w:sz w:val="14"/>
              </w:rPr>
            </w:pPr>
            <w:r w:rsidRPr="00DD1DFA">
              <w:rPr>
                <w:noProof/>
                <w:sz w:val="18"/>
              </w:rPr>
              <w:t>Środki na płatności</w:t>
            </w:r>
          </w:p>
        </w:tc>
        <w:tc>
          <w:tcPr>
            <w:tcW w:w="868" w:type="dxa"/>
            <w:vAlign w:val="center"/>
          </w:tcPr>
          <w:p w14:paraId="30D3D8D6" w14:textId="77777777" w:rsidR="005D44AF" w:rsidRPr="00DD1DFA" w:rsidRDefault="005D44AF" w:rsidP="005D44AF">
            <w:pPr>
              <w:spacing w:before="60" w:after="60"/>
              <w:jc w:val="right"/>
              <w:rPr>
                <w:noProof/>
                <w:sz w:val="20"/>
                <w:lang w:eastAsia="en-GB"/>
              </w:rPr>
            </w:pPr>
          </w:p>
        </w:tc>
        <w:tc>
          <w:tcPr>
            <w:tcW w:w="868" w:type="dxa"/>
            <w:vAlign w:val="center"/>
          </w:tcPr>
          <w:p w14:paraId="4A3260A9" w14:textId="77777777" w:rsidR="005D44AF" w:rsidRPr="00DD1DFA" w:rsidRDefault="005D44AF" w:rsidP="005D44AF">
            <w:pPr>
              <w:spacing w:before="60" w:after="60"/>
              <w:jc w:val="right"/>
              <w:rPr>
                <w:noProof/>
                <w:sz w:val="20"/>
                <w:lang w:eastAsia="en-GB"/>
              </w:rPr>
            </w:pPr>
          </w:p>
        </w:tc>
        <w:tc>
          <w:tcPr>
            <w:tcW w:w="868" w:type="dxa"/>
            <w:vAlign w:val="center"/>
          </w:tcPr>
          <w:p w14:paraId="09B301D9" w14:textId="77777777" w:rsidR="005D44AF" w:rsidRPr="00DD1DFA" w:rsidRDefault="005D44AF" w:rsidP="005D44AF">
            <w:pPr>
              <w:spacing w:before="60" w:after="60"/>
              <w:jc w:val="right"/>
              <w:rPr>
                <w:noProof/>
                <w:sz w:val="20"/>
                <w:lang w:eastAsia="en-GB"/>
              </w:rPr>
            </w:pPr>
          </w:p>
        </w:tc>
        <w:tc>
          <w:tcPr>
            <w:tcW w:w="868" w:type="dxa"/>
            <w:vAlign w:val="center"/>
          </w:tcPr>
          <w:p w14:paraId="335A9C21" w14:textId="77777777" w:rsidR="005D44AF" w:rsidRPr="00DD1DFA" w:rsidRDefault="005D44AF" w:rsidP="005D44AF">
            <w:pPr>
              <w:spacing w:before="60" w:after="60"/>
              <w:jc w:val="right"/>
              <w:rPr>
                <w:noProof/>
                <w:sz w:val="20"/>
                <w:lang w:eastAsia="en-GB"/>
              </w:rPr>
            </w:pPr>
          </w:p>
        </w:tc>
        <w:tc>
          <w:tcPr>
            <w:tcW w:w="868" w:type="dxa"/>
            <w:vAlign w:val="center"/>
          </w:tcPr>
          <w:p w14:paraId="36245D9A" w14:textId="77777777" w:rsidR="005D44AF" w:rsidRPr="00DD1DFA" w:rsidRDefault="005D44AF" w:rsidP="005D44AF">
            <w:pPr>
              <w:spacing w:before="60" w:after="60"/>
              <w:jc w:val="right"/>
              <w:rPr>
                <w:noProof/>
                <w:sz w:val="20"/>
                <w:lang w:eastAsia="en-GB"/>
              </w:rPr>
            </w:pPr>
          </w:p>
        </w:tc>
        <w:tc>
          <w:tcPr>
            <w:tcW w:w="868" w:type="dxa"/>
            <w:vAlign w:val="center"/>
          </w:tcPr>
          <w:p w14:paraId="2C27BEF4" w14:textId="77777777" w:rsidR="005D44AF" w:rsidRPr="00DD1DFA" w:rsidRDefault="005D44AF" w:rsidP="005D44AF">
            <w:pPr>
              <w:spacing w:before="60" w:after="60"/>
              <w:jc w:val="right"/>
              <w:rPr>
                <w:noProof/>
                <w:sz w:val="20"/>
                <w:lang w:eastAsia="en-GB"/>
              </w:rPr>
            </w:pPr>
          </w:p>
        </w:tc>
        <w:tc>
          <w:tcPr>
            <w:tcW w:w="868" w:type="dxa"/>
            <w:vAlign w:val="center"/>
          </w:tcPr>
          <w:p w14:paraId="0BD56099" w14:textId="77777777" w:rsidR="005D44AF" w:rsidRPr="00DD1DFA" w:rsidRDefault="005D44AF" w:rsidP="005D44AF">
            <w:pPr>
              <w:spacing w:before="60" w:after="60"/>
              <w:jc w:val="right"/>
              <w:rPr>
                <w:b/>
                <w:noProof/>
                <w:sz w:val="20"/>
                <w:lang w:eastAsia="en-GB"/>
              </w:rPr>
            </w:pPr>
          </w:p>
        </w:tc>
        <w:tc>
          <w:tcPr>
            <w:tcW w:w="1777" w:type="dxa"/>
            <w:vAlign w:val="center"/>
          </w:tcPr>
          <w:p w14:paraId="13E78BC7" w14:textId="77777777" w:rsidR="005D44AF" w:rsidRPr="00DD1DFA" w:rsidRDefault="005D44AF" w:rsidP="005D44AF">
            <w:pPr>
              <w:spacing w:before="60" w:after="60"/>
              <w:jc w:val="right"/>
              <w:rPr>
                <w:b/>
                <w:noProof/>
                <w:sz w:val="20"/>
                <w:lang w:eastAsia="en-GB"/>
              </w:rPr>
            </w:pPr>
          </w:p>
        </w:tc>
      </w:tr>
    </w:tbl>
    <w:p w14:paraId="0F671B05" w14:textId="77777777" w:rsidR="005D44AF" w:rsidRPr="00DD1DFA" w:rsidRDefault="005D44AF" w:rsidP="005D44AF">
      <w:pPr>
        <w:rPr>
          <w:noProof/>
          <w:lang w:eastAsia="en-GB"/>
        </w:rPr>
      </w:pPr>
    </w:p>
    <w:p w14:paraId="018445E5" w14:textId="5CD788E1" w:rsidR="005D44AF" w:rsidRPr="00DD1DFA" w:rsidRDefault="005F7EFA" w:rsidP="005F7EFA">
      <w:pPr>
        <w:pStyle w:val="ManualHeading3"/>
        <w:rPr>
          <w:noProof/>
        </w:rPr>
      </w:pPr>
      <w:bookmarkStart w:id="62" w:name="_Toc514938054"/>
      <w:bookmarkStart w:id="63" w:name="_Toc95761298"/>
      <w:r w:rsidRPr="005F7EFA">
        <w:t>3.2.2.</w:t>
      </w:r>
      <w:r w:rsidRPr="005F7EFA">
        <w:tab/>
      </w:r>
      <w:r w:rsidR="005D44AF" w:rsidRPr="00DD1DFA">
        <w:rPr>
          <w:noProof/>
        </w:rPr>
        <w:t>Przewidywany produkt finansowany ze środków operacyjnych</w:t>
      </w:r>
      <w:bookmarkEnd w:id="62"/>
      <w:bookmarkEnd w:id="63"/>
      <w:r w:rsidR="005D44AF" w:rsidRPr="00DD1DFA">
        <w:rPr>
          <w:noProof/>
        </w:rPr>
        <w:t xml:space="preserve"> </w:t>
      </w:r>
    </w:p>
    <w:p w14:paraId="4A7A02B6" w14:textId="7D6E1178" w:rsidR="005D44AF" w:rsidRPr="00DD1DFA" w:rsidRDefault="005D44AF" w:rsidP="005D44AF">
      <w:pPr>
        <w:ind w:left="850"/>
        <w:rPr>
          <w:noProof/>
        </w:rPr>
      </w:pPr>
      <w:r w:rsidRPr="00DD1DFA">
        <w:rPr>
          <w:noProof/>
        </w:rPr>
        <w:t>Wniosek ustawodawczy ma na celu poprawę funkcjonowania jednolitego rynku wyrobów budowlanych poprzez rozwiązanie problemu systemu harmonizacji technicznej, poprawę egzekwowania przepisów</w:t>
      </w:r>
      <w:r w:rsidR="00DD1DFA" w:rsidRPr="00DD1DFA">
        <w:rPr>
          <w:noProof/>
        </w:rPr>
        <w:t xml:space="preserve"> i</w:t>
      </w:r>
      <w:r w:rsidR="00DD1DFA">
        <w:rPr>
          <w:noProof/>
        </w:rPr>
        <w:t> </w:t>
      </w:r>
      <w:r w:rsidR="00DD1DFA" w:rsidRPr="00DD1DFA">
        <w:rPr>
          <w:noProof/>
        </w:rPr>
        <w:t>nad</w:t>
      </w:r>
      <w:r w:rsidRPr="00DD1DFA">
        <w:rPr>
          <w:noProof/>
        </w:rPr>
        <w:t>zoru rynku, uproszczenie przepisów dla MŚP oraz zwiększenie jasności prawa całych ram prawnych. Jego celem jest również poprawa bezpieczeństwa wyrobów budowlanych oraz przyczynienie się do zmniejszenia ogólnego wpływu wyrobów budowlanych na klimat</w:t>
      </w:r>
      <w:r w:rsidR="00DD1DFA" w:rsidRPr="00DD1DFA">
        <w:rPr>
          <w:noProof/>
        </w:rPr>
        <w:t xml:space="preserve"> i</w:t>
      </w:r>
      <w:r w:rsidR="00DD1DFA">
        <w:rPr>
          <w:noProof/>
        </w:rPr>
        <w:t> </w:t>
      </w:r>
      <w:r w:rsidR="00DD1DFA" w:rsidRPr="00DD1DFA">
        <w:rPr>
          <w:noProof/>
        </w:rPr>
        <w:t>śro</w:t>
      </w:r>
      <w:r w:rsidRPr="00DD1DFA">
        <w:rPr>
          <w:noProof/>
        </w:rPr>
        <w:t>dowisko.</w:t>
      </w:r>
    </w:p>
    <w:p w14:paraId="45C6D383" w14:textId="27369C6E" w:rsidR="005D44AF" w:rsidRPr="00DD1DFA" w:rsidRDefault="005D44AF" w:rsidP="005D44AF">
      <w:pPr>
        <w:ind w:left="850"/>
        <w:rPr>
          <w:noProof/>
          <w:highlight w:val="yellow"/>
        </w:rPr>
      </w:pPr>
      <w:r w:rsidRPr="00DD1DFA">
        <w:rPr>
          <w:noProof/>
        </w:rPr>
        <w:t>W związku</w:t>
      </w:r>
      <w:r w:rsidR="00DD1DFA" w:rsidRPr="00DD1DFA">
        <w:rPr>
          <w:noProof/>
        </w:rPr>
        <w:t xml:space="preserve"> z</w:t>
      </w:r>
      <w:r w:rsidR="00DD1DFA">
        <w:rPr>
          <w:noProof/>
        </w:rPr>
        <w:t> </w:t>
      </w:r>
      <w:r w:rsidR="00DD1DFA" w:rsidRPr="00DD1DFA">
        <w:rPr>
          <w:noProof/>
        </w:rPr>
        <w:t>tym</w:t>
      </w:r>
      <w:r w:rsidRPr="00DD1DFA">
        <w:rPr>
          <w:noProof/>
        </w:rPr>
        <w:t xml:space="preserve"> wyników inicjatywy nie można przyrównać do wyrobów lub usług; nie można zatem przedstawić szacunkowych kosztów ich realizacji.</w:t>
      </w:r>
    </w:p>
    <w:p w14:paraId="77AD3442" w14:textId="5E181481" w:rsidR="005D44AF" w:rsidRPr="00DD1DFA" w:rsidRDefault="005F7EFA" w:rsidP="005F7EFA">
      <w:pPr>
        <w:pStyle w:val="ManualHeading3"/>
        <w:rPr>
          <w:noProof/>
        </w:rPr>
      </w:pPr>
      <w:bookmarkStart w:id="64" w:name="_Toc514938055"/>
      <w:bookmarkStart w:id="65" w:name="_Toc95761299"/>
      <w:r w:rsidRPr="005F7EFA">
        <w:t>3.2.3.</w:t>
      </w:r>
      <w:r w:rsidRPr="005F7EFA">
        <w:tab/>
      </w:r>
      <w:r w:rsidR="005D44AF" w:rsidRPr="00DD1DFA">
        <w:rPr>
          <w:noProof/>
        </w:rPr>
        <w:t>Podsumowanie szacunkowego wpływu na środki administracyjne</w:t>
      </w:r>
      <w:bookmarkEnd w:id="64"/>
      <w:bookmarkEnd w:id="65"/>
      <w:r w:rsidR="005D44AF" w:rsidRPr="00DD1DFA">
        <w:rPr>
          <w:noProof/>
        </w:rPr>
        <w:t xml:space="preserve"> </w:t>
      </w:r>
    </w:p>
    <w:p w14:paraId="4ABAC8DA" w14:textId="64B10BBF" w:rsidR="005D44AF" w:rsidRPr="00DD1DFA" w:rsidRDefault="0096580A" w:rsidP="005D44AF">
      <w:pPr>
        <w:tabs>
          <w:tab w:val="num" w:pos="1134"/>
        </w:tabs>
        <w:ind w:left="1134" w:hanging="283"/>
        <w:rPr>
          <w:noProof/>
        </w:rPr>
      </w:pPr>
      <w:r w:rsidRPr="00DD1DFA">
        <w:rPr>
          <w:rFonts w:ascii="Wingdings" w:hAnsi="Wingdings"/>
          <w:noProof/>
        </w:rPr>
        <w:t></w:t>
      </w:r>
      <w:r w:rsidRPr="00DD1DFA">
        <w:rPr>
          <w:noProof/>
        </w:rPr>
        <w:tab/>
        <w:t>Wniosek/inicjatywa nie wiąże się</w:t>
      </w:r>
      <w:r w:rsidR="00DD1DFA" w:rsidRPr="00DD1DFA">
        <w:rPr>
          <w:noProof/>
        </w:rPr>
        <w:t xml:space="preserve"> z</w:t>
      </w:r>
      <w:r w:rsidR="00DD1DFA">
        <w:rPr>
          <w:noProof/>
        </w:rPr>
        <w:t> </w:t>
      </w:r>
      <w:r w:rsidR="00DD1DFA" w:rsidRPr="00DD1DFA">
        <w:rPr>
          <w:noProof/>
        </w:rPr>
        <w:t>kon</w:t>
      </w:r>
      <w:r w:rsidRPr="00DD1DFA">
        <w:rPr>
          <w:noProof/>
        </w:rPr>
        <w:t xml:space="preserve">iecznością wykorzystania środków administracyjnych </w:t>
      </w:r>
    </w:p>
    <w:p w14:paraId="7AB83D37" w14:textId="22CF1CB0" w:rsidR="005D44AF" w:rsidRPr="00DD1DFA" w:rsidRDefault="0096580A" w:rsidP="005D44AF">
      <w:pPr>
        <w:tabs>
          <w:tab w:val="num" w:pos="1134"/>
        </w:tabs>
        <w:ind w:left="1134" w:hanging="283"/>
        <w:rPr>
          <w:noProof/>
        </w:rPr>
      </w:pPr>
      <w:r w:rsidRPr="00DD1DFA">
        <w:rPr>
          <w:rFonts w:ascii="Wingdings" w:hAnsi="Wingdings"/>
          <w:noProof/>
          <w:color w:val="341A51"/>
          <w:sz w:val="22"/>
          <w:u w:val="single"/>
        </w:rPr>
        <w:t></w:t>
      </w:r>
      <w:r w:rsidRPr="00DD1DFA">
        <w:rPr>
          <w:noProof/>
        </w:rPr>
        <w:tab/>
        <w:t>Wniosek/inicjatywa wiąże się</w:t>
      </w:r>
      <w:r w:rsidR="00DD1DFA" w:rsidRPr="00DD1DFA">
        <w:rPr>
          <w:noProof/>
        </w:rPr>
        <w:t xml:space="preserve"> z</w:t>
      </w:r>
      <w:r w:rsidR="00DD1DFA">
        <w:rPr>
          <w:noProof/>
        </w:rPr>
        <w:t> </w:t>
      </w:r>
      <w:r w:rsidR="00DD1DFA" w:rsidRPr="00DD1DFA">
        <w:rPr>
          <w:noProof/>
        </w:rPr>
        <w:t>kon</w:t>
      </w:r>
      <w:r w:rsidRPr="00DD1DFA">
        <w:rPr>
          <w:noProof/>
        </w:rPr>
        <w:t>iecznością wykorzystania środków administracyjnych, jak określono poniżej:</w:t>
      </w:r>
    </w:p>
    <w:p w14:paraId="09116803" w14:textId="77777777" w:rsidR="005D44AF" w:rsidRPr="00DD1DFA" w:rsidRDefault="005D44AF" w:rsidP="005D44AF">
      <w:pPr>
        <w:jc w:val="right"/>
        <w:rPr>
          <w:noProof/>
          <w:sz w:val="20"/>
          <w:lang w:eastAsia="en-GB"/>
        </w:rPr>
      </w:pPr>
    </w:p>
    <w:p w14:paraId="7BCFE678" w14:textId="77777777" w:rsidR="005D44AF" w:rsidRPr="00DD1DFA" w:rsidRDefault="005D44AF" w:rsidP="005D44AF">
      <w:pPr>
        <w:jc w:val="right"/>
        <w:rPr>
          <w:noProof/>
          <w:sz w:val="20"/>
          <w:lang w:eastAsia="en-GB"/>
        </w:rPr>
      </w:pPr>
    </w:p>
    <w:p w14:paraId="71C99050" w14:textId="77777777" w:rsidR="005D44AF" w:rsidRPr="00DD1DFA" w:rsidRDefault="005D44AF" w:rsidP="005D44AF">
      <w:pPr>
        <w:jc w:val="right"/>
        <w:rPr>
          <w:noProof/>
          <w:sz w:val="20"/>
        </w:rPr>
      </w:pPr>
      <w:r w:rsidRPr="00DD1DFA">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D44AF" w:rsidRPr="00DD1DFA" w14:paraId="2DC131CB" w14:textId="77777777" w:rsidTr="00380F0F">
        <w:trPr>
          <w:trHeight w:val="585"/>
        </w:trPr>
        <w:tc>
          <w:tcPr>
            <w:tcW w:w="1980" w:type="dxa"/>
          </w:tcPr>
          <w:p w14:paraId="5CB23DAE" w14:textId="77777777" w:rsidR="005D44AF" w:rsidRPr="00DD1DFA" w:rsidRDefault="005D44AF" w:rsidP="005D44AF">
            <w:pPr>
              <w:spacing w:before="60" w:after="60" w:line="200" w:lineRule="exact"/>
              <w:rPr>
                <w:noProof/>
                <w:sz w:val="16"/>
                <w:szCs w:val="16"/>
                <w:lang w:eastAsia="en-GB"/>
              </w:rPr>
            </w:pPr>
          </w:p>
        </w:tc>
        <w:tc>
          <w:tcPr>
            <w:tcW w:w="1080" w:type="dxa"/>
            <w:vAlign w:val="center"/>
          </w:tcPr>
          <w:p w14:paraId="3CF5165A" w14:textId="77777777" w:rsidR="005D44AF" w:rsidRPr="00DD1DFA" w:rsidRDefault="005D44AF" w:rsidP="005D44AF">
            <w:pPr>
              <w:spacing w:before="60" w:after="60" w:line="200" w:lineRule="exact"/>
              <w:jc w:val="center"/>
              <w:rPr>
                <w:noProof/>
                <w:sz w:val="16"/>
                <w:szCs w:val="16"/>
              </w:rPr>
            </w:pPr>
            <w:r w:rsidRPr="00DD1DFA">
              <w:rPr>
                <w:noProof/>
                <w:sz w:val="20"/>
              </w:rPr>
              <w:t>Rok</w:t>
            </w:r>
            <w:r w:rsidRPr="00DD1DFA">
              <w:rPr>
                <w:noProof/>
              </w:rPr>
              <w:t xml:space="preserve"> </w:t>
            </w:r>
            <w:r w:rsidRPr="00DD1DFA">
              <w:rPr>
                <w:noProof/>
              </w:rPr>
              <w:br/>
            </w:r>
            <w:r w:rsidRPr="00DD1DFA">
              <w:rPr>
                <w:b/>
                <w:noProof/>
                <w:sz w:val="20"/>
              </w:rPr>
              <w:t>2024</w:t>
            </w:r>
          </w:p>
        </w:tc>
        <w:tc>
          <w:tcPr>
            <w:tcW w:w="1080" w:type="dxa"/>
            <w:vAlign w:val="center"/>
          </w:tcPr>
          <w:p w14:paraId="216741E1" w14:textId="77777777" w:rsidR="005D44AF" w:rsidRPr="00DD1DFA" w:rsidRDefault="005D44AF" w:rsidP="005D44AF">
            <w:pPr>
              <w:spacing w:before="60" w:after="60" w:line="200" w:lineRule="exact"/>
              <w:jc w:val="center"/>
              <w:rPr>
                <w:noProof/>
                <w:sz w:val="16"/>
                <w:szCs w:val="16"/>
              </w:rPr>
            </w:pPr>
            <w:r w:rsidRPr="00DD1DFA">
              <w:rPr>
                <w:noProof/>
                <w:sz w:val="20"/>
              </w:rPr>
              <w:t>Rok</w:t>
            </w:r>
            <w:r w:rsidRPr="00DD1DFA">
              <w:rPr>
                <w:noProof/>
              </w:rPr>
              <w:t xml:space="preserve"> </w:t>
            </w:r>
            <w:r w:rsidRPr="00DD1DFA">
              <w:rPr>
                <w:noProof/>
              </w:rPr>
              <w:br/>
            </w:r>
            <w:r w:rsidRPr="00DD1DFA">
              <w:rPr>
                <w:b/>
                <w:noProof/>
                <w:sz w:val="20"/>
              </w:rPr>
              <w:t>2025</w:t>
            </w:r>
          </w:p>
        </w:tc>
        <w:tc>
          <w:tcPr>
            <w:tcW w:w="1080" w:type="dxa"/>
            <w:vAlign w:val="center"/>
          </w:tcPr>
          <w:p w14:paraId="11571DA6" w14:textId="77777777" w:rsidR="005D44AF" w:rsidRPr="00DD1DFA" w:rsidRDefault="005D44AF" w:rsidP="005D44AF">
            <w:pPr>
              <w:spacing w:before="60" w:after="60" w:line="200" w:lineRule="exact"/>
              <w:jc w:val="center"/>
              <w:rPr>
                <w:noProof/>
                <w:sz w:val="16"/>
                <w:szCs w:val="16"/>
              </w:rPr>
            </w:pPr>
            <w:r w:rsidRPr="00DD1DFA">
              <w:rPr>
                <w:noProof/>
                <w:sz w:val="20"/>
              </w:rPr>
              <w:t>Rok</w:t>
            </w:r>
            <w:r w:rsidRPr="00DD1DFA">
              <w:rPr>
                <w:noProof/>
              </w:rPr>
              <w:t xml:space="preserve"> </w:t>
            </w:r>
            <w:r w:rsidRPr="00DD1DFA">
              <w:rPr>
                <w:noProof/>
              </w:rPr>
              <w:br/>
            </w:r>
            <w:r w:rsidRPr="00DD1DFA">
              <w:rPr>
                <w:b/>
                <w:noProof/>
                <w:sz w:val="20"/>
              </w:rPr>
              <w:t>2026</w:t>
            </w:r>
          </w:p>
        </w:tc>
        <w:tc>
          <w:tcPr>
            <w:tcW w:w="1080" w:type="dxa"/>
            <w:vAlign w:val="center"/>
          </w:tcPr>
          <w:p w14:paraId="561912AA" w14:textId="77777777" w:rsidR="005D44AF" w:rsidRPr="00DD1DFA" w:rsidRDefault="005D44AF" w:rsidP="005D44AF">
            <w:pPr>
              <w:spacing w:before="60" w:after="60" w:line="200" w:lineRule="exact"/>
              <w:jc w:val="center"/>
              <w:rPr>
                <w:noProof/>
                <w:sz w:val="16"/>
                <w:szCs w:val="16"/>
              </w:rPr>
            </w:pPr>
            <w:r w:rsidRPr="00DD1DFA">
              <w:rPr>
                <w:noProof/>
                <w:sz w:val="20"/>
              </w:rPr>
              <w:t>Rok</w:t>
            </w:r>
            <w:r w:rsidRPr="00DD1DFA">
              <w:rPr>
                <w:noProof/>
              </w:rPr>
              <w:t xml:space="preserve"> </w:t>
            </w:r>
            <w:r w:rsidRPr="00DD1DFA">
              <w:rPr>
                <w:noProof/>
              </w:rPr>
              <w:br/>
            </w:r>
            <w:r w:rsidRPr="00DD1DFA">
              <w:rPr>
                <w:b/>
                <w:noProof/>
                <w:sz w:val="20"/>
              </w:rPr>
              <w:t>2027</w:t>
            </w:r>
          </w:p>
        </w:tc>
        <w:tc>
          <w:tcPr>
            <w:tcW w:w="1080" w:type="dxa"/>
            <w:vAlign w:val="center"/>
          </w:tcPr>
          <w:p w14:paraId="1AEDE7CA" w14:textId="77777777" w:rsidR="005D44AF" w:rsidRPr="00DD1DFA" w:rsidRDefault="005D44AF" w:rsidP="005D44AF">
            <w:pPr>
              <w:spacing w:line="200" w:lineRule="exact"/>
              <w:jc w:val="center"/>
              <w:rPr>
                <w:b/>
                <w:noProof/>
                <w:sz w:val="16"/>
                <w:szCs w:val="16"/>
              </w:rPr>
            </w:pPr>
            <w:r w:rsidRPr="00DD1DFA">
              <w:rPr>
                <w:noProof/>
                <w:sz w:val="20"/>
              </w:rPr>
              <w:t>Rok</w:t>
            </w:r>
            <w:r w:rsidRPr="00DD1DFA">
              <w:rPr>
                <w:noProof/>
              </w:rPr>
              <w:t xml:space="preserve"> </w:t>
            </w:r>
            <w:r w:rsidRPr="00DD1DFA">
              <w:rPr>
                <w:noProof/>
              </w:rPr>
              <w:br/>
            </w:r>
            <w:r w:rsidRPr="00DD1DFA">
              <w:rPr>
                <w:b/>
                <w:noProof/>
                <w:sz w:val="20"/>
              </w:rPr>
              <w:t>2028</w:t>
            </w:r>
          </w:p>
        </w:tc>
        <w:tc>
          <w:tcPr>
            <w:tcW w:w="1080" w:type="dxa"/>
            <w:vAlign w:val="center"/>
          </w:tcPr>
          <w:p w14:paraId="33E1F6AB" w14:textId="77777777" w:rsidR="005D44AF" w:rsidRPr="00DD1DFA" w:rsidRDefault="005D44AF" w:rsidP="005D44AF">
            <w:pPr>
              <w:spacing w:line="200" w:lineRule="exact"/>
              <w:jc w:val="center"/>
              <w:rPr>
                <w:b/>
                <w:noProof/>
                <w:sz w:val="16"/>
                <w:szCs w:val="16"/>
              </w:rPr>
            </w:pPr>
            <w:r w:rsidRPr="00DD1DFA">
              <w:rPr>
                <w:b/>
                <w:noProof/>
                <w:sz w:val="18"/>
              </w:rPr>
              <w:t>Rok</w:t>
            </w:r>
            <w:r w:rsidRPr="00DD1DFA">
              <w:rPr>
                <w:noProof/>
              </w:rPr>
              <w:t xml:space="preserve"> </w:t>
            </w:r>
            <w:r w:rsidRPr="00DD1DFA">
              <w:rPr>
                <w:noProof/>
              </w:rPr>
              <w:br/>
            </w:r>
            <w:r w:rsidRPr="00DD1DFA">
              <w:rPr>
                <w:b/>
                <w:noProof/>
                <w:sz w:val="18"/>
              </w:rPr>
              <w:t>2029</w:t>
            </w:r>
          </w:p>
        </w:tc>
        <w:tc>
          <w:tcPr>
            <w:tcW w:w="1080" w:type="dxa"/>
            <w:vAlign w:val="center"/>
          </w:tcPr>
          <w:p w14:paraId="7EC0C021" w14:textId="77777777" w:rsidR="005D44AF" w:rsidRPr="00DD1DFA" w:rsidRDefault="005D44AF" w:rsidP="005D44AF">
            <w:pPr>
              <w:spacing w:line="200" w:lineRule="exact"/>
              <w:jc w:val="center"/>
              <w:rPr>
                <w:b/>
                <w:noProof/>
                <w:sz w:val="16"/>
                <w:szCs w:val="16"/>
              </w:rPr>
            </w:pPr>
            <w:r w:rsidRPr="00DD1DFA">
              <w:rPr>
                <w:b/>
                <w:noProof/>
                <w:sz w:val="18"/>
              </w:rPr>
              <w:t>Po</w:t>
            </w:r>
            <w:r w:rsidRPr="00DD1DFA">
              <w:rPr>
                <w:noProof/>
              </w:rPr>
              <w:t xml:space="preserve"> </w:t>
            </w:r>
            <w:r w:rsidRPr="00DD1DFA">
              <w:rPr>
                <w:noProof/>
              </w:rPr>
              <w:br/>
            </w:r>
            <w:r w:rsidRPr="00DD1DFA">
              <w:rPr>
                <w:b/>
                <w:noProof/>
                <w:sz w:val="18"/>
              </w:rPr>
              <w:t>2029</w:t>
            </w:r>
          </w:p>
        </w:tc>
        <w:tc>
          <w:tcPr>
            <w:tcW w:w="1080" w:type="dxa"/>
            <w:vAlign w:val="center"/>
          </w:tcPr>
          <w:p w14:paraId="4397B32A" w14:textId="77777777" w:rsidR="005D44AF" w:rsidRPr="00DD1DFA" w:rsidRDefault="005D44AF" w:rsidP="005D44AF">
            <w:pPr>
              <w:spacing w:before="60" w:after="60" w:line="200" w:lineRule="exact"/>
              <w:jc w:val="center"/>
              <w:rPr>
                <w:b/>
                <w:noProof/>
                <w:sz w:val="16"/>
                <w:szCs w:val="16"/>
              </w:rPr>
            </w:pPr>
            <w:r w:rsidRPr="00DD1DFA">
              <w:rPr>
                <w:b/>
                <w:noProof/>
                <w:sz w:val="16"/>
              </w:rPr>
              <w:t>OGÓŁEM</w:t>
            </w:r>
          </w:p>
        </w:tc>
      </w:tr>
    </w:tbl>
    <w:p w14:paraId="67A002EC" w14:textId="77777777" w:rsidR="005D44AF" w:rsidRPr="00DD1DFA" w:rsidRDefault="005D44AF" w:rsidP="005D44AF">
      <w:pPr>
        <w:spacing w:line="200" w:lineRule="exact"/>
        <w:rPr>
          <w:noProof/>
          <w:sz w:val="16"/>
          <w:szCs w:val="16"/>
          <w:lang w:eastAsia="en-GB"/>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D44AF" w:rsidRPr="00DD1DFA" w14:paraId="67EDFCE0" w14:textId="77777777" w:rsidTr="00380F0F">
        <w:trPr>
          <w:trHeight w:val="585"/>
        </w:trPr>
        <w:tc>
          <w:tcPr>
            <w:tcW w:w="1980" w:type="dxa"/>
            <w:shd w:val="clear" w:color="auto" w:fill="CCCCCC"/>
            <w:vAlign w:val="center"/>
          </w:tcPr>
          <w:p w14:paraId="009D1133" w14:textId="77777777" w:rsidR="005D44AF" w:rsidRPr="00DD1DFA" w:rsidRDefault="005D44AF" w:rsidP="005D44AF">
            <w:pPr>
              <w:spacing w:before="60" w:after="60" w:line="200" w:lineRule="exact"/>
              <w:jc w:val="center"/>
              <w:rPr>
                <w:b/>
                <w:noProof/>
                <w:sz w:val="16"/>
                <w:szCs w:val="16"/>
              </w:rPr>
            </w:pPr>
            <w:r w:rsidRPr="00DD1DFA">
              <w:rPr>
                <w:b/>
                <w:noProof/>
                <w:sz w:val="16"/>
              </w:rPr>
              <w:t>DZIAŁ 7</w:t>
            </w:r>
            <w:r w:rsidRPr="00DD1DFA">
              <w:rPr>
                <w:noProof/>
              </w:rPr>
              <w:t xml:space="preserve"> </w:t>
            </w:r>
            <w:r w:rsidRPr="00DD1DFA">
              <w:rPr>
                <w:noProof/>
              </w:rPr>
              <w:br/>
            </w:r>
            <w:r w:rsidRPr="00DD1DFA">
              <w:rPr>
                <w:b/>
                <w:noProof/>
                <w:sz w:val="16"/>
              </w:rPr>
              <w:t>wieloletnich ram finansowych</w:t>
            </w:r>
          </w:p>
        </w:tc>
        <w:tc>
          <w:tcPr>
            <w:tcW w:w="1080" w:type="dxa"/>
            <w:vAlign w:val="center"/>
          </w:tcPr>
          <w:p w14:paraId="24A96F80"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13274E28"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65EE0C8A"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7863EE92"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2CC456DE"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034557FF"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164D80D8" w14:textId="77777777" w:rsidR="005D44AF" w:rsidRPr="00DD1DFA" w:rsidRDefault="005D44AF" w:rsidP="005D44AF">
            <w:pPr>
              <w:spacing w:before="60" w:after="60" w:line="200" w:lineRule="exact"/>
              <w:jc w:val="right"/>
              <w:rPr>
                <w:b/>
                <w:noProof/>
                <w:sz w:val="16"/>
                <w:szCs w:val="16"/>
                <w:lang w:eastAsia="en-GB"/>
              </w:rPr>
            </w:pPr>
          </w:p>
        </w:tc>
        <w:tc>
          <w:tcPr>
            <w:tcW w:w="1080" w:type="dxa"/>
            <w:vAlign w:val="center"/>
          </w:tcPr>
          <w:p w14:paraId="3654A295" w14:textId="77777777" w:rsidR="005D44AF" w:rsidRPr="00DD1DFA" w:rsidRDefault="005D44AF" w:rsidP="005D44AF">
            <w:pPr>
              <w:spacing w:before="60" w:after="60" w:line="200" w:lineRule="exact"/>
              <w:jc w:val="right"/>
              <w:rPr>
                <w:b/>
                <w:noProof/>
                <w:sz w:val="16"/>
                <w:szCs w:val="16"/>
                <w:lang w:eastAsia="en-GB"/>
              </w:rPr>
            </w:pPr>
          </w:p>
        </w:tc>
      </w:tr>
      <w:tr w:rsidR="005D44AF" w:rsidRPr="00DD1DFA" w14:paraId="486582A5" w14:textId="77777777" w:rsidTr="00380F0F">
        <w:trPr>
          <w:trHeight w:val="585"/>
        </w:trPr>
        <w:tc>
          <w:tcPr>
            <w:tcW w:w="1980" w:type="dxa"/>
            <w:vAlign w:val="center"/>
          </w:tcPr>
          <w:p w14:paraId="300B19E8" w14:textId="77777777" w:rsidR="005D44AF" w:rsidRPr="00DD1DFA" w:rsidRDefault="005D44AF" w:rsidP="005D44AF">
            <w:pPr>
              <w:spacing w:before="60" w:after="60" w:line="200" w:lineRule="exact"/>
              <w:ind w:left="72"/>
              <w:jc w:val="left"/>
              <w:rPr>
                <w:noProof/>
                <w:sz w:val="16"/>
                <w:szCs w:val="16"/>
              </w:rPr>
            </w:pPr>
            <w:r w:rsidRPr="00DD1DFA">
              <w:rPr>
                <w:noProof/>
                <w:sz w:val="16"/>
              </w:rPr>
              <w:t xml:space="preserve">Zasoby ludzkie </w:t>
            </w:r>
          </w:p>
        </w:tc>
        <w:tc>
          <w:tcPr>
            <w:tcW w:w="1080" w:type="dxa"/>
            <w:vAlign w:val="center"/>
          </w:tcPr>
          <w:p w14:paraId="34EDAEC7"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1,099 </w:t>
            </w:r>
          </w:p>
        </w:tc>
        <w:tc>
          <w:tcPr>
            <w:tcW w:w="1080" w:type="dxa"/>
            <w:vAlign w:val="center"/>
          </w:tcPr>
          <w:p w14:paraId="1D56C570"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 1,099</w:t>
            </w:r>
          </w:p>
        </w:tc>
        <w:tc>
          <w:tcPr>
            <w:tcW w:w="1080" w:type="dxa"/>
            <w:vAlign w:val="center"/>
          </w:tcPr>
          <w:p w14:paraId="24E1158F"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1,099 </w:t>
            </w:r>
          </w:p>
        </w:tc>
        <w:tc>
          <w:tcPr>
            <w:tcW w:w="1080" w:type="dxa"/>
            <w:vAlign w:val="center"/>
          </w:tcPr>
          <w:p w14:paraId="6A04C771"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0,942 </w:t>
            </w:r>
          </w:p>
        </w:tc>
        <w:tc>
          <w:tcPr>
            <w:tcW w:w="1080" w:type="dxa"/>
            <w:vAlign w:val="center"/>
          </w:tcPr>
          <w:p w14:paraId="5464389B"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0,942 </w:t>
            </w:r>
          </w:p>
        </w:tc>
        <w:tc>
          <w:tcPr>
            <w:tcW w:w="1080" w:type="dxa"/>
            <w:vAlign w:val="center"/>
          </w:tcPr>
          <w:p w14:paraId="23DC6422"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0,628 </w:t>
            </w:r>
          </w:p>
        </w:tc>
        <w:tc>
          <w:tcPr>
            <w:tcW w:w="1080" w:type="dxa"/>
            <w:shd w:val="clear" w:color="auto" w:fill="BFBFBF" w:themeFill="background1" w:themeFillShade="BF"/>
            <w:vAlign w:val="center"/>
          </w:tcPr>
          <w:p w14:paraId="58FA2D50" w14:textId="77777777" w:rsidR="005D44AF" w:rsidRPr="00DD1DFA" w:rsidRDefault="005D44AF" w:rsidP="005D44AF">
            <w:pPr>
              <w:spacing w:before="60" w:after="60" w:line="200" w:lineRule="exact"/>
              <w:jc w:val="right"/>
              <w:rPr>
                <w:b/>
                <w:noProof/>
                <w:sz w:val="16"/>
                <w:szCs w:val="16"/>
                <w:lang w:eastAsia="en-GB"/>
              </w:rPr>
            </w:pPr>
          </w:p>
        </w:tc>
        <w:tc>
          <w:tcPr>
            <w:tcW w:w="1080" w:type="dxa"/>
            <w:vAlign w:val="center"/>
          </w:tcPr>
          <w:p w14:paraId="10A94269" w14:textId="77777777" w:rsidR="005D44AF" w:rsidRPr="00DD1DFA" w:rsidRDefault="005D44AF" w:rsidP="005D44AF">
            <w:pPr>
              <w:spacing w:before="60" w:after="60" w:line="200" w:lineRule="exact"/>
              <w:jc w:val="right"/>
              <w:rPr>
                <w:b/>
                <w:noProof/>
                <w:sz w:val="16"/>
                <w:szCs w:val="16"/>
              </w:rPr>
            </w:pPr>
            <w:r w:rsidRPr="00DD1DFA">
              <w:rPr>
                <w:rFonts w:ascii="Arial Narrow" w:hAnsi="Arial Narrow"/>
                <w:b/>
                <w:bCs/>
                <w:noProof/>
                <w:color w:val="000000"/>
                <w:sz w:val="20"/>
                <w:szCs w:val="20"/>
              </w:rPr>
              <w:t>5,809 </w:t>
            </w:r>
          </w:p>
        </w:tc>
      </w:tr>
      <w:tr w:rsidR="005D44AF" w:rsidRPr="00DD1DFA" w14:paraId="20F35707" w14:textId="77777777" w:rsidTr="00380F0F">
        <w:trPr>
          <w:trHeight w:val="585"/>
        </w:trPr>
        <w:tc>
          <w:tcPr>
            <w:tcW w:w="1980" w:type="dxa"/>
            <w:vAlign w:val="center"/>
          </w:tcPr>
          <w:p w14:paraId="7951DF3C" w14:textId="77777777" w:rsidR="005D44AF" w:rsidRPr="00DD1DFA" w:rsidRDefault="005D44AF" w:rsidP="005D44AF">
            <w:pPr>
              <w:spacing w:before="60" w:after="60" w:line="200" w:lineRule="exact"/>
              <w:ind w:left="72"/>
              <w:jc w:val="left"/>
              <w:rPr>
                <w:noProof/>
                <w:sz w:val="16"/>
                <w:szCs w:val="16"/>
              </w:rPr>
            </w:pPr>
            <w:r w:rsidRPr="00DD1DFA">
              <w:rPr>
                <w:noProof/>
                <w:sz w:val="16"/>
              </w:rPr>
              <w:t xml:space="preserve">Pozostałe wydatki administracyjne </w:t>
            </w:r>
          </w:p>
        </w:tc>
        <w:tc>
          <w:tcPr>
            <w:tcW w:w="1080" w:type="dxa"/>
            <w:vAlign w:val="center"/>
          </w:tcPr>
          <w:p w14:paraId="54EE0532" w14:textId="77777777" w:rsidR="005D44AF" w:rsidRPr="00DD1DFA" w:rsidRDefault="005D44AF" w:rsidP="005D44AF">
            <w:pPr>
              <w:spacing w:before="60" w:after="60" w:line="200" w:lineRule="exact"/>
              <w:jc w:val="right"/>
              <w:rPr>
                <w:noProof/>
                <w:sz w:val="16"/>
                <w:szCs w:val="16"/>
              </w:rPr>
            </w:pPr>
            <w:r w:rsidRPr="00DD1DFA">
              <w:rPr>
                <w:noProof/>
                <w:sz w:val="16"/>
                <w:szCs w:val="16"/>
              </w:rPr>
              <w:t>0,170</w:t>
            </w:r>
          </w:p>
        </w:tc>
        <w:tc>
          <w:tcPr>
            <w:tcW w:w="1080" w:type="dxa"/>
            <w:vAlign w:val="center"/>
          </w:tcPr>
          <w:p w14:paraId="4A4A2781" w14:textId="77777777" w:rsidR="005D44AF" w:rsidRPr="00DD1DFA" w:rsidRDefault="005D44AF" w:rsidP="005D44AF">
            <w:pPr>
              <w:spacing w:before="60" w:after="60" w:line="200" w:lineRule="exact"/>
              <w:jc w:val="right"/>
              <w:rPr>
                <w:noProof/>
                <w:sz w:val="16"/>
                <w:szCs w:val="16"/>
              </w:rPr>
            </w:pPr>
            <w:r w:rsidRPr="00DD1DFA">
              <w:rPr>
                <w:noProof/>
                <w:sz w:val="16"/>
                <w:szCs w:val="16"/>
              </w:rPr>
              <w:t>0,170</w:t>
            </w:r>
          </w:p>
        </w:tc>
        <w:tc>
          <w:tcPr>
            <w:tcW w:w="1080" w:type="dxa"/>
            <w:vAlign w:val="center"/>
          </w:tcPr>
          <w:p w14:paraId="19DA5FA0" w14:textId="77777777" w:rsidR="005D44AF" w:rsidRPr="00DD1DFA" w:rsidRDefault="005D44AF" w:rsidP="005D44AF">
            <w:pPr>
              <w:spacing w:before="60" w:after="60" w:line="200" w:lineRule="exact"/>
              <w:jc w:val="right"/>
              <w:rPr>
                <w:noProof/>
                <w:sz w:val="16"/>
                <w:szCs w:val="16"/>
              </w:rPr>
            </w:pPr>
            <w:r w:rsidRPr="00DD1DFA">
              <w:rPr>
                <w:noProof/>
                <w:sz w:val="16"/>
                <w:szCs w:val="16"/>
              </w:rPr>
              <w:t>0,170</w:t>
            </w:r>
          </w:p>
        </w:tc>
        <w:tc>
          <w:tcPr>
            <w:tcW w:w="1080" w:type="dxa"/>
            <w:vAlign w:val="center"/>
          </w:tcPr>
          <w:p w14:paraId="699335D8" w14:textId="77777777" w:rsidR="005D44AF" w:rsidRPr="00DD1DFA" w:rsidRDefault="005D44AF" w:rsidP="005D44AF">
            <w:pPr>
              <w:spacing w:before="60" w:after="60" w:line="200" w:lineRule="exact"/>
              <w:jc w:val="right"/>
              <w:rPr>
                <w:noProof/>
                <w:sz w:val="16"/>
                <w:szCs w:val="16"/>
              </w:rPr>
            </w:pPr>
            <w:r w:rsidRPr="00DD1DFA">
              <w:rPr>
                <w:noProof/>
                <w:sz w:val="16"/>
                <w:szCs w:val="16"/>
              </w:rPr>
              <w:t>0,170</w:t>
            </w:r>
          </w:p>
        </w:tc>
        <w:tc>
          <w:tcPr>
            <w:tcW w:w="1080" w:type="dxa"/>
            <w:vAlign w:val="center"/>
          </w:tcPr>
          <w:p w14:paraId="4F858C90" w14:textId="77777777" w:rsidR="005D44AF" w:rsidRPr="00DD1DFA" w:rsidRDefault="005D44AF" w:rsidP="005D44AF">
            <w:pPr>
              <w:spacing w:before="60" w:after="60" w:line="200" w:lineRule="exact"/>
              <w:jc w:val="right"/>
              <w:rPr>
                <w:noProof/>
                <w:sz w:val="16"/>
                <w:szCs w:val="16"/>
              </w:rPr>
            </w:pPr>
            <w:r w:rsidRPr="00DD1DFA">
              <w:rPr>
                <w:noProof/>
                <w:sz w:val="16"/>
                <w:szCs w:val="16"/>
              </w:rPr>
              <w:t>0,170</w:t>
            </w:r>
          </w:p>
        </w:tc>
        <w:tc>
          <w:tcPr>
            <w:tcW w:w="1080" w:type="dxa"/>
            <w:vAlign w:val="center"/>
          </w:tcPr>
          <w:p w14:paraId="516E5C22" w14:textId="77777777" w:rsidR="005D44AF" w:rsidRPr="00DD1DFA" w:rsidRDefault="005D44AF" w:rsidP="005D44AF">
            <w:pPr>
              <w:spacing w:before="60" w:after="60" w:line="200" w:lineRule="exact"/>
              <w:jc w:val="right"/>
              <w:rPr>
                <w:noProof/>
                <w:sz w:val="16"/>
                <w:szCs w:val="16"/>
              </w:rPr>
            </w:pPr>
            <w:r w:rsidRPr="00DD1DFA">
              <w:rPr>
                <w:noProof/>
                <w:sz w:val="16"/>
                <w:szCs w:val="16"/>
              </w:rPr>
              <w:t>0,170</w:t>
            </w:r>
          </w:p>
        </w:tc>
        <w:tc>
          <w:tcPr>
            <w:tcW w:w="1080" w:type="dxa"/>
            <w:vAlign w:val="center"/>
          </w:tcPr>
          <w:p w14:paraId="11D16CCE" w14:textId="77777777" w:rsidR="005D44AF" w:rsidRPr="00DD1DFA" w:rsidRDefault="005D44AF" w:rsidP="005D44AF">
            <w:pPr>
              <w:spacing w:before="60" w:after="60" w:line="200" w:lineRule="exact"/>
              <w:jc w:val="right"/>
              <w:rPr>
                <w:b/>
                <w:noProof/>
                <w:sz w:val="16"/>
                <w:szCs w:val="16"/>
                <w:lang w:eastAsia="en-GB"/>
              </w:rPr>
            </w:pPr>
          </w:p>
        </w:tc>
        <w:tc>
          <w:tcPr>
            <w:tcW w:w="1080" w:type="dxa"/>
            <w:vAlign w:val="center"/>
          </w:tcPr>
          <w:p w14:paraId="2A47D641" w14:textId="77777777" w:rsidR="005D44AF" w:rsidRPr="00DD1DFA" w:rsidRDefault="005D44AF" w:rsidP="005D44AF">
            <w:pPr>
              <w:spacing w:before="60" w:after="60" w:line="200" w:lineRule="exact"/>
              <w:jc w:val="right"/>
              <w:rPr>
                <w:b/>
                <w:noProof/>
                <w:sz w:val="16"/>
                <w:szCs w:val="16"/>
              </w:rPr>
            </w:pPr>
            <w:r w:rsidRPr="00DD1DFA">
              <w:rPr>
                <w:b/>
                <w:noProof/>
                <w:sz w:val="16"/>
                <w:szCs w:val="16"/>
              </w:rPr>
              <w:t>1,020</w:t>
            </w:r>
          </w:p>
        </w:tc>
      </w:tr>
      <w:tr w:rsidR="005D44AF" w:rsidRPr="00DD1DFA" w14:paraId="1246547C" w14:textId="77777777" w:rsidTr="00380F0F">
        <w:trPr>
          <w:trHeight w:val="585"/>
        </w:trPr>
        <w:tc>
          <w:tcPr>
            <w:tcW w:w="1980" w:type="dxa"/>
            <w:shd w:val="clear" w:color="auto" w:fill="CCCCCC"/>
            <w:vAlign w:val="center"/>
          </w:tcPr>
          <w:p w14:paraId="325E7219" w14:textId="77777777" w:rsidR="005D44AF" w:rsidRPr="00DD1DFA" w:rsidRDefault="005D44AF" w:rsidP="005D44AF">
            <w:pPr>
              <w:spacing w:before="60" w:after="60" w:line="200" w:lineRule="exact"/>
              <w:jc w:val="center"/>
              <w:rPr>
                <w:b/>
                <w:noProof/>
                <w:sz w:val="16"/>
                <w:szCs w:val="16"/>
              </w:rPr>
            </w:pPr>
            <w:r w:rsidRPr="00DD1DFA">
              <w:rPr>
                <w:b/>
                <w:noProof/>
                <w:sz w:val="16"/>
              </w:rPr>
              <w:t>DZIAŁ 7</w:t>
            </w:r>
            <w:r w:rsidRPr="00DD1DFA">
              <w:rPr>
                <w:noProof/>
              </w:rPr>
              <w:t xml:space="preserve"> </w:t>
            </w:r>
            <w:r w:rsidRPr="00DD1DFA">
              <w:rPr>
                <w:noProof/>
              </w:rPr>
              <w:br/>
            </w:r>
            <w:r w:rsidRPr="00DD1DFA">
              <w:rPr>
                <w:b/>
                <w:noProof/>
                <w:sz w:val="16"/>
              </w:rPr>
              <w:t xml:space="preserve">wieloletnich ram finansowych </w:t>
            </w:r>
          </w:p>
        </w:tc>
        <w:tc>
          <w:tcPr>
            <w:tcW w:w="1080" w:type="dxa"/>
            <w:vAlign w:val="center"/>
          </w:tcPr>
          <w:p w14:paraId="6C4BF8A7"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1,269 </w:t>
            </w:r>
          </w:p>
        </w:tc>
        <w:tc>
          <w:tcPr>
            <w:tcW w:w="1080" w:type="dxa"/>
            <w:vAlign w:val="center"/>
          </w:tcPr>
          <w:p w14:paraId="398F1B20"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1,269</w:t>
            </w:r>
          </w:p>
        </w:tc>
        <w:tc>
          <w:tcPr>
            <w:tcW w:w="1080" w:type="dxa"/>
            <w:vAlign w:val="center"/>
          </w:tcPr>
          <w:p w14:paraId="4210693A"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1,269 </w:t>
            </w:r>
          </w:p>
        </w:tc>
        <w:tc>
          <w:tcPr>
            <w:tcW w:w="1080" w:type="dxa"/>
            <w:vAlign w:val="center"/>
          </w:tcPr>
          <w:p w14:paraId="0AA19E4E"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1,112 </w:t>
            </w:r>
          </w:p>
        </w:tc>
        <w:tc>
          <w:tcPr>
            <w:tcW w:w="1080" w:type="dxa"/>
            <w:vAlign w:val="center"/>
          </w:tcPr>
          <w:p w14:paraId="7542CDB4"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1,112 </w:t>
            </w:r>
          </w:p>
        </w:tc>
        <w:tc>
          <w:tcPr>
            <w:tcW w:w="1080" w:type="dxa"/>
            <w:vAlign w:val="center"/>
          </w:tcPr>
          <w:p w14:paraId="1EDA7B83"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0,798 </w:t>
            </w:r>
          </w:p>
        </w:tc>
        <w:tc>
          <w:tcPr>
            <w:tcW w:w="1080" w:type="dxa"/>
            <w:shd w:val="clear" w:color="auto" w:fill="BFBFBF" w:themeFill="background1" w:themeFillShade="BF"/>
            <w:vAlign w:val="center"/>
          </w:tcPr>
          <w:p w14:paraId="3EC113A7" w14:textId="77777777" w:rsidR="005D44AF" w:rsidRPr="00DD1DFA" w:rsidRDefault="005D44AF" w:rsidP="005D44AF">
            <w:pPr>
              <w:spacing w:before="60" w:after="60" w:line="200" w:lineRule="exact"/>
              <w:jc w:val="right"/>
              <w:rPr>
                <w:b/>
                <w:noProof/>
                <w:sz w:val="16"/>
                <w:szCs w:val="16"/>
                <w:lang w:eastAsia="en-GB"/>
              </w:rPr>
            </w:pPr>
          </w:p>
        </w:tc>
        <w:tc>
          <w:tcPr>
            <w:tcW w:w="1080" w:type="dxa"/>
            <w:vAlign w:val="center"/>
          </w:tcPr>
          <w:p w14:paraId="101BB6F3" w14:textId="77777777" w:rsidR="005D44AF" w:rsidRPr="00DD1DFA" w:rsidRDefault="005D44AF" w:rsidP="005D44AF">
            <w:pPr>
              <w:spacing w:before="60" w:after="60" w:line="200" w:lineRule="exact"/>
              <w:jc w:val="right"/>
              <w:rPr>
                <w:b/>
                <w:noProof/>
                <w:sz w:val="16"/>
                <w:szCs w:val="16"/>
              </w:rPr>
            </w:pPr>
            <w:r w:rsidRPr="00DD1DFA">
              <w:rPr>
                <w:rFonts w:ascii="Arial Narrow" w:hAnsi="Arial Narrow"/>
                <w:b/>
                <w:bCs/>
                <w:noProof/>
                <w:color w:val="000000"/>
                <w:sz w:val="20"/>
                <w:szCs w:val="20"/>
              </w:rPr>
              <w:t>6,829 </w:t>
            </w:r>
          </w:p>
        </w:tc>
      </w:tr>
    </w:tbl>
    <w:p w14:paraId="2F23C21C" w14:textId="77777777" w:rsidR="005D44AF" w:rsidRPr="00DD1DFA" w:rsidRDefault="005D44AF" w:rsidP="005D44AF">
      <w:pPr>
        <w:spacing w:line="200" w:lineRule="exact"/>
        <w:rPr>
          <w:noProof/>
          <w:sz w:val="16"/>
          <w:szCs w:val="16"/>
          <w:lang w:eastAsia="en-GB"/>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D44AF" w:rsidRPr="00DD1DFA" w14:paraId="67EB0DC4" w14:textId="77777777" w:rsidTr="00380F0F">
        <w:trPr>
          <w:trHeight w:val="585"/>
        </w:trPr>
        <w:tc>
          <w:tcPr>
            <w:tcW w:w="1980" w:type="dxa"/>
            <w:shd w:val="clear" w:color="auto" w:fill="CCCCCC"/>
            <w:vAlign w:val="center"/>
          </w:tcPr>
          <w:p w14:paraId="09DA7455" w14:textId="0B5CFB34" w:rsidR="005D44AF" w:rsidRPr="00DD1DFA" w:rsidRDefault="005D44AF" w:rsidP="005D44AF">
            <w:pPr>
              <w:spacing w:before="60" w:after="60" w:line="200" w:lineRule="exact"/>
              <w:jc w:val="center"/>
              <w:rPr>
                <w:noProof/>
                <w:sz w:val="16"/>
                <w:szCs w:val="16"/>
              </w:rPr>
            </w:pPr>
            <w:r w:rsidRPr="00DD1DFA">
              <w:rPr>
                <w:b/>
                <w:noProof/>
                <w:sz w:val="16"/>
              </w:rPr>
              <w:t>Poza DZIAŁEM 7</w:t>
            </w:r>
            <w:r w:rsidRPr="00DD1DFA">
              <w:rPr>
                <w:rStyle w:val="Odwoanieprzypisudolnego"/>
                <w:noProof/>
              </w:rPr>
              <w:footnoteReference w:id="60"/>
            </w:r>
            <w:r w:rsidRPr="00DD1DFA">
              <w:rPr>
                <w:noProof/>
              </w:rPr>
              <w:t xml:space="preserve"> </w:t>
            </w:r>
            <w:r w:rsidRPr="00DD1DFA">
              <w:rPr>
                <w:noProof/>
              </w:rPr>
              <w:br/>
            </w:r>
            <w:r w:rsidR="009142AB" w:rsidRPr="00DD1DFA">
              <w:rPr>
                <w:b/>
                <w:noProof/>
                <w:sz w:val="16"/>
              </w:rPr>
              <w:t>wieloletnich ram finansowych</w:t>
            </w:r>
          </w:p>
          <w:p w14:paraId="1CAD9149" w14:textId="77777777" w:rsidR="005D44AF" w:rsidRPr="00DD1DFA" w:rsidRDefault="005D44AF" w:rsidP="005D44AF">
            <w:pPr>
              <w:spacing w:before="0" w:after="0" w:line="200" w:lineRule="exact"/>
              <w:jc w:val="center"/>
              <w:rPr>
                <w:b/>
                <w:noProof/>
                <w:sz w:val="16"/>
                <w:szCs w:val="16"/>
                <w:lang w:eastAsia="en-GB"/>
              </w:rPr>
            </w:pPr>
          </w:p>
        </w:tc>
        <w:tc>
          <w:tcPr>
            <w:tcW w:w="1080" w:type="dxa"/>
            <w:vAlign w:val="center"/>
          </w:tcPr>
          <w:p w14:paraId="49AB5E08"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4E4341CE"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05406111"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11D88BDD"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3B7A6A16"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6244AECC"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7FF2BC05" w14:textId="77777777" w:rsidR="005D44AF" w:rsidRPr="00DD1DFA" w:rsidRDefault="005D44AF" w:rsidP="005D44AF">
            <w:pPr>
              <w:spacing w:before="60" w:after="60" w:line="200" w:lineRule="exact"/>
              <w:jc w:val="right"/>
              <w:rPr>
                <w:b/>
                <w:noProof/>
                <w:sz w:val="16"/>
                <w:szCs w:val="16"/>
                <w:lang w:eastAsia="en-GB"/>
              </w:rPr>
            </w:pPr>
          </w:p>
        </w:tc>
        <w:tc>
          <w:tcPr>
            <w:tcW w:w="1080" w:type="dxa"/>
            <w:vAlign w:val="center"/>
          </w:tcPr>
          <w:p w14:paraId="1E240BF2" w14:textId="77777777" w:rsidR="005D44AF" w:rsidRPr="00DD1DFA" w:rsidRDefault="005D44AF" w:rsidP="005D44AF">
            <w:pPr>
              <w:spacing w:before="60" w:after="60" w:line="200" w:lineRule="exact"/>
              <w:jc w:val="right"/>
              <w:rPr>
                <w:b/>
                <w:noProof/>
                <w:sz w:val="16"/>
                <w:szCs w:val="16"/>
                <w:lang w:eastAsia="en-GB"/>
              </w:rPr>
            </w:pPr>
          </w:p>
        </w:tc>
      </w:tr>
      <w:tr w:rsidR="005D44AF" w:rsidRPr="00DD1DFA" w14:paraId="7BA64249" w14:textId="77777777" w:rsidTr="00380F0F">
        <w:trPr>
          <w:trHeight w:val="585"/>
        </w:trPr>
        <w:tc>
          <w:tcPr>
            <w:tcW w:w="1980" w:type="dxa"/>
            <w:vAlign w:val="center"/>
          </w:tcPr>
          <w:p w14:paraId="3F7C03A7" w14:textId="77777777" w:rsidR="005D44AF" w:rsidRPr="00DD1DFA" w:rsidRDefault="005D44AF" w:rsidP="005D44AF">
            <w:pPr>
              <w:spacing w:before="60" w:after="60" w:line="200" w:lineRule="exact"/>
              <w:ind w:left="72"/>
              <w:jc w:val="left"/>
              <w:rPr>
                <w:noProof/>
                <w:sz w:val="16"/>
                <w:szCs w:val="16"/>
              </w:rPr>
            </w:pPr>
            <w:r w:rsidRPr="00DD1DFA">
              <w:rPr>
                <w:noProof/>
                <w:sz w:val="16"/>
              </w:rPr>
              <w:t xml:space="preserve">Zasoby ludzkie </w:t>
            </w:r>
          </w:p>
        </w:tc>
        <w:tc>
          <w:tcPr>
            <w:tcW w:w="1080" w:type="dxa"/>
            <w:vAlign w:val="center"/>
          </w:tcPr>
          <w:p w14:paraId="13A4E348"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37AFEAD1"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72D02D76"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376D0A65"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6D348859"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135FBF5D" w14:textId="77777777" w:rsidR="005D44AF" w:rsidRPr="00DD1DFA" w:rsidRDefault="005D44AF" w:rsidP="005D44AF">
            <w:pPr>
              <w:spacing w:before="60" w:after="60" w:line="200" w:lineRule="exact"/>
              <w:jc w:val="right"/>
              <w:rPr>
                <w:noProof/>
                <w:sz w:val="16"/>
                <w:szCs w:val="16"/>
                <w:lang w:eastAsia="en-GB"/>
              </w:rPr>
            </w:pPr>
          </w:p>
        </w:tc>
        <w:tc>
          <w:tcPr>
            <w:tcW w:w="1080" w:type="dxa"/>
            <w:vAlign w:val="center"/>
          </w:tcPr>
          <w:p w14:paraId="5B3CFE2B" w14:textId="77777777" w:rsidR="005D44AF" w:rsidRPr="00DD1DFA" w:rsidRDefault="005D44AF" w:rsidP="005D44AF">
            <w:pPr>
              <w:spacing w:before="60" w:after="60" w:line="200" w:lineRule="exact"/>
              <w:jc w:val="right"/>
              <w:rPr>
                <w:b/>
                <w:noProof/>
                <w:sz w:val="16"/>
                <w:szCs w:val="16"/>
                <w:lang w:eastAsia="en-GB"/>
              </w:rPr>
            </w:pPr>
          </w:p>
        </w:tc>
        <w:tc>
          <w:tcPr>
            <w:tcW w:w="1080" w:type="dxa"/>
            <w:vAlign w:val="center"/>
          </w:tcPr>
          <w:p w14:paraId="4DEF97FA" w14:textId="77777777" w:rsidR="005D44AF" w:rsidRPr="00DD1DFA" w:rsidRDefault="005D44AF" w:rsidP="005D44AF">
            <w:pPr>
              <w:spacing w:before="60" w:after="60" w:line="200" w:lineRule="exact"/>
              <w:jc w:val="right"/>
              <w:rPr>
                <w:b/>
                <w:noProof/>
                <w:sz w:val="16"/>
                <w:szCs w:val="16"/>
                <w:lang w:eastAsia="en-GB"/>
              </w:rPr>
            </w:pPr>
          </w:p>
        </w:tc>
      </w:tr>
      <w:tr w:rsidR="005D44AF" w:rsidRPr="00DD1DFA" w14:paraId="49279E02" w14:textId="77777777" w:rsidTr="00380F0F">
        <w:trPr>
          <w:trHeight w:val="585"/>
        </w:trPr>
        <w:tc>
          <w:tcPr>
            <w:tcW w:w="1980" w:type="dxa"/>
            <w:vAlign w:val="center"/>
          </w:tcPr>
          <w:p w14:paraId="3449DD03" w14:textId="77777777" w:rsidR="005D44AF" w:rsidRPr="00DD1DFA" w:rsidRDefault="005D44AF" w:rsidP="005D44AF">
            <w:pPr>
              <w:spacing w:before="60" w:after="60" w:line="200" w:lineRule="exact"/>
              <w:ind w:left="72"/>
              <w:jc w:val="left"/>
              <w:rPr>
                <w:noProof/>
                <w:sz w:val="16"/>
                <w:szCs w:val="16"/>
              </w:rPr>
            </w:pPr>
            <w:r w:rsidRPr="00DD1DFA">
              <w:rPr>
                <w:noProof/>
                <w:sz w:val="16"/>
              </w:rPr>
              <w:t>Pozostałe wydatki</w:t>
            </w:r>
            <w:r w:rsidRPr="00DD1DFA">
              <w:rPr>
                <w:noProof/>
              </w:rPr>
              <w:br/>
            </w:r>
            <w:r w:rsidRPr="00DD1DFA">
              <w:rPr>
                <w:noProof/>
                <w:sz w:val="16"/>
              </w:rPr>
              <w:t>o charakterze administracyjnym</w:t>
            </w:r>
          </w:p>
        </w:tc>
        <w:tc>
          <w:tcPr>
            <w:tcW w:w="1080" w:type="dxa"/>
            <w:vAlign w:val="center"/>
          </w:tcPr>
          <w:p w14:paraId="10B0848C"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5ED9BB23"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61ED041B"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5CC36A35"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4FCE4A65"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3808E80C"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shd w:val="clear" w:color="auto" w:fill="BFBFBF" w:themeFill="background1" w:themeFillShade="BF"/>
            <w:vAlign w:val="center"/>
          </w:tcPr>
          <w:p w14:paraId="48BAE8A7" w14:textId="77777777" w:rsidR="005D44AF" w:rsidRPr="00DD1DFA" w:rsidRDefault="005D44AF" w:rsidP="005D44AF">
            <w:pPr>
              <w:spacing w:before="60" w:after="60" w:line="200" w:lineRule="exact"/>
              <w:jc w:val="right"/>
              <w:rPr>
                <w:b/>
                <w:noProof/>
                <w:sz w:val="16"/>
                <w:szCs w:val="16"/>
                <w:lang w:eastAsia="en-GB"/>
              </w:rPr>
            </w:pPr>
          </w:p>
        </w:tc>
        <w:tc>
          <w:tcPr>
            <w:tcW w:w="1080" w:type="dxa"/>
            <w:vAlign w:val="center"/>
          </w:tcPr>
          <w:p w14:paraId="457C35C5" w14:textId="77777777" w:rsidR="005D44AF" w:rsidRPr="00DD1DFA" w:rsidRDefault="005D44AF" w:rsidP="005D44AF">
            <w:pPr>
              <w:spacing w:before="60" w:after="60" w:line="200" w:lineRule="exact"/>
              <w:jc w:val="right"/>
              <w:rPr>
                <w:b/>
                <w:noProof/>
                <w:sz w:val="16"/>
                <w:szCs w:val="16"/>
                <w:lang w:eastAsia="en-GB"/>
              </w:rPr>
            </w:pPr>
          </w:p>
        </w:tc>
      </w:tr>
      <w:tr w:rsidR="005D44AF" w:rsidRPr="00DD1DFA" w14:paraId="37BD5C09" w14:textId="77777777" w:rsidTr="00380F0F">
        <w:trPr>
          <w:trHeight w:val="585"/>
        </w:trPr>
        <w:tc>
          <w:tcPr>
            <w:tcW w:w="1980" w:type="dxa"/>
            <w:shd w:val="clear" w:color="auto" w:fill="CCCCCC"/>
            <w:vAlign w:val="center"/>
          </w:tcPr>
          <w:p w14:paraId="0FE58B98" w14:textId="77777777" w:rsidR="005D44AF" w:rsidRPr="00DD1DFA" w:rsidRDefault="005D44AF" w:rsidP="005D44AF">
            <w:pPr>
              <w:spacing w:before="60" w:after="60" w:line="200" w:lineRule="exact"/>
              <w:jc w:val="center"/>
              <w:rPr>
                <w:b/>
                <w:noProof/>
                <w:sz w:val="16"/>
                <w:szCs w:val="16"/>
              </w:rPr>
            </w:pPr>
            <w:r w:rsidRPr="00DD1DFA">
              <w:rPr>
                <w:b/>
                <w:noProof/>
                <w:sz w:val="16"/>
              </w:rPr>
              <w:t>Suma cząstkowa</w:t>
            </w:r>
            <w:r w:rsidRPr="00DD1DFA">
              <w:rPr>
                <w:noProof/>
              </w:rPr>
              <w:br/>
            </w:r>
            <w:r w:rsidRPr="00DD1DFA">
              <w:rPr>
                <w:b/>
                <w:noProof/>
                <w:sz w:val="16"/>
              </w:rPr>
              <w:t>poza DZIAŁEM 7</w:t>
            </w:r>
            <w:r w:rsidRPr="00DD1DFA">
              <w:rPr>
                <w:noProof/>
              </w:rPr>
              <w:t xml:space="preserve"> </w:t>
            </w:r>
            <w:r w:rsidRPr="00DD1DFA">
              <w:rPr>
                <w:noProof/>
              </w:rPr>
              <w:br/>
            </w:r>
            <w:r w:rsidRPr="00DD1DFA">
              <w:rPr>
                <w:b/>
                <w:noProof/>
                <w:sz w:val="16"/>
              </w:rPr>
              <w:t xml:space="preserve">wieloletnich ram finansowych </w:t>
            </w:r>
          </w:p>
        </w:tc>
        <w:tc>
          <w:tcPr>
            <w:tcW w:w="1080" w:type="dxa"/>
            <w:vAlign w:val="center"/>
          </w:tcPr>
          <w:p w14:paraId="74290A07"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65729724"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781D2FCB"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12BF7848"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56762D9C"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0EC09024" w14:textId="77777777" w:rsidR="005D44AF" w:rsidRPr="00DD1DFA" w:rsidRDefault="005D44AF" w:rsidP="005D44AF">
            <w:pPr>
              <w:spacing w:before="60" w:after="60" w:line="200" w:lineRule="exact"/>
              <w:jc w:val="right"/>
              <w:rPr>
                <w:noProof/>
                <w:sz w:val="16"/>
                <w:szCs w:val="16"/>
              </w:rPr>
            </w:pPr>
            <w:r w:rsidRPr="00DD1DFA">
              <w:rPr>
                <w:noProof/>
                <w:sz w:val="16"/>
                <w:szCs w:val="16"/>
              </w:rPr>
              <w:t>0</w:t>
            </w:r>
          </w:p>
        </w:tc>
        <w:tc>
          <w:tcPr>
            <w:tcW w:w="1080" w:type="dxa"/>
            <w:vAlign w:val="center"/>
          </w:tcPr>
          <w:p w14:paraId="0C668016" w14:textId="77777777" w:rsidR="005D44AF" w:rsidRPr="00DD1DFA" w:rsidRDefault="005D44AF" w:rsidP="005D44AF">
            <w:pPr>
              <w:spacing w:before="60" w:after="60" w:line="200" w:lineRule="exact"/>
              <w:jc w:val="right"/>
              <w:rPr>
                <w:b/>
                <w:noProof/>
                <w:sz w:val="16"/>
                <w:szCs w:val="16"/>
                <w:lang w:eastAsia="en-GB"/>
              </w:rPr>
            </w:pPr>
          </w:p>
        </w:tc>
        <w:tc>
          <w:tcPr>
            <w:tcW w:w="1080" w:type="dxa"/>
            <w:vAlign w:val="center"/>
          </w:tcPr>
          <w:p w14:paraId="534C78A6" w14:textId="77777777" w:rsidR="005D44AF" w:rsidRPr="00DD1DFA" w:rsidRDefault="005D44AF" w:rsidP="005D44AF">
            <w:pPr>
              <w:spacing w:before="60" w:after="60" w:line="200" w:lineRule="exact"/>
              <w:jc w:val="right"/>
              <w:rPr>
                <w:b/>
                <w:noProof/>
                <w:sz w:val="16"/>
                <w:szCs w:val="16"/>
                <w:lang w:eastAsia="en-GB"/>
              </w:rPr>
            </w:pPr>
          </w:p>
        </w:tc>
      </w:tr>
    </w:tbl>
    <w:p w14:paraId="7680960A" w14:textId="77777777" w:rsidR="005D44AF" w:rsidRPr="00DD1DFA" w:rsidRDefault="005D44AF" w:rsidP="005D44AF">
      <w:pPr>
        <w:spacing w:line="200" w:lineRule="exact"/>
        <w:rPr>
          <w:noProof/>
          <w:sz w:val="16"/>
          <w:szCs w:val="16"/>
          <w:lang w:eastAsia="en-GB"/>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D44AF" w:rsidRPr="00DD1DFA" w14:paraId="2965A41E" w14:textId="77777777" w:rsidTr="00380F0F">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3E08F67E" w14:textId="77777777" w:rsidR="005D44AF" w:rsidRPr="00DD1DFA" w:rsidRDefault="005D44AF" w:rsidP="005D44AF">
            <w:pPr>
              <w:spacing w:before="60" w:after="60" w:line="200" w:lineRule="exact"/>
              <w:jc w:val="center"/>
              <w:rPr>
                <w:noProof/>
                <w:sz w:val="16"/>
                <w:szCs w:val="16"/>
              </w:rPr>
            </w:pPr>
            <w:r w:rsidRPr="00DD1DFA">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14:paraId="78E51929" w14:textId="77777777" w:rsidR="005D44AF" w:rsidRPr="00DD1DFA" w:rsidRDefault="005D44AF" w:rsidP="005D44AF">
            <w:pPr>
              <w:spacing w:before="60" w:after="60" w:line="200" w:lineRule="exact"/>
              <w:jc w:val="right"/>
              <w:rPr>
                <w:noProof/>
                <w:sz w:val="16"/>
                <w:szCs w:val="16"/>
              </w:rPr>
            </w:pPr>
            <w:r w:rsidRPr="00DD1DFA">
              <w:rPr>
                <w:rFonts w:ascii="Arial Narrow" w:hAnsi="Arial Narrow"/>
                <w:noProof/>
                <w:color w:val="000000"/>
                <w:sz w:val="20"/>
                <w:szCs w:val="20"/>
              </w:rPr>
              <w:t>1,269</w:t>
            </w:r>
          </w:p>
        </w:tc>
        <w:tc>
          <w:tcPr>
            <w:tcW w:w="1080" w:type="dxa"/>
            <w:tcBorders>
              <w:top w:val="single" w:sz="12" w:space="0" w:color="auto"/>
              <w:left w:val="single" w:sz="2" w:space="0" w:color="auto"/>
              <w:bottom w:val="single" w:sz="12" w:space="0" w:color="auto"/>
              <w:right w:val="single" w:sz="2" w:space="0" w:color="auto"/>
            </w:tcBorders>
            <w:vAlign w:val="center"/>
          </w:tcPr>
          <w:p w14:paraId="08032E7D" w14:textId="77777777" w:rsidR="005D44AF" w:rsidRPr="00DD1DFA" w:rsidRDefault="005D44AF" w:rsidP="005D44AF">
            <w:pPr>
              <w:spacing w:before="60" w:after="60" w:line="200" w:lineRule="exact"/>
              <w:jc w:val="right"/>
              <w:rPr>
                <w:b/>
                <w:noProof/>
                <w:sz w:val="16"/>
                <w:szCs w:val="16"/>
              </w:rPr>
            </w:pPr>
            <w:r w:rsidRPr="00DD1DFA">
              <w:rPr>
                <w:rFonts w:ascii="Arial Narrow" w:hAnsi="Arial Narrow"/>
                <w:noProof/>
                <w:color w:val="000000"/>
                <w:sz w:val="20"/>
                <w:szCs w:val="20"/>
              </w:rPr>
              <w:t> 1,269</w:t>
            </w:r>
          </w:p>
        </w:tc>
        <w:tc>
          <w:tcPr>
            <w:tcW w:w="1080" w:type="dxa"/>
            <w:tcBorders>
              <w:top w:val="single" w:sz="12" w:space="0" w:color="auto"/>
              <w:left w:val="single" w:sz="2" w:space="0" w:color="auto"/>
              <w:bottom w:val="single" w:sz="12" w:space="0" w:color="auto"/>
              <w:right w:val="single" w:sz="2" w:space="0" w:color="auto"/>
            </w:tcBorders>
            <w:vAlign w:val="center"/>
          </w:tcPr>
          <w:p w14:paraId="7D1B16CC" w14:textId="77777777" w:rsidR="005D44AF" w:rsidRPr="00DD1DFA" w:rsidRDefault="005D44AF" w:rsidP="005D44AF">
            <w:pPr>
              <w:spacing w:before="60" w:after="60" w:line="200" w:lineRule="exact"/>
              <w:jc w:val="right"/>
              <w:rPr>
                <w:b/>
                <w:noProof/>
                <w:sz w:val="16"/>
                <w:szCs w:val="16"/>
              </w:rPr>
            </w:pPr>
            <w:r w:rsidRPr="00DD1DFA">
              <w:rPr>
                <w:rFonts w:ascii="Arial Narrow" w:hAnsi="Arial Narrow"/>
                <w:noProof/>
                <w:color w:val="000000"/>
                <w:sz w:val="20"/>
                <w:szCs w:val="20"/>
              </w:rPr>
              <w:t>1,269 </w:t>
            </w:r>
          </w:p>
        </w:tc>
        <w:tc>
          <w:tcPr>
            <w:tcW w:w="1080" w:type="dxa"/>
            <w:tcBorders>
              <w:top w:val="single" w:sz="12" w:space="0" w:color="auto"/>
              <w:left w:val="single" w:sz="2" w:space="0" w:color="auto"/>
              <w:bottom w:val="single" w:sz="12" w:space="0" w:color="auto"/>
              <w:right w:val="single" w:sz="2" w:space="0" w:color="auto"/>
            </w:tcBorders>
            <w:vAlign w:val="center"/>
          </w:tcPr>
          <w:p w14:paraId="13468274" w14:textId="77777777" w:rsidR="005D44AF" w:rsidRPr="00DD1DFA" w:rsidRDefault="005D44AF" w:rsidP="005D44AF">
            <w:pPr>
              <w:spacing w:before="60" w:after="60" w:line="200" w:lineRule="exact"/>
              <w:jc w:val="right"/>
              <w:rPr>
                <w:b/>
                <w:noProof/>
                <w:sz w:val="16"/>
                <w:szCs w:val="16"/>
              </w:rPr>
            </w:pPr>
            <w:r w:rsidRPr="00DD1DFA">
              <w:rPr>
                <w:rFonts w:ascii="Arial Narrow" w:hAnsi="Arial Narrow"/>
                <w:noProof/>
                <w:color w:val="000000"/>
                <w:sz w:val="20"/>
                <w:szCs w:val="20"/>
              </w:rPr>
              <w:t>1,112 </w:t>
            </w:r>
          </w:p>
        </w:tc>
        <w:tc>
          <w:tcPr>
            <w:tcW w:w="1080" w:type="dxa"/>
            <w:tcBorders>
              <w:top w:val="single" w:sz="12" w:space="0" w:color="auto"/>
              <w:left w:val="single" w:sz="2" w:space="0" w:color="auto"/>
              <w:bottom w:val="single" w:sz="12" w:space="0" w:color="auto"/>
              <w:right w:val="single" w:sz="2" w:space="0" w:color="auto"/>
            </w:tcBorders>
            <w:vAlign w:val="center"/>
          </w:tcPr>
          <w:p w14:paraId="130756D0" w14:textId="77777777" w:rsidR="005D44AF" w:rsidRPr="00DD1DFA" w:rsidRDefault="005D44AF" w:rsidP="005D44AF">
            <w:pPr>
              <w:spacing w:before="60" w:after="60" w:line="200" w:lineRule="exact"/>
              <w:jc w:val="right"/>
              <w:rPr>
                <w:b/>
                <w:noProof/>
                <w:sz w:val="16"/>
                <w:szCs w:val="16"/>
              </w:rPr>
            </w:pPr>
            <w:r w:rsidRPr="00DD1DFA">
              <w:rPr>
                <w:rFonts w:ascii="Arial Narrow" w:hAnsi="Arial Narrow"/>
                <w:noProof/>
                <w:color w:val="000000"/>
                <w:sz w:val="20"/>
                <w:szCs w:val="20"/>
              </w:rPr>
              <w:t>1,112 </w:t>
            </w:r>
          </w:p>
        </w:tc>
        <w:tc>
          <w:tcPr>
            <w:tcW w:w="1080" w:type="dxa"/>
            <w:tcBorders>
              <w:top w:val="single" w:sz="12" w:space="0" w:color="auto"/>
              <w:left w:val="single" w:sz="2" w:space="0" w:color="auto"/>
              <w:bottom w:val="single" w:sz="12" w:space="0" w:color="auto"/>
              <w:right w:val="single" w:sz="2" w:space="0" w:color="auto"/>
            </w:tcBorders>
            <w:vAlign w:val="center"/>
          </w:tcPr>
          <w:p w14:paraId="1B9A25A8" w14:textId="77777777" w:rsidR="005D44AF" w:rsidRPr="00DD1DFA" w:rsidRDefault="005D44AF" w:rsidP="005D44AF">
            <w:pPr>
              <w:spacing w:before="60" w:after="60" w:line="200" w:lineRule="exact"/>
              <w:jc w:val="right"/>
              <w:rPr>
                <w:b/>
                <w:noProof/>
                <w:sz w:val="16"/>
                <w:szCs w:val="16"/>
              </w:rPr>
            </w:pPr>
            <w:r w:rsidRPr="00DD1DFA">
              <w:rPr>
                <w:rFonts w:ascii="Arial Narrow" w:hAnsi="Arial Narrow"/>
                <w:noProof/>
                <w:color w:val="000000"/>
                <w:sz w:val="20"/>
                <w:szCs w:val="20"/>
              </w:rPr>
              <w:t>0,798 </w:t>
            </w:r>
          </w:p>
        </w:tc>
        <w:tc>
          <w:tcPr>
            <w:tcW w:w="1080" w:type="dxa"/>
            <w:tcBorders>
              <w:top w:val="single" w:sz="12" w:space="0" w:color="auto"/>
              <w:left w:val="single" w:sz="2" w:space="0" w:color="auto"/>
              <w:bottom w:val="single" w:sz="12" w:space="0" w:color="auto"/>
              <w:right w:val="single" w:sz="2" w:space="0" w:color="auto"/>
            </w:tcBorders>
            <w:vAlign w:val="center"/>
          </w:tcPr>
          <w:p w14:paraId="03A36B70" w14:textId="77777777" w:rsidR="005D44AF" w:rsidRPr="00DD1DFA" w:rsidRDefault="005D44AF" w:rsidP="005D44AF">
            <w:pPr>
              <w:spacing w:before="60" w:after="60" w:line="200" w:lineRule="exact"/>
              <w:jc w:val="right"/>
              <w:rPr>
                <w:b/>
                <w:noProof/>
                <w:sz w:val="16"/>
                <w:szCs w:val="16"/>
                <w:lang w:eastAsia="en-GB"/>
              </w:rPr>
            </w:pPr>
          </w:p>
        </w:tc>
        <w:tc>
          <w:tcPr>
            <w:tcW w:w="1080" w:type="dxa"/>
            <w:tcBorders>
              <w:top w:val="single" w:sz="12" w:space="0" w:color="auto"/>
              <w:left w:val="single" w:sz="2" w:space="0" w:color="auto"/>
              <w:bottom w:val="single" w:sz="12" w:space="0" w:color="auto"/>
              <w:right w:val="single" w:sz="12" w:space="0" w:color="auto"/>
            </w:tcBorders>
            <w:vAlign w:val="center"/>
          </w:tcPr>
          <w:p w14:paraId="2F5D4D27" w14:textId="77777777" w:rsidR="005D44AF" w:rsidRPr="00DD1DFA" w:rsidRDefault="005D44AF" w:rsidP="005D44AF">
            <w:pPr>
              <w:spacing w:before="60" w:after="60" w:line="200" w:lineRule="exact"/>
              <w:jc w:val="right"/>
              <w:rPr>
                <w:b/>
                <w:noProof/>
                <w:sz w:val="16"/>
                <w:szCs w:val="16"/>
              </w:rPr>
            </w:pPr>
            <w:r w:rsidRPr="00DD1DFA">
              <w:rPr>
                <w:rFonts w:ascii="Arial Narrow" w:hAnsi="Arial Narrow"/>
                <w:b/>
                <w:bCs/>
                <w:noProof/>
                <w:color w:val="000000"/>
                <w:sz w:val="20"/>
                <w:szCs w:val="20"/>
              </w:rPr>
              <w:t>6,829 </w:t>
            </w:r>
          </w:p>
        </w:tc>
      </w:tr>
    </w:tbl>
    <w:p w14:paraId="3B55C94C" w14:textId="0D14FE34" w:rsidR="005D44AF" w:rsidRPr="00DD1DFA" w:rsidRDefault="005D44AF" w:rsidP="005D44AF">
      <w:pPr>
        <w:rPr>
          <w:noProof/>
          <w:sz w:val="18"/>
        </w:rPr>
      </w:pPr>
      <w:r w:rsidRPr="00DD1DFA">
        <w:rPr>
          <w:noProof/>
          <w:sz w:val="18"/>
        </w:rPr>
        <w:t>Potrzeby</w:t>
      </w:r>
      <w:r w:rsidR="00DD1DFA" w:rsidRPr="00DD1DFA">
        <w:rPr>
          <w:noProof/>
          <w:sz w:val="18"/>
        </w:rPr>
        <w:t xml:space="preserve"> w</w:t>
      </w:r>
      <w:r w:rsidR="00DD1DFA">
        <w:rPr>
          <w:noProof/>
          <w:sz w:val="18"/>
        </w:rPr>
        <w:t> </w:t>
      </w:r>
      <w:r w:rsidR="00DD1DFA" w:rsidRPr="00DD1DFA">
        <w:rPr>
          <w:noProof/>
          <w:sz w:val="18"/>
        </w:rPr>
        <w:t>zak</w:t>
      </w:r>
      <w:r w:rsidRPr="00DD1DFA">
        <w:rPr>
          <w:noProof/>
          <w:sz w:val="18"/>
        </w:rPr>
        <w:t>resie środków na zasoby ludzkie</w:t>
      </w:r>
      <w:r w:rsidR="00DD1DFA" w:rsidRPr="00DD1DFA">
        <w:rPr>
          <w:noProof/>
          <w:sz w:val="18"/>
        </w:rPr>
        <w:t xml:space="preserve"> i</w:t>
      </w:r>
      <w:r w:rsidR="00DD1DFA">
        <w:rPr>
          <w:noProof/>
          <w:sz w:val="18"/>
        </w:rPr>
        <w:t> </w:t>
      </w:r>
      <w:r w:rsidR="00DD1DFA" w:rsidRPr="00DD1DFA">
        <w:rPr>
          <w:noProof/>
          <w:sz w:val="18"/>
        </w:rPr>
        <w:t>inn</w:t>
      </w:r>
      <w:r w:rsidRPr="00DD1DFA">
        <w:rPr>
          <w:noProof/>
          <w:sz w:val="18"/>
        </w:rPr>
        <w:t>e wydatki</w:t>
      </w:r>
      <w:r w:rsidR="00DD1DFA" w:rsidRPr="00DD1DFA">
        <w:rPr>
          <w:noProof/>
          <w:sz w:val="18"/>
        </w:rPr>
        <w:t xml:space="preserve"> o</w:t>
      </w:r>
      <w:r w:rsidR="00DD1DFA">
        <w:rPr>
          <w:noProof/>
          <w:sz w:val="18"/>
        </w:rPr>
        <w:t> </w:t>
      </w:r>
      <w:r w:rsidR="00DD1DFA" w:rsidRPr="00DD1DFA">
        <w:rPr>
          <w:noProof/>
          <w:sz w:val="18"/>
        </w:rPr>
        <w:t>cha</w:t>
      </w:r>
      <w:r w:rsidRPr="00DD1DFA">
        <w:rPr>
          <w:noProof/>
          <w:sz w:val="18"/>
        </w:rPr>
        <w:t>rakterze administracyjnym zostaną pokryte</w:t>
      </w:r>
      <w:r w:rsidR="00DD1DFA" w:rsidRPr="00DD1DFA">
        <w:rPr>
          <w:noProof/>
          <w:sz w:val="18"/>
        </w:rPr>
        <w:t xml:space="preserve"> z</w:t>
      </w:r>
      <w:r w:rsidR="00DD1DFA">
        <w:rPr>
          <w:noProof/>
          <w:sz w:val="18"/>
        </w:rPr>
        <w:t> </w:t>
      </w:r>
      <w:r w:rsidR="00DD1DFA" w:rsidRPr="00DD1DFA">
        <w:rPr>
          <w:noProof/>
          <w:sz w:val="18"/>
        </w:rPr>
        <w:t>zas</w:t>
      </w:r>
      <w:r w:rsidRPr="00DD1DFA">
        <w:rPr>
          <w:noProof/>
          <w:sz w:val="18"/>
        </w:rPr>
        <w:t>obów dyrekcji generalnej już przydzielonych na zarządzanie tym działaniem lub przesuniętych</w:t>
      </w:r>
      <w:r w:rsidR="00DD1DFA" w:rsidRPr="00DD1DFA">
        <w:rPr>
          <w:noProof/>
          <w:sz w:val="18"/>
        </w:rPr>
        <w:t xml:space="preserve"> w</w:t>
      </w:r>
      <w:r w:rsidR="00DD1DFA">
        <w:rPr>
          <w:noProof/>
          <w:sz w:val="18"/>
        </w:rPr>
        <w:t> </w:t>
      </w:r>
      <w:r w:rsidR="00DD1DFA" w:rsidRPr="00DD1DFA">
        <w:rPr>
          <w:noProof/>
          <w:sz w:val="18"/>
        </w:rPr>
        <w:t>ram</w:t>
      </w:r>
      <w:r w:rsidRPr="00DD1DFA">
        <w:rPr>
          <w:noProof/>
          <w:sz w:val="18"/>
        </w:rPr>
        <w:t>ach dyrekcji generalnej, uzupełnionych</w:t>
      </w:r>
      <w:r w:rsidR="00DD1DFA" w:rsidRPr="00DD1DFA">
        <w:rPr>
          <w:noProof/>
          <w:sz w:val="18"/>
        </w:rPr>
        <w:t xml:space="preserve"> w</w:t>
      </w:r>
      <w:r w:rsidR="00DD1DFA">
        <w:rPr>
          <w:noProof/>
          <w:sz w:val="18"/>
        </w:rPr>
        <w:t> </w:t>
      </w:r>
      <w:r w:rsidR="00DD1DFA" w:rsidRPr="00DD1DFA">
        <w:rPr>
          <w:noProof/>
          <w:sz w:val="18"/>
        </w:rPr>
        <w:t>raz</w:t>
      </w:r>
      <w:r w:rsidRPr="00DD1DFA">
        <w:rPr>
          <w:noProof/>
          <w:sz w:val="18"/>
        </w:rPr>
        <w:t>ie potrzeby wszelkimi dodatkowymi zasobami, które mogą zostać przydzielone zarządzającej dyrekcji generalnej</w:t>
      </w:r>
      <w:r w:rsidR="00DD1DFA" w:rsidRPr="00DD1DFA">
        <w:rPr>
          <w:noProof/>
          <w:sz w:val="18"/>
        </w:rPr>
        <w:t xml:space="preserve"> w</w:t>
      </w:r>
      <w:r w:rsidR="00DD1DFA">
        <w:rPr>
          <w:noProof/>
          <w:sz w:val="18"/>
        </w:rPr>
        <w:t> </w:t>
      </w:r>
      <w:r w:rsidR="00DD1DFA" w:rsidRPr="00DD1DFA">
        <w:rPr>
          <w:noProof/>
          <w:sz w:val="18"/>
        </w:rPr>
        <w:t>ram</w:t>
      </w:r>
      <w:r w:rsidRPr="00DD1DFA">
        <w:rPr>
          <w:noProof/>
          <w:sz w:val="18"/>
        </w:rPr>
        <w:t>ach procedury rocznego przydziału środków oraz</w:t>
      </w:r>
      <w:r w:rsidR="00DD1DFA" w:rsidRPr="00DD1DFA">
        <w:rPr>
          <w:noProof/>
          <w:sz w:val="18"/>
        </w:rPr>
        <w:t xml:space="preserve"> w</w:t>
      </w:r>
      <w:r w:rsidR="00DD1DFA">
        <w:rPr>
          <w:noProof/>
          <w:sz w:val="18"/>
        </w:rPr>
        <w:t> </w:t>
      </w:r>
      <w:r w:rsidR="00DD1DFA" w:rsidRPr="00DD1DFA">
        <w:rPr>
          <w:noProof/>
          <w:sz w:val="18"/>
        </w:rPr>
        <w:t>świ</w:t>
      </w:r>
      <w:r w:rsidRPr="00DD1DFA">
        <w:rPr>
          <w:noProof/>
          <w:sz w:val="18"/>
        </w:rPr>
        <w:t>etle istniejących ograniczeń budżetowych.</w:t>
      </w:r>
    </w:p>
    <w:p w14:paraId="65183D80" w14:textId="77777777" w:rsidR="005D44AF" w:rsidRPr="00DD1DFA" w:rsidRDefault="005D44AF" w:rsidP="005D44AF">
      <w:pPr>
        <w:rPr>
          <w:noProof/>
          <w:sz w:val="18"/>
          <w:lang w:eastAsia="en-GB"/>
        </w:rPr>
        <w:sectPr w:rsidR="005D44AF" w:rsidRPr="00DD1DFA" w:rsidSect="0037392B">
          <w:headerReference w:type="default" r:id="rId15"/>
          <w:footerReference w:type="default" r:id="rId16"/>
          <w:headerReference w:type="first" r:id="rId17"/>
          <w:footerReference w:type="first" r:id="rId18"/>
          <w:pgSz w:w="16840" w:h="11907" w:orient="landscape"/>
          <w:pgMar w:top="1418" w:right="1134" w:bottom="1418" w:left="1134" w:header="709" w:footer="709" w:gutter="0"/>
          <w:cols w:space="708"/>
          <w:docGrid w:linePitch="360"/>
        </w:sectPr>
      </w:pPr>
    </w:p>
    <w:p w14:paraId="6DFC4FFB" w14:textId="77777777" w:rsidR="006352ED" w:rsidRPr="00DD1DFA" w:rsidRDefault="006352ED" w:rsidP="00C60650">
      <w:pPr>
        <w:keepNext/>
        <w:outlineLvl w:val="3"/>
        <w:rPr>
          <w:rFonts w:eastAsiaTheme="majorEastAsia"/>
          <w:iCs/>
          <w:noProof/>
          <w:szCs w:val="24"/>
        </w:rPr>
      </w:pPr>
      <w:r w:rsidRPr="00DD1DFA">
        <w:rPr>
          <w:noProof/>
        </w:rPr>
        <w:t xml:space="preserve">Szacowane zapotrzebowanie na zasoby ludzkie </w:t>
      </w:r>
    </w:p>
    <w:p w14:paraId="03955363" w14:textId="5F1B4805" w:rsidR="005D44AF" w:rsidRPr="00DD1DFA" w:rsidRDefault="005D44AF" w:rsidP="005D44AF">
      <w:pPr>
        <w:tabs>
          <w:tab w:val="num" w:pos="1134"/>
        </w:tabs>
        <w:ind w:left="1134" w:hanging="283"/>
        <w:rPr>
          <w:noProof/>
        </w:rPr>
      </w:pPr>
      <w:r w:rsidRPr="00DD1DFA">
        <w:rPr>
          <w:rFonts w:ascii="Wingdings" w:hAnsi="Wingdings"/>
          <w:noProof/>
        </w:rPr>
        <w:t></w:t>
      </w:r>
      <w:r w:rsidRPr="00DD1DFA">
        <w:rPr>
          <w:noProof/>
        </w:rPr>
        <w:tab/>
        <w:t>Wniosek/inicjatywa nie wiąże się</w:t>
      </w:r>
      <w:r w:rsidR="00DD1DFA" w:rsidRPr="00DD1DFA">
        <w:rPr>
          <w:noProof/>
        </w:rPr>
        <w:t xml:space="preserve"> z</w:t>
      </w:r>
      <w:r w:rsidR="00DD1DFA">
        <w:rPr>
          <w:noProof/>
        </w:rPr>
        <w:t> </w:t>
      </w:r>
      <w:r w:rsidR="00DD1DFA" w:rsidRPr="00DD1DFA">
        <w:rPr>
          <w:noProof/>
        </w:rPr>
        <w:t>kon</w:t>
      </w:r>
      <w:r w:rsidRPr="00DD1DFA">
        <w:rPr>
          <w:noProof/>
        </w:rPr>
        <w:t xml:space="preserve">iecznością wykorzystania zasobów ludzkich. </w:t>
      </w:r>
    </w:p>
    <w:p w14:paraId="12ACB28B" w14:textId="635CF1FF" w:rsidR="005D44AF" w:rsidRPr="00DD1DFA" w:rsidRDefault="005D44AF" w:rsidP="005D44AF">
      <w:pPr>
        <w:tabs>
          <w:tab w:val="num" w:pos="1134"/>
        </w:tabs>
        <w:ind w:left="1134" w:hanging="283"/>
        <w:rPr>
          <w:rFonts w:asciiTheme="minorHAnsi" w:eastAsiaTheme="minorEastAsia" w:hAnsiTheme="minorHAnsi" w:cstheme="minorBidi"/>
          <w:noProof/>
          <w:szCs w:val="24"/>
        </w:rPr>
      </w:pPr>
      <w:r w:rsidRPr="00DD1DFA">
        <w:rPr>
          <w:rFonts w:ascii="Wingdings" w:hAnsi="Wingdings"/>
          <w:noProof/>
          <w:color w:val="341A51"/>
          <w:sz w:val="22"/>
          <w:u w:val="single"/>
        </w:rPr>
        <w:t></w:t>
      </w:r>
      <w:r w:rsidRPr="00DD1DFA">
        <w:rPr>
          <w:noProof/>
        </w:rPr>
        <w:tab/>
      </w:r>
      <w:r w:rsidRPr="00DD1DFA">
        <w:rPr>
          <w:rFonts w:ascii="Wingdings" w:hAnsi="Wingdings"/>
          <w:noProof/>
        </w:rPr>
        <w:t></w:t>
      </w:r>
      <w:r w:rsidRPr="00DD1DFA">
        <w:rPr>
          <w:noProof/>
        </w:rPr>
        <w:t>Wniosek/inicjatywa wiąże się</w:t>
      </w:r>
      <w:r w:rsidR="00DD1DFA" w:rsidRPr="00DD1DFA">
        <w:rPr>
          <w:noProof/>
        </w:rPr>
        <w:t xml:space="preserve"> z</w:t>
      </w:r>
      <w:r w:rsidR="00DD1DFA">
        <w:rPr>
          <w:noProof/>
        </w:rPr>
        <w:t> </w:t>
      </w:r>
      <w:r w:rsidR="00DD1DFA" w:rsidRPr="00DD1DFA">
        <w:rPr>
          <w:noProof/>
        </w:rPr>
        <w:t>kon</w:t>
      </w:r>
      <w:r w:rsidRPr="00DD1DFA">
        <w:rPr>
          <w:noProof/>
        </w:rPr>
        <w:t>iecznością wykorzystania zasobów ludzkich, jak określono poniżej:</w:t>
      </w:r>
    </w:p>
    <w:p w14:paraId="064A2D1B" w14:textId="3DF01819" w:rsidR="005D44AF" w:rsidRPr="00DD1DFA" w:rsidRDefault="005D44AF" w:rsidP="005D44AF">
      <w:pPr>
        <w:spacing w:after="60"/>
        <w:jc w:val="right"/>
        <w:rPr>
          <w:i/>
          <w:noProof/>
          <w:sz w:val="20"/>
        </w:rPr>
      </w:pPr>
      <w:r w:rsidRPr="00DD1DFA">
        <w:rPr>
          <w:i/>
          <w:noProof/>
          <w:sz w:val="20"/>
        </w:rPr>
        <w:t>Wartości szacunkowe należy wyrazić</w:t>
      </w:r>
      <w:r w:rsidR="00DD1DFA" w:rsidRPr="00DD1DFA">
        <w:rPr>
          <w:i/>
          <w:noProof/>
          <w:sz w:val="20"/>
        </w:rPr>
        <w:t xml:space="preserve"> w</w:t>
      </w:r>
      <w:r w:rsidR="00DD1DFA">
        <w:rPr>
          <w:i/>
          <w:noProof/>
          <w:sz w:val="20"/>
        </w:rPr>
        <w:t> </w:t>
      </w:r>
      <w:r w:rsidR="00DD1DFA" w:rsidRPr="00DD1DFA">
        <w:rPr>
          <w:i/>
          <w:noProof/>
          <w:sz w:val="20"/>
        </w:rPr>
        <w:t>ekw</w:t>
      </w:r>
      <w:r w:rsidRPr="00DD1DFA">
        <w:rPr>
          <w:i/>
          <w:noProof/>
          <w:sz w:val="20"/>
        </w:rPr>
        <w:t>iwalentach pełnego czasu pracy</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rsidR="005D44AF" w:rsidRPr="00DD1DFA" w14:paraId="7EA1BD6A" w14:textId="77777777" w:rsidTr="00380F0F">
        <w:trPr>
          <w:gridBefore w:val="1"/>
          <w:wBefore w:w="15" w:type="dxa"/>
          <w:trHeight w:val="289"/>
          <w:jc w:val="center"/>
        </w:trPr>
        <w:tc>
          <w:tcPr>
            <w:tcW w:w="4754" w:type="dxa"/>
            <w:gridSpan w:val="2"/>
            <w:shd w:val="clear" w:color="auto" w:fill="auto"/>
          </w:tcPr>
          <w:p w14:paraId="66B11788" w14:textId="77777777" w:rsidR="005D44AF" w:rsidRPr="00DD1DFA" w:rsidRDefault="005D44AF" w:rsidP="005D44AF">
            <w:pPr>
              <w:spacing w:before="40" w:after="40"/>
              <w:jc w:val="center"/>
              <w:rPr>
                <w:i/>
                <w:noProof/>
                <w:sz w:val="16"/>
                <w:szCs w:val="16"/>
                <w:lang w:eastAsia="en-GB"/>
              </w:rPr>
            </w:pPr>
          </w:p>
        </w:tc>
        <w:tc>
          <w:tcPr>
            <w:tcW w:w="731" w:type="dxa"/>
            <w:shd w:val="clear" w:color="auto" w:fill="auto"/>
            <w:vAlign w:val="center"/>
          </w:tcPr>
          <w:p w14:paraId="32E0BB7C" w14:textId="77777777" w:rsidR="005D44AF" w:rsidRPr="00DD1DFA" w:rsidRDefault="005D44AF" w:rsidP="005D44AF">
            <w:pPr>
              <w:spacing w:before="20" w:after="20"/>
              <w:jc w:val="center"/>
              <w:rPr>
                <w:noProof/>
                <w:sz w:val="16"/>
                <w:szCs w:val="16"/>
              </w:rPr>
            </w:pPr>
            <w:r w:rsidRPr="00DD1DFA">
              <w:rPr>
                <w:noProof/>
                <w:sz w:val="20"/>
              </w:rPr>
              <w:t>Rok</w:t>
            </w:r>
            <w:r w:rsidRPr="00DD1DFA">
              <w:rPr>
                <w:noProof/>
              </w:rPr>
              <w:t xml:space="preserve"> </w:t>
            </w:r>
            <w:r w:rsidRPr="00DD1DFA">
              <w:rPr>
                <w:noProof/>
              </w:rPr>
              <w:br/>
            </w:r>
            <w:r w:rsidRPr="00DD1DFA">
              <w:rPr>
                <w:b/>
                <w:noProof/>
                <w:sz w:val="20"/>
              </w:rPr>
              <w:t>2024</w:t>
            </w:r>
          </w:p>
        </w:tc>
        <w:tc>
          <w:tcPr>
            <w:tcW w:w="731" w:type="dxa"/>
            <w:shd w:val="clear" w:color="auto" w:fill="auto"/>
            <w:vAlign w:val="center"/>
          </w:tcPr>
          <w:p w14:paraId="72856048" w14:textId="77777777" w:rsidR="005D44AF" w:rsidRPr="00DD1DFA" w:rsidRDefault="005D44AF" w:rsidP="005D44AF">
            <w:pPr>
              <w:spacing w:before="20" w:after="20"/>
              <w:jc w:val="center"/>
              <w:rPr>
                <w:noProof/>
                <w:sz w:val="16"/>
                <w:szCs w:val="16"/>
              </w:rPr>
            </w:pPr>
            <w:r w:rsidRPr="00DD1DFA">
              <w:rPr>
                <w:noProof/>
                <w:sz w:val="20"/>
              </w:rPr>
              <w:t>Rok</w:t>
            </w:r>
            <w:r w:rsidRPr="00DD1DFA">
              <w:rPr>
                <w:noProof/>
              </w:rPr>
              <w:t xml:space="preserve"> </w:t>
            </w:r>
            <w:r w:rsidRPr="00DD1DFA">
              <w:rPr>
                <w:noProof/>
              </w:rPr>
              <w:br/>
            </w:r>
            <w:r w:rsidRPr="00DD1DFA">
              <w:rPr>
                <w:b/>
                <w:noProof/>
                <w:sz w:val="20"/>
              </w:rPr>
              <w:t>2025</w:t>
            </w:r>
          </w:p>
        </w:tc>
        <w:tc>
          <w:tcPr>
            <w:tcW w:w="731" w:type="dxa"/>
            <w:shd w:val="clear" w:color="auto" w:fill="auto"/>
            <w:vAlign w:val="center"/>
          </w:tcPr>
          <w:p w14:paraId="01CB9B01" w14:textId="77777777" w:rsidR="005D44AF" w:rsidRPr="00DD1DFA" w:rsidRDefault="005D44AF" w:rsidP="005D44AF">
            <w:pPr>
              <w:spacing w:before="20" w:after="20"/>
              <w:jc w:val="center"/>
              <w:rPr>
                <w:noProof/>
                <w:sz w:val="16"/>
                <w:szCs w:val="16"/>
              </w:rPr>
            </w:pPr>
            <w:r w:rsidRPr="00DD1DFA">
              <w:rPr>
                <w:noProof/>
                <w:sz w:val="20"/>
              </w:rPr>
              <w:t>Rok</w:t>
            </w:r>
            <w:r w:rsidRPr="00DD1DFA">
              <w:rPr>
                <w:noProof/>
              </w:rPr>
              <w:t xml:space="preserve"> </w:t>
            </w:r>
            <w:r w:rsidRPr="00DD1DFA">
              <w:rPr>
                <w:noProof/>
              </w:rPr>
              <w:br/>
            </w:r>
            <w:r w:rsidRPr="00DD1DFA">
              <w:rPr>
                <w:b/>
                <w:noProof/>
                <w:sz w:val="20"/>
              </w:rPr>
              <w:t>2026</w:t>
            </w:r>
          </w:p>
        </w:tc>
        <w:tc>
          <w:tcPr>
            <w:tcW w:w="731" w:type="dxa"/>
            <w:shd w:val="clear" w:color="auto" w:fill="auto"/>
            <w:vAlign w:val="center"/>
          </w:tcPr>
          <w:p w14:paraId="7B0617C1" w14:textId="77777777" w:rsidR="005D44AF" w:rsidRPr="00DD1DFA" w:rsidRDefault="005D44AF" w:rsidP="005D44AF">
            <w:pPr>
              <w:spacing w:before="20" w:after="20"/>
              <w:jc w:val="center"/>
              <w:rPr>
                <w:noProof/>
                <w:sz w:val="16"/>
                <w:szCs w:val="16"/>
              </w:rPr>
            </w:pPr>
            <w:r w:rsidRPr="00DD1DFA">
              <w:rPr>
                <w:noProof/>
                <w:sz w:val="20"/>
              </w:rPr>
              <w:t>Rok</w:t>
            </w:r>
            <w:r w:rsidRPr="00DD1DFA">
              <w:rPr>
                <w:noProof/>
              </w:rPr>
              <w:t xml:space="preserve"> </w:t>
            </w:r>
            <w:r w:rsidRPr="00DD1DFA">
              <w:rPr>
                <w:noProof/>
              </w:rPr>
              <w:br/>
            </w:r>
            <w:r w:rsidRPr="00DD1DFA">
              <w:rPr>
                <w:b/>
                <w:noProof/>
                <w:sz w:val="20"/>
              </w:rPr>
              <w:t>2027</w:t>
            </w:r>
          </w:p>
        </w:tc>
        <w:tc>
          <w:tcPr>
            <w:tcW w:w="731" w:type="dxa"/>
            <w:shd w:val="clear" w:color="auto" w:fill="auto"/>
            <w:vAlign w:val="center"/>
          </w:tcPr>
          <w:p w14:paraId="33CA2F44" w14:textId="77777777" w:rsidR="005D44AF" w:rsidRPr="00DD1DFA" w:rsidRDefault="005D44AF" w:rsidP="005D44AF">
            <w:pPr>
              <w:jc w:val="center"/>
              <w:rPr>
                <w:b/>
                <w:noProof/>
                <w:sz w:val="16"/>
                <w:szCs w:val="16"/>
              </w:rPr>
            </w:pPr>
            <w:r w:rsidRPr="00DD1DFA">
              <w:rPr>
                <w:noProof/>
                <w:sz w:val="20"/>
              </w:rPr>
              <w:t>Rok</w:t>
            </w:r>
            <w:r w:rsidRPr="00DD1DFA">
              <w:rPr>
                <w:noProof/>
              </w:rPr>
              <w:t xml:space="preserve"> </w:t>
            </w:r>
            <w:r w:rsidRPr="00DD1DFA">
              <w:rPr>
                <w:noProof/>
              </w:rPr>
              <w:br/>
            </w:r>
            <w:r w:rsidRPr="00DD1DFA">
              <w:rPr>
                <w:b/>
                <w:noProof/>
                <w:sz w:val="20"/>
              </w:rPr>
              <w:t>2028</w:t>
            </w:r>
          </w:p>
        </w:tc>
        <w:tc>
          <w:tcPr>
            <w:tcW w:w="731" w:type="dxa"/>
            <w:shd w:val="clear" w:color="auto" w:fill="auto"/>
            <w:vAlign w:val="center"/>
          </w:tcPr>
          <w:p w14:paraId="6E8420B0" w14:textId="77777777" w:rsidR="005D44AF" w:rsidRPr="00DD1DFA" w:rsidRDefault="005D44AF" w:rsidP="005D44AF">
            <w:pPr>
              <w:jc w:val="center"/>
              <w:rPr>
                <w:b/>
                <w:noProof/>
                <w:sz w:val="16"/>
                <w:szCs w:val="16"/>
              </w:rPr>
            </w:pPr>
            <w:r w:rsidRPr="00DD1DFA">
              <w:rPr>
                <w:b/>
                <w:noProof/>
                <w:sz w:val="18"/>
              </w:rPr>
              <w:t>Rok</w:t>
            </w:r>
            <w:r w:rsidRPr="00DD1DFA">
              <w:rPr>
                <w:noProof/>
              </w:rPr>
              <w:t xml:space="preserve"> </w:t>
            </w:r>
            <w:r w:rsidRPr="00DD1DFA">
              <w:rPr>
                <w:noProof/>
              </w:rPr>
              <w:br/>
            </w:r>
            <w:r w:rsidRPr="00DD1DFA">
              <w:rPr>
                <w:b/>
                <w:noProof/>
                <w:sz w:val="18"/>
              </w:rPr>
              <w:t>2029</w:t>
            </w:r>
          </w:p>
        </w:tc>
        <w:tc>
          <w:tcPr>
            <w:tcW w:w="731" w:type="dxa"/>
            <w:shd w:val="clear" w:color="auto" w:fill="auto"/>
            <w:vAlign w:val="center"/>
          </w:tcPr>
          <w:p w14:paraId="5DE6E9BC" w14:textId="77777777" w:rsidR="005D44AF" w:rsidRPr="00DD1DFA" w:rsidRDefault="005D44AF" w:rsidP="005D44AF">
            <w:pPr>
              <w:jc w:val="center"/>
              <w:rPr>
                <w:b/>
                <w:noProof/>
                <w:sz w:val="16"/>
                <w:szCs w:val="16"/>
              </w:rPr>
            </w:pPr>
            <w:r w:rsidRPr="00DD1DFA">
              <w:rPr>
                <w:b/>
                <w:noProof/>
                <w:sz w:val="18"/>
              </w:rPr>
              <w:t>Po</w:t>
            </w:r>
            <w:r w:rsidRPr="00DD1DFA">
              <w:rPr>
                <w:noProof/>
              </w:rPr>
              <w:t xml:space="preserve"> </w:t>
            </w:r>
            <w:r w:rsidRPr="00DD1DFA">
              <w:rPr>
                <w:noProof/>
              </w:rPr>
              <w:br/>
            </w:r>
            <w:r w:rsidRPr="00DD1DFA">
              <w:rPr>
                <w:b/>
                <w:noProof/>
                <w:sz w:val="18"/>
              </w:rPr>
              <w:t>2029</w:t>
            </w:r>
          </w:p>
        </w:tc>
      </w:tr>
      <w:tr w:rsidR="005D44AF" w:rsidRPr="00DD1DFA" w14:paraId="1756AFD4" w14:textId="77777777" w:rsidTr="00380F0F">
        <w:trPr>
          <w:gridBefore w:val="1"/>
          <w:wBefore w:w="15" w:type="dxa"/>
          <w:trHeight w:val="289"/>
          <w:jc w:val="center"/>
        </w:trPr>
        <w:tc>
          <w:tcPr>
            <w:tcW w:w="9871" w:type="dxa"/>
            <w:gridSpan w:val="9"/>
            <w:shd w:val="clear" w:color="auto" w:fill="auto"/>
          </w:tcPr>
          <w:p w14:paraId="1DEC8FD5" w14:textId="7CED3A04" w:rsidR="005D44AF" w:rsidRPr="00DD1DFA" w:rsidRDefault="005D44AF" w:rsidP="005D44AF">
            <w:pPr>
              <w:jc w:val="left"/>
              <w:rPr>
                <w:noProof/>
                <w:sz w:val="16"/>
                <w:szCs w:val="16"/>
              </w:rPr>
            </w:pPr>
            <w:r w:rsidRPr="00DD1DFA">
              <w:rPr>
                <w:rFonts w:ascii="Wingdings" w:hAnsi="Wingdings"/>
                <w:b/>
                <w:noProof/>
                <w:sz w:val="16"/>
              </w:rPr>
              <w:t>□</w:t>
            </w:r>
            <w:r w:rsidRPr="00DD1DFA">
              <w:rPr>
                <w:b/>
                <w:noProof/>
                <w:sz w:val="16"/>
              </w:rPr>
              <w:t xml:space="preserve"> Stanowiska przewidziane</w:t>
            </w:r>
            <w:r w:rsidR="00DD1DFA" w:rsidRPr="00DD1DFA">
              <w:rPr>
                <w:b/>
                <w:noProof/>
                <w:sz w:val="16"/>
              </w:rPr>
              <w:t xml:space="preserve"> w</w:t>
            </w:r>
            <w:r w:rsidR="00DD1DFA">
              <w:rPr>
                <w:b/>
                <w:noProof/>
                <w:sz w:val="16"/>
              </w:rPr>
              <w:t> </w:t>
            </w:r>
            <w:r w:rsidR="00DD1DFA" w:rsidRPr="00DD1DFA">
              <w:rPr>
                <w:b/>
                <w:noProof/>
                <w:sz w:val="16"/>
              </w:rPr>
              <w:t>pla</w:t>
            </w:r>
            <w:r w:rsidRPr="00DD1DFA">
              <w:rPr>
                <w:b/>
                <w:noProof/>
                <w:sz w:val="16"/>
              </w:rPr>
              <w:t>nie zatrudnienia (stanowiska urzędników</w:t>
            </w:r>
            <w:r w:rsidR="00DD1DFA" w:rsidRPr="00DD1DFA">
              <w:rPr>
                <w:b/>
                <w:noProof/>
                <w:sz w:val="16"/>
              </w:rPr>
              <w:t xml:space="preserve"> i</w:t>
            </w:r>
            <w:r w:rsidR="00DD1DFA">
              <w:rPr>
                <w:b/>
                <w:noProof/>
                <w:sz w:val="16"/>
              </w:rPr>
              <w:t> </w:t>
            </w:r>
            <w:r w:rsidR="00DD1DFA" w:rsidRPr="00DD1DFA">
              <w:rPr>
                <w:b/>
                <w:noProof/>
                <w:sz w:val="16"/>
              </w:rPr>
              <w:t>pra</w:t>
            </w:r>
            <w:r w:rsidRPr="00DD1DFA">
              <w:rPr>
                <w:b/>
                <w:noProof/>
                <w:sz w:val="16"/>
              </w:rPr>
              <w:t>cowników zatrudnionych na czas określony)</w:t>
            </w:r>
          </w:p>
        </w:tc>
      </w:tr>
      <w:tr w:rsidR="005D44AF" w:rsidRPr="00DD1DFA" w14:paraId="309115D6" w14:textId="77777777" w:rsidTr="00380F0F">
        <w:trPr>
          <w:gridBefore w:val="1"/>
          <w:wBefore w:w="15" w:type="dxa"/>
          <w:trHeight w:val="289"/>
          <w:jc w:val="center"/>
        </w:trPr>
        <w:tc>
          <w:tcPr>
            <w:tcW w:w="4754" w:type="dxa"/>
            <w:gridSpan w:val="2"/>
            <w:shd w:val="clear" w:color="auto" w:fill="auto"/>
            <w:vAlign w:val="center"/>
          </w:tcPr>
          <w:p w14:paraId="73A41C7F" w14:textId="02408516" w:rsidR="005D44AF" w:rsidRPr="00DD1DFA" w:rsidRDefault="005D44AF" w:rsidP="005D44AF">
            <w:pPr>
              <w:spacing w:beforeLines="20" w:before="48" w:afterLines="20" w:after="48"/>
              <w:ind w:left="134"/>
              <w:jc w:val="left"/>
              <w:rPr>
                <w:b/>
                <w:noProof/>
                <w:sz w:val="16"/>
                <w:szCs w:val="16"/>
              </w:rPr>
            </w:pPr>
            <w:r w:rsidRPr="00DD1DFA">
              <w:rPr>
                <w:noProof/>
                <w:sz w:val="16"/>
              </w:rPr>
              <w:t>20 01 02 01</w:t>
            </w:r>
            <w:r w:rsidRPr="00DD1DFA">
              <w:rPr>
                <w:rFonts w:ascii="Arial Narrow" w:hAnsi="Arial Narrow"/>
                <w:noProof/>
                <w:color w:val="000000"/>
                <w:sz w:val="20"/>
                <w:szCs w:val="20"/>
              </w:rPr>
              <w:t xml:space="preserve"> </w:t>
            </w:r>
            <w:r w:rsidRPr="00DD1DFA">
              <w:rPr>
                <w:noProof/>
                <w:sz w:val="16"/>
              </w:rPr>
              <w:t>(w centrali</w:t>
            </w:r>
            <w:r w:rsidR="00DD1DFA" w:rsidRPr="00DD1DFA">
              <w:rPr>
                <w:noProof/>
                <w:sz w:val="16"/>
              </w:rPr>
              <w:t xml:space="preserve"> i</w:t>
            </w:r>
            <w:r w:rsidR="00DD1DFA">
              <w:rPr>
                <w:noProof/>
                <w:sz w:val="16"/>
              </w:rPr>
              <w:t> </w:t>
            </w:r>
            <w:r w:rsidR="00DD1DFA" w:rsidRPr="00DD1DFA">
              <w:rPr>
                <w:noProof/>
                <w:sz w:val="16"/>
              </w:rPr>
              <w:t>w</w:t>
            </w:r>
            <w:r w:rsidR="00DD1DFA">
              <w:rPr>
                <w:noProof/>
                <w:sz w:val="16"/>
              </w:rPr>
              <w:t> </w:t>
            </w:r>
            <w:r w:rsidR="00DD1DFA" w:rsidRPr="00DD1DFA">
              <w:rPr>
                <w:noProof/>
                <w:sz w:val="16"/>
              </w:rPr>
              <w:t>biu</w:t>
            </w:r>
            <w:r w:rsidRPr="00DD1DFA">
              <w:rPr>
                <w:noProof/>
                <w:sz w:val="16"/>
              </w:rPr>
              <w:t>rach przedstawicielstw Komisj</w:t>
            </w:r>
            <w:r w:rsidR="00DD1DFA" w:rsidRPr="00DD1DFA">
              <w:rPr>
                <w:noProof/>
                <w:sz w:val="16"/>
              </w:rPr>
              <w:t>i)</w:t>
            </w:r>
          </w:p>
        </w:tc>
        <w:tc>
          <w:tcPr>
            <w:tcW w:w="731" w:type="dxa"/>
            <w:shd w:val="clear" w:color="auto" w:fill="auto"/>
            <w:vAlign w:val="center"/>
          </w:tcPr>
          <w:p w14:paraId="79E63516" w14:textId="77777777" w:rsidR="005D44AF" w:rsidRPr="00DD1DFA" w:rsidRDefault="005D44AF" w:rsidP="005D44AF">
            <w:pPr>
              <w:spacing w:beforeLines="20" w:before="48" w:afterLines="20" w:after="48"/>
              <w:jc w:val="center"/>
              <w:rPr>
                <w:noProof/>
                <w:sz w:val="16"/>
                <w:szCs w:val="16"/>
              </w:rPr>
            </w:pPr>
            <w:r w:rsidRPr="00DD1DFA">
              <w:rPr>
                <w:noProof/>
                <w:sz w:val="16"/>
                <w:szCs w:val="16"/>
              </w:rPr>
              <w:t>7</w:t>
            </w:r>
          </w:p>
        </w:tc>
        <w:tc>
          <w:tcPr>
            <w:tcW w:w="731" w:type="dxa"/>
            <w:shd w:val="clear" w:color="auto" w:fill="auto"/>
            <w:vAlign w:val="center"/>
          </w:tcPr>
          <w:p w14:paraId="0F8F7E10" w14:textId="77777777" w:rsidR="005D44AF" w:rsidRPr="00DD1DFA" w:rsidRDefault="005D44AF" w:rsidP="005D44AF">
            <w:pPr>
              <w:spacing w:beforeLines="20" w:before="48" w:afterLines="20" w:after="48"/>
              <w:jc w:val="center"/>
              <w:rPr>
                <w:noProof/>
                <w:sz w:val="16"/>
                <w:szCs w:val="16"/>
              </w:rPr>
            </w:pPr>
            <w:r w:rsidRPr="00DD1DFA">
              <w:rPr>
                <w:noProof/>
                <w:sz w:val="16"/>
                <w:szCs w:val="16"/>
              </w:rPr>
              <w:t>7</w:t>
            </w:r>
          </w:p>
        </w:tc>
        <w:tc>
          <w:tcPr>
            <w:tcW w:w="731" w:type="dxa"/>
            <w:shd w:val="clear" w:color="auto" w:fill="auto"/>
            <w:vAlign w:val="center"/>
          </w:tcPr>
          <w:p w14:paraId="0EE3E30A" w14:textId="77777777" w:rsidR="005D44AF" w:rsidRPr="00DD1DFA" w:rsidRDefault="005D44AF" w:rsidP="005D44AF">
            <w:pPr>
              <w:spacing w:beforeLines="20" w:before="48" w:afterLines="20" w:after="48"/>
              <w:jc w:val="center"/>
              <w:rPr>
                <w:noProof/>
                <w:sz w:val="16"/>
                <w:szCs w:val="16"/>
              </w:rPr>
            </w:pPr>
            <w:r w:rsidRPr="00DD1DFA">
              <w:rPr>
                <w:noProof/>
                <w:sz w:val="16"/>
                <w:szCs w:val="16"/>
              </w:rPr>
              <w:t>7</w:t>
            </w:r>
          </w:p>
        </w:tc>
        <w:tc>
          <w:tcPr>
            <w:tcW w:w="731" w:type="dxa"/>
            <w:shd w:val="clear" w:color="auto" w:fill="auto"/>
            <w:vAlign w:val="center"/>
          </w:tcPr>
          <w:p w14:paraId="5789A516" w14:textId="77777777" w:rsidR="005D44AF" w:rsidRPr="00DD1DFA" w:rsidRDefault="005D44AF" w:rsidP="005D44AF">
            <w:pPr>
              <w:spacing w:beforeLines="20" w:before="48" w:afterLines="20" w:after="48"/>
              <w:jc w:val="center"/>
              <w:rPr>
                <w:noProof/>
                <w:sz w:val="16"/>
                <w:szCs w:val="16"/>
              </w:rPr>
            </w:pPr>
            <w:r w:rsidRPr="00DD1DFA">
              <w:rPr>
                <w:noProof/>
                <w:sz w:val="16"/>
                <w:szCs w:val="16"/>
              </w:rPr>
              <w:t>6</w:t>
            </w:r>
          </w:p>
        </w:tc>
        <w:tc>
          <w:tcPr>
            <w:tcW w:w="731" w:type="dxa"/>
            <w:shd w:val="clear" w:color="auto" w:fill="auto"/>
            <w:vAlign w:val="center"/>
          </w:tcPr>
          <w:p w14:paraId="568F2E82" w14:textId="77777777" w:rsidR="005D44AF" w:rsidRPr="00DD1DFA" w:rsidRDefault="005D44AF" w:rsidP="005D44AF">
            <w:pPr>
              <w:spacing w:beforeLines="20" w:before="48" w:afterLines="20" w:after="48"/>
              <w:jc w:val="center"/>
              <w:rPr>
                <w:noProof/>
                <w:sz w:val="16"/>
                <w:szCs w:val="16"/>
              </w:rPr>
            </w:pPr>
            <w:r w:rsidRPr="00DD1DFA">
              <w:rPr>
                <w:noProof/>
                <w:sz w:val="16"/>
                <w:szCs w:val="16"/>
              </w:rPr>
              <w:t>6</w:t>
            </w:r>
          </w:p>
        </w:tc>
        <w:tc>
          <w:tcPr>
            <w:tcW w:w="731" w:type="dxa"/>
            <w:shd w:val="clear" w:color="auto" w:fill="auto"/>
            <w:vAlign w:val="center"/>
          </w:tcPr>
          <w:p w14:paraId="4DF8122F" w14:textId="77777777" w:rsidR="005D44AF" w:rsidRPr="00DD1DFA" w:rsidRDefault="005D44AF" w:rsidP="005D44AF">
            <w:pPr>
              <w:spacing w:beforeLines="20" w:before="48" w:afterLines="20" w:after="48"/>
              <w:jc w:val="center"/>
              <w:rPr>
                <w:noProof/>
                <w:sz w:val="16"/>
                <w:szCs w:val="16"/>
              </w:rPr>
            </w:pPr>
            <w:r w:rsidRPr="00DD1DFA">
              <w:rPr>
                <w:noProof/>
                <w:sz w:val="16"/>
                <w:szCs w:val="16"/>
              </w:rPr>
              <w:t>4</w:t>
            </w:r>
          </w:p>
        </w:tc>
        <w:tc>
          <w:tcPr>
            <w:tcW w:w="731" w:type="dxa"/>
            <w:shd w:val="clear" w:color="auto" w:fill="BFBFBF" w:themeFill="background1" w:themeFillShade="BF"/>
            <w:vAlign w:val="center"/>
          </w:tcPr>
          <w:p w14:paraId="40DE7090"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1A808CF3" w14:textId="77777777" w:rsidTr="00380F0F">
        <w:trPr>
          <w:gridBefore w:val="1"/>
          <w:wBefore w:w="15" w:type="dxa"/>
          <w:trHeight w:val="289"/>
          <w:jc w:val="center"/>
        </w:trPr>
        <w:tc>
          <w:tcPr>
            <w:tcW w:w="4754" w:type="dxa"/>
            <w:gridSpan w:val="2"/>
            <w:shd w:val="clear" w:color="auto" w:fill="auto"/>
            <w:vAlign w:val="center"/>
          </w:tcPr>
          <w:p w14:paraId="48FF7E32" w14:textId="77777777" w:rsidR="005D44AF" w:rsidRPr="00DD1DFA" w:rsidRDefault="005D44AF" w:rsidP="005D44AF">
            <w:pPr>
              <w:spacing w:beforeLines="20" w:before="48" w:afterLines="20" w:after="48"/>
              <w:ind w:left="134"/>
              <w:jc w:val="left"/>
              <w:rPr>
                <w:noProof/>
                <w:sz w:val="16"/>
              </w:rPr>
            </w:pPr>
            <w:r w:rsidRPr="00DD1DFA">
              <w:rPr>
                <w:noProof/>
                <w:sz w:val="16"/>
              </w:rPr>
              <w:t>20 01 02 03 (w delegaturach)</w:t>
            </w:r>
          </w:p>
        </w:tc>
        <w:tc>
          <w:tcPr>
            <w:tcW w:w="731" w:type="dxa"/>
            <w:shd w:val="clear" w:color="auto" w:fill="auto"/>
            <w:vAlign w:val="center"/>
          </w:tcPr>
          <w:p w14:paraId="0C991AA3"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89F83DA"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4A923B94"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704807E"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32C258E9"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4D9B523"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F06FF65"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3B70E5B5" w14:textId="77777777" w:rsidTr="00380F0F">
        <w:trPr>
          <w:gridBefore w:val="1"/>
          <w:wBefore w:w="15" w:type="dxa"/>
          <w:trHeight w:val="289"/>
          <w:jc w:val="center"/>
        </w:trPr>
        <w:tc>
          <w:tcPr>
            <w:tcW w:w="4754" w:type="dxa"/>
            <w:gridSpan w:val="2"/>
            <w:shd w:val="clear" w:color="auto" w:fill="auto"/>
            <w:vAlign w:val="center"/>
          </w:tcPr>
          <w:p w14:paraId="50AC1626" w14:textId="77777777" w:rsidR="005D44AF" w:rsidRPr="00DD1DFA" w:rsidRDefault="005D44AF" w:rsidP="005D44AF">
            <w:pPr>
              <w:spacing w:beforeLines="20" w:before="48" w:afterLines="20" w:after="48"/>
              <w:ind w:left="134"/>
              <w:jc w:val="left"/>
              <w:rPr>
                <w:noProof/>
                <w:sz w:val="16"/>
                <w:szCs w:val="16"/>
              </w:rPr>
            </w:pPr>
            <w:r w:rsidRPr="00DD1DFA">
              <w:rPr>
                <w:noProof/>
                <w:sz w:val="16"/>
              </w:rPr>
              <w:t>01 01 01 01</w:t>
            </w:r>
            <w:r w:rsidRPr="00DD1DFA">
              <w:rPr>
                <w:rFonts w:ascii="Arial Narrow" w:hAnsi="Arial Narrow"/>
                <w:noProof/>
                <w:color w:val="000000"/>
                <w:sz w:val="20"/>
                <w:szCs w:val="20"/>
              </w:rPr>
              <w:t xml:space="preserve"> </w:t>
            </w:r>
            <w:r w:rsidRPr="00DD1DFA">
              <w:rPr>
                <w:noProof/>
                <w:sz w:val="16"/>
              </w:rPr>
              <w:t>(pośrednie badania naukowe)</w:t>
            </w:r>
          </w:p>
        </w:tc>
        <w:tc>
          <w:tcPr>
            <w:tcW w:w="731" w:type="dxa"/>
            <w:shd w:val="clear" w:color="auto" w:fill="auto"/>
            <w:vAlign w:val="center"/>
          </w:tcPr>
          <w:p w14:paraId="74DAA1C5"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27CE6F9"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CB5A139"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2EF6B51E"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498F0D37"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FFAD2F5"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247BC63D"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1B5A18D8" w14:textId="77777777" w:rsidTr="00380F0F">
        <w:trPr>
          <w:gridBefore w:val="1"/>
          <w:wBefore w:w="15" w:type="dxa"/>
          <w:trHeight w:val="289"/>
          <w:jc w:val="center"/>
        </w:trPr>
        <w:tc>
          <w:tcPr>
            <w:tcW w:w="4754" w:type="dxa"/>
            <w:gridSpan w:val="2"/>
            <w:shd w:val="clear" w:color="auto" w:fill="auto"/>
            <w:vAlign w:val="center"/>
          </w:tcPr>
          <w:p w14:paraId="75291888" w14:textId="77777777" w:rsidR="005D44AF" w:rsidRPr="00DD1DFA" w:rsidRDefault="005D44AF" w:rsidP="005D44AF">
            <w:pPr>
              <w:spacing w:beforeLines="20" w:before="48" w:afterLines="20" w:after="48"/>
              <w:ind w:left="134"/>
              <w:jc w:val="left"/>
              <w:rPr>
                <w:noProof/>
                <w:sz w:val="16"/>
                <w:szCs w:val="16"/>
              </w:rPr>
            </w:pPr>
            <w:r w:rsidRPr="00DD1DFA">
              <w:rPr>
                <w:noProof/>
                <w:sz w:val="16"/>
              </w:rPr>
              <w:t xml:space="preserve"> 01 01 01 11 (bezpośrednie badania naukowe)</w:t>
            </w:r>
          </w:p>
        </w:tc>
        <w:tc>
          <w:tcPr>
            <w:tcW w:w="731" w:type="dxa"/>
            <w:shd w:val="clear" w:color="auto" w:fill="auto"/>
            <w:vAlign w:val="center"/>
          </w:tcPr>
          <w:p w14:paraId="449F1A0F"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26B786A5"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9B52F92"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6EEE6C1"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76175779"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7883A33B"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D1A0C63"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323448C8" w14:textId="77777777" w:rsidTr="00380F0F">
        <w:trPr>
          <w:gridBefore w:val="1"/>
          <w:wBefore w:w="15" w:type="dxa"/>
          <w:trHeight w:val="289"/>
          <w:jc w:val="center"/>
        </w:trPr>
        <w:tc>
          <w:tcPr>
            <w:tcW w:w="4754" w:type="dxa"/>
            <w:gridSpan w:val="2"/>
            <w:shd w:val="clear" w:color="auto" w:fill="auto"/>
            <w:vAlign w:val="center"/>
          </w:tcPr>
          <w:p w14:paraId="6A77D914" w14:textId="77777777" w:rsidR="005D44AF" w:rsidRPr="00DD1DFA" w:rsidRDefault="005D44AF" w:rsidP="005D44AF">
            <w:pPr>
              <w:spacing w:beforeLines="20" w:before="48" w:afterLines="20" w:after="48"/>
              <w:ind w:left="134"/>
              <w:jc w:val="left"/>
              <w:rPr>
                <w:noProof/>
                <w:sz w:val="16"/>
              </w:rPr>
            </w:pPr>
            <w:r w:rsidRPr="00DD1DFA">
              <w:rPr>
                <w:noProof/>
                <w:sz w:val="16"/>
              </w:rPr>
              <w:t>Inne linie budżetowe (określić)</w:t>
            </w:r>
          </w:p>
        </w:tc>
        <w:tc>
          <w:tcPr>
            <w:tcW w:w="731" w:type="dxa"/>
            <w:shd w:val="clear" w:color="auto" w:fill="auto"/>
            <w:vAlign w:val="center"/>
          </w:tcPr>
          <w:p w14:paraId="12CFC077"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471753CC"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4F68649"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08A7BCE"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3BBC6D25"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46B40014"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273DEBA"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6AB3FBB6" w14:textId="77777777" w:rsidTr="00380F0F">
        <w:trPr>
          <w:trHeight w:val="248"/>
          <w:jc w:val="center"/>
        </w:trPr>
        <w:tc>
          <w:tcPr>
            <w:tcW w:w="9886" w:type="dxa"/>
            <w:gridSpan w:val="10"/>
            <w:shd w:val="clear" w:color="auto" w:fill="auto"/>
            <w:vAlign w:val="center"/>
          </w:tcPr>
          <w:p w14:paraId="1AD8F7E1" w14:textId="50537C2E" w:rsidR="005D44AF" w:rsidRPr="00DD1DFA" w:rsidRDefault="005D44AF" w:rsidP="005D44AF">
            <w:pPr>
              <w:spacing w:before="60" w:after="60"/>
              <w:jc w:val="left"/>
              <w:rPr>
                <w:b/>
                <w:noProof/>
                <w:sz w:val="16"/>
                <w:szCs w:val="16"/>
              </w:rPr>
            </w:pPr>
            <w:r w:rsidRPr="00DD1DFA">
              <w:rPr>
                <w:rFonts w:ascii="Wingdings" w:hAnsi="Wingdings"/>
                <w:b/>
                <w:noProof/>
                <w:sz w:val="16"/>
              </w:rPr>
              <w:t>□</w:t>
            </w:r>
            <w:r w:rsidRPr="00DD1DFA">
              <w:rPr>
                <w:b/>
                <w:noProof/>
                <w:sz w:val="16"/>
              </w:rPr>
              <w:t xml:space="preserve"> Personel zewnętrzny (w ekwiwalentach pełnego czasu pracy</w:t>
            </w:r>
            <w:r w:rsidR="00DD1DFA" w:rsidRPr="00DD1DFA">
              <w:rPr>
                <w:b/>
                <w:noProof/>
                <w:sz w:val="16"/>
              </w:rPr>
              <w:t>:)</w:t>
            </w:r>
            <w:r w:rsidRPr="00DD1DFA">
              <w:rPr>
                <w:rStyle w:val="Odwoanieprzypisudolnego"/>
                <w:noProof/>
              </w:rPr>
              <w:footnoteReference w:id="61"/>
            </w:r>
          </w:p>
          <w:p w14:paraId="10AA2757" w14:textId="77777777" w:rsidR="005D44AF" w:rsidRPr="00DD1DFA" w:rsidRDefault="005D44AF" w:rsidP="005D44AF">
            <w:pPr>
              <w:spacing w:before="0" w:after="0"/>
              <w:jc w:val="left"/>
              <w:rPr>
                <w:noProof/>
                <w:sz w:val="16"/>
                <w:szCs w:val="16"/>
                <w:lang w:eastAsia="en-GB"/>
              </w:rPr>
            </w:pPr>
          </w:p>
        </w:tc>
      </w:tr>
      <w:tr w:rsidR="005D44AF" w:rsidRPr="00DD1DFA" w14:paraId="70A3CD60" w14:textId="77777777" w:rsidTr="00380F0F">
        <w:trPr>
          <w:gridBefore w:val="1"/>
          <w:wBefore w:w="15" w:type="dxa"/>
          <w:trHeight w:val="289"/>
          <w:jc w:val="center"/>
        </w:trPr>
        <w:tc>
          <w:tcPr>
            <w:tcW w:w="4754" w:type="dxa"/>
            <w:gridSpan w:val="2"/>
            <w:shd w:val="clear" w:color="auto" w:fill="auto"/>
            <w:vAlign w:val="center"/>
          </w:tcPr>
          <w:p w14:paraId="15CC5D6C" w14:textId="5EEBCF11" w:rsidR="005D44AF" w:rsidRPr="00DD1DFA" w:rsidRDefault="005D44AF" w:rsidP="005D44AF">
            <w:pPr>
              <w:spacing w:beforeLines="20" w:before="48" w:afterLines="20" w:after="48"/>
              <w:ind w:left="136"/>
              <w:jc w:val="left"/>
              <w:rPr>
                <w:b/>
                <w:noProof/>
                <w:sz w:val="16"/>
                <w:szCs w:val="16"/>
              </w:rPr>
            </w:pPr>
            <w:r w:rsidRPr="00DD1DFA">
              <w:rPr>
                <w:noProof/>
                <w:sz w:val="16"/>
              </w:rPr>
              <w:t>20 02 01 (CA, SNE, INT</w:t>
            </w:r>
            <w:r w:rsidR="00DD1DFA" w:rsidRPr="00DD1DFA">
              <w:rPr>
                <w:noProof/>
                <w:sz w:val="16"/>
              </w:rPr>
              <w:t xml:space="preserve"> z</w:t>
            </w:r>
            <w:r w:rsidR="00DD1DFA">
              <w:rPr>
                <w:noProof/>
                <w:sz w:val="16"/>
              </w:rPr>
              <w:t> </w:t>
            </w:r>
            <w:r w:rsidR="00DD1DFA" w:rsidRPr="00DD1DFA">
              <w:rPr>
                <w:noProof/>
                <w:sz w:val="16"/>
              </w:rPr>
              <w:t>glo</w:t>
            </w:r>
            <w:r w:rsidRPr="00DD1DFA">
              <w:rPr>
                <w:noProof/>
                <w:sz w:val="16"/>
              </w:rPr>
              <w:t>balnej koperty finansowej)</w:t>
            </w:r>
          </w:p>
        </w:tc>
        <w:tc>
          <w:tcPr>
            <w:tcW w:w="731" w:type="dxa"/>
            <w:shd w:val="clear" w:color="auto" w:fill="auto"/>
            <w:vAlign w:val="center"/>
          </w:tcPr>
          <w:p w14:paraId="5C28A5B7"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1E6A4123"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D51A584"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7047B5EE"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A1B6AC5"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58DBAC0E"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7E648088"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30670836" w14:textId="77777777" w:rsidTr="00380F0F">
        <w:trPr>
          <w:gridBefore w:val="1"/>
          <w:wBefore w:w="15" w:type="dxa"/>
          <w:trHeight w:val="289"/>
          <w:jc w:val="center"/>
        </w:trPr>
        <w:tc>
          <w:tcPr>
            <w:tcW w:w="4754" w:type="dxa"/>
            <w:gridSpan w:val="2"/>
            <w:shd w:val="clear" w:color="auto" w:fill="auto"/>
            <w:vAlign w:val="center"/>
          </w:tcPr>
          <w:p w14:paraId="570AD256" w14:textId="59AE7F3C" w:rsidR="005D44AF" w:rsidRPr="00DD1DFA" w:rsidRDefault="005D44AF" w:rsidP="005D44AF">
            <w:pPr>
              <w:spacing w:beforeLines="20" w:before="48" w:afterLines="20" w:after="48"/>
              <w:ind w:left="136"/>
              <w:jc w:val="left"/>
              <w:rPr>
                <w:noProof/>
                <w:sz w:val="16"/>
              </w:rPr>
            </w:pPr>
            <w:r w:rsidRPr="00DD1DFA">
              <w:rPr>
                <w:noProof/>
                <w:sz w:val="16"/>
              </w:rPr>
              <w:t>20 02 03 (CA, LA, SNE, INT i JPD</w:t>
            </w:r>
            <w:r w:rsidR="00DD1DFA" w:rsidRPr="00DD1DFA">
              <w:rPr>
                <w:noProof/>
                <w:sz w:val="16"/>
              </w:rPr>
              <w:t xml:space="preserve"> w</w:t>
            </w:r>
            <w:r w:rsidR="00DD1DFA">
              <w:rPr>
                <w:noProof/>
                <w:sz w:val="16"/>
              </w:rPr>
              <w:t> </w:t>
            </w:r>
            <w:r w:rsidR="00DD1DFA" w:rsidRPr="00DD1DFA">
              <w:rPr>
                <w:noProof/>
                <w:sz w:val="16"/>
              </w:rPr>
              <w:t>del</w:t>
            </w:r>
            <w:r w:rsidRPr="00DD1DFA">
              <w:rPr>
                <w:noProof/>
                <w:sz w:val="16"/>
              </w:rPr>
              <w:t>egaturach)</w:t>
            </w:r>
          </w:p>
        </w:tc>
        <w:tc>
          <w:tcPr>
            <w:tcW w:w="731" w:type="dxa"/>
            <w:shd w:val="clear" w:color="auto" w:fill="auto"/>
            <w:vAlign w:val="center"/>
          </w:tcPr>
          <w:p w14:paraId="55340DD3"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490336A9"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1B54D786"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20DCF943"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5853410D"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CF37507"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72DD5732"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0BA2C464" w14:textId="77777777" w:rsidTr="00380F0F">
        <w:trPr>
          <w:gridBefore w:val="1"/>
          <w:wBefore w:w="15" w:type="dxa"/>
          <w:trHeight w:val="289"/>
          <w:jc w:val="center"/>
        </w:trPr>
        <w:tc>
          <w:tcPr>
            <w:tcW w:w="2376" w:type="dxa"/>
            <w:vMerge w:val="restart"/>
            <w:shd w:val="clear" w:color="auto" w:fill="auto"/>
            <w:vAlign w:val="center"/>
          </w:tcPr>
          <w:p w14:paraId="7BB2BA95" w14:textId="77777777" w:rsidR="005D44AF" w:rsidRPr="00DD1DFA" w:rsidRDefault="005D44AF" w:rsidP="005D44AF">
            <w:pPr>
              <w:spacing w:beforeLines="20" w:before="48" w:afterLines="20" w:after="48"/>
              <w:ind w:left="136"/>
              <w:jc w:val="left"/>
              <w:rPr>
                <w:b/>
                <w:noProof/>
                <w:sz w:val="16"/>
                <w:szCs w:val="16"/>
              </w:rPr>
            </w:pPr>
            <w:r w:rsidRPr="00DD1DFA">
              <w:rPr>
                <w:b/>
                <w:noProof/>
                <w:sz w:val="16"/>
                <w:szCs w:val="16"/>
              </w:rPr>
              <w:t>XX</w:t>
            </w:r>
            <w:r w:rsidRPr="00DD1DFA">
              <w:rPr>
                <w:noProof/>
                <w:sz w:val="16"/>
                <w:szCs w:val="16"/>
              </w:rPr>
              <w:t xml:space="preserve"> 01 xx </w:t>
            </w:r>
            <w:r w:rsidRPr="00DD1DFA">
              <w:rPr>
                <w:b/>
                <w:noProof/>
                <w:sz w:val="16"/>
                <w:szCs w:val="16"/>
              </w:rPr>
              <w:t xml:space="preserve">yy zz </w:t>
            </w:r>
            <w:r w:rsidRPr="00DD1DFA">
              <w:rPr>
                <w:rStyle w:val="Odwoanieprzypisudolnego"/>
                <w:noProof/>
              </w:rPr>
              <w:footnoteReference w:id="62"/>
            </w:r>
          </w:p>
          <w:p w14:paraId="12ACE476" w14:textId="77777777" w:rsidR="005D44AF" w:rsidRPr="00DD1DFA" w:rsidRDefault="005D44AF" w:rsidP="005D44AF">
            <w:pPr>
              <w:spacing w:beforeLines="20" w:before="48" w:afterLines="20" w:after="48"/>
              <w:ind w:left="136"/>
              <w:jc w:val="left"/>
              <w:rPr>
                <w:b/>
                <w:noProof/>
                <w:sz w:val="16"/>
                <w:szCs w:val="16"/>
                <w:lang w:eastAsia="en-GB"/>
              </w:rPr>
            </w:pPr>
          </w:p>
        </w:tc>
        <w:tc>
          <w:tcPr>
            <w:tcW w:w="2378" w:type="dxa"/>
            <w:shd w:val="clear" w:color="auto" w:fill="auto"/>
            <w:vAlign w:val="center"/>
          </w:tcPr>
          <w:p w14:paraId="0DC53FF0" w14:textId="6F64A95C" w:rsidR="005D44AF" w:rsidRPr="00DD1DFA" w:rsidRDefault="005D44AF" w:rsidP="005D44AF">
            <w:pPr>
              <w:spacing w:beforeLines="20" w:before="48" w:afterLines="20" w:after="48"/>
              <w:ind w:left="136"/>
              <w:jc w:val="left"/>
              <w:rPr>
                <w:b/>
                <w:noProof/>
                <w:sz w:val="16"/>
                <w:szCs w:val="16"/>
              </w:rPr>
            </w:pPr>
            <w:r w:rsidRPr="00DD1DFA">
              <w:rPr>
                <w:noProof/>
                <w:sz w:val="16"/>
              </w:rPr>
              <w:t>-</w:t>
            </w:r>
            <w:r w:rsidR="00DD1DFA" w:rsidRPr="00DD1DFA">
              <w:rPr>
                <w:noProof/>
                <w:sz w:val="16"/>
              </w:rPr>
              <w:t xml:space="preserve"> w</w:t>
            </w:r>
            <w:r w:rsidR="00DD1DFA">
              <w:rPr>
                <w:noProof/>
                <w:sz w:val="16"/>
              </w:rPr>
              <w:t> </w:t>
            </w:r>
            <w:r w:rsidR="00DD1DFA" w:rsidRPr="00DD1DFA">
              <w:rPr>
                <w:noProof/>
                <w:sz w:val="16"/>
              </w:rPr>
              <w:t>cen</w:t>
            </w:r>
            <w:r w:rsidRPr="00DD1DFA">
              <w:rPr>
                <w:noProof/>
                <w:sz w:val="16"/>
              </w:rPr>
              <w:t>trali</w:t>
            </w:r>
          </w:p>
          <w:p w14:paraId="63328F16" w14:textId="77777777" w:rsidR="005D44AF" w:rsidRPr="00DD1DFA" w:rsidRDefault="005D44AF" w:rsidP="005D44AF">
            <w:pPr>
              <w:spacing w:beforeLines="20" w:before="48" w:afterLines="20" w:after="48"/>
              <w:ind w:left="136"/>
              <w:jc w:val="left"/>
              <w:rPr>
                <w:b/>
                <w:noProof/>
                <w:sz w:val="16"/>
                <w:szCs w:val="16"/>
                <w:lang w:eastAsia="en-GB"/>
              </w:rPr>
            </w:pPr>
          </w:p>
        </w:tc>
        <w:tc>
          <w:tcPr>
            <w:tcW w:w="731" w:type="dxa"/>
            <w:shd w:val="clear" w:color="auto" w:fill="auto"/>
            <w:vAlign w:val="center"/>
          </w:tcPr>
          <w:p w14:paraId="25A821F9" w14:textId="77777777" w:rsidR="005D44AF" w:rsidRPr="00DD1DFA" w:rsidRDefault="005D44AF" w:rsidP="005D44AF">
            <w:pPr>
              <w:spacing w:beforeLines="20" w:before="48" w:afterLines="20" w:after="48"/>
              <w:rPr>
                <w:noProof/>
                <w:sz w:val="16"/>
                <w:szCs w:val="16"/>
                <w:lang w:eastAsia="en-GB"/>
              </w:rPr>
            </w:pPr>
          </w:p>
        </w:tc>
        <w:tc>
          <w:tcPr>
            <w:tcW w:w="731" w:type="dxa"/>
            <w:shd w:val="clear" w:color="auto" w:fill="auto"/>
            <w:vAlign w:val="center"/>
          </w:tcPr>
          <w:p w14:paraId="3E2C2546"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3E9EC3C6"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BC9587F"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2654EA9D"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22B940DC"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37F9F7C3"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696FAB20" w14:textId="77777777" w:rsidTr="00380F0F">
        <w:trPr>
          <w:gridBefore w:val="1"/>
          <w:wBefore w:w="15" w:type="dxa"/>
          <w:trHeight w:val="289"/>
          <w:jc w:val="center"/>
        </w:trPr>
        <w:tc>
          <w:tcPr>
            <w:tcW w:w="2376" w:type="dxa"/>
            <w:vMerge/>
            <w:shd w:val="clear" w:color="auto" w:fill="auto"/>
            <w:vAlign w:val="center"/>
          </w:tcPr>
          <w:p w14:paraId="7E54EDEA" w14:textId="77777777" w:rsidR="005D44AF" w:rsidRPr="00DD1DFA" w:rsidRDefault="005D44AF" w:rsidP="005D44AF">
            <w:pPr>
              <w:spacing w:beforeLines="20" w:before="48" w:afterLines="20" w:after="48"/>
              <w:ind w:left="136"/>
              <w:jc w:val="left"/>
              <w:rPr>
                <w:b/>
                <w:noProof/>
                <w:sz w:val="16"/>
                <w:szCs w:val="16"/>
                <w:lang w:eastAsia="en-GB"/>
              </w:rPr>
            </w:pPr>
          </w:p>
        </w:tc>
        <w:tc>
          <w:tcPr>
            <w:tcW w:w="2378" w:type="dxa"/>
            <w:shd w:val="clear" w:color="auto" w:fill="auto"/>
            <w:vAlign w:val="center"/>
          </w:tcPr>
          <w:p w14:paraId="1B38360D" w14:textId="652BCB04" w:rsidR="005D44AF" w:rsidRPr="00DD1DFA" w:rsidRDefault="005D44AF" w:rsidP="005D44AF">
            <w:pPr>
              <w:spacing w:beforeLines="20" w:before="48" w:afterLines="20" w:after="48"/>
              <w:ind w:left="136"/>
              <w:jc w:val="left"/>
              <w:rPr>
                <w:b/>
                <w:noProof/>
                <w:sz w:val="16"/>
                <w:szCs w:val="16"/>
              </w:rPr>
            </w:pPr>
            <w:r w:rsidRPr="00DD1DFA">
              <w:rPr>
                <w:noProof/>
                <w:sz w:val="16"/>
              </w:rPr>
              <w:t>-</w:t>
            </w:r>
            <w:r w:rsidR="00DD1DFA" w:rsidRPr="00DD1DFA">
              <w:rPr>
                <w:noProof/>
                <w:sz w:val="16"/>
              </w:rPr>
              <w:t xml:space="preserve"> w</w:t>
            </w:r>
            <w:r w:rsidR="00DD1DFA">
              <w:rPr>
                <w:noProof/>
                <w:sz w:val="16"/>
              </w:rPr>
              <w:t> </w:t>
            </w:r>
            <w:r w:rsidR="00DD1DFA" w:rsidRPr="00DD1DFA">
              <w:rPr>
                <w:noProof/>
                <w:sz w:val="16"/>
              </w:rPr>
              <w:t>del</w:t>
            </w:r>
            <w:r w:rsidRPr="00DD1DFA">
              <w:rPr>
                <w:noProof/>
                <w:sz w:val="16"/>
              </w:rPr>
              <w:t xml:space="preserve">egaturach </w:t>
            </w:r>
          </w:p>
        </w:tc>
        <w:tc>
          <w:tcPr>
            <w:tcW w:w="731" w:type="dxa"/>
            <w:shd w:val="clear" w:color="auto" w:fill="auto"/>
            <w:vAlign w:val="center"/>
          </w:tcPr>
          <w:p w14:paraId="567E56EE" w14:textId="77777777" w:rsidR="005D44AF" w:rsidRPr="00DD1DFA" w:rsidRDefault="005D44AF" w:rsidP="005D44AF">
            <w:pPr>
              <w:spacing w:beforeLines="20" w:before="48" w:afterLines="20" w:after="48"/>
              <w:rPr>
                <w:noProof/>
                <w:sz w:val="16"/>
                <w:szCs w:val="16"/>
                <w:lang w:eastAsia="en-GB"/>
              </w:rPr>
            </w:pPr>
          </w:p>
        </w:tc>
        <w:tc>
          <w:tcPr>
            <w:tcW w:w="731" w:type="dxa"/>
            <w:shd w:val="clear" w:color="auto" w:fill="auto"/>
            <w:vAlign w:val="center"/>
          </w:tcPr>
          <w:p w14:paraId="47D9C9DE"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9222896"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7E7BBB49"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BCCD395"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2BDDE2E8"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7A56A7C8"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6AD1F185" w14:textId="77777777" w:rsidTr="00380F0F">
        <w:trPr>
          <w:gridBefore w:val="1"/>
          <w:wBefore w:w="15" w:type="dxa"/>
          <w:trHeight w:val="289"/>
          <w:jc w:val="center"/>
        </w:trPr>
        <w:tc>
          <w:tcPr>
            <w:tcW w:w="4754" w:type="dxa"/>
            <w:gridSpan w:val="2"/>
            <w:shd w:val="clear" w:color="auto" w:fill="auto"/>
            <w:vAlign w:val="center"/>
          </w:tcPr>
          <w:p w14:paraId="7C04D40C" w14:textId="77777777" w:rsidR="005D44AF" w:rsidRPr="00DD1DFA" w:rsidRDefault="005D44AF" w:rsidP="005D44AF">
            <w:pPr>
              <w:spacing w:beforeLines="20" w:before="48" w:afterLines="20" w:after="48"/>
              <w:ind w:left="136"/>
              <w:jc w:val="left"/>
              <w:rPr>
                <w:noProof/>
                <w:sz w:val="16"/>
                <w:szCs w:val="16"/>
              </w:rPr>
            </w:pPr>
            <w:r w:rsidRPr="00DD1DFA">
              <w:rPr>
                <w:noProof/>
                <w:sz w:val="16"/>
              </w:rPr>
              <w:t>01 01 01 02</w:t>
            </w:r>
            <w:r w:rsidRPr="00DD1DFA">
              <w:rPr>
                <w:noProof/>
              </w:rPr>
              <w:t xml:space="preserve"> </w:t>
            </w:r>
            <w:r w:rsidRPr="00DD1DFA">
              <w:rPr>
                <w:noProof/>
                <w:sz w:val="16"/>
              </w:rPr>
              <w:t>(CA, SNE, INT – pośrednie badania naukowe)</w:t>
            </w:r>
          </w:p>
        </w:tc>
        <w:tc>
          <w:tcPr>
            <w:tcW w:w="731" w:type="dxa"/>
            <w:shd w:val="clear" w:color="auto" w:fill="auto"/>
            <w:vAlign w:val="center"/>
          </w:tcPr>
          <w:p w14:paraId="6047C000"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3B9DB2B7"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2BDDF3D8"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7CE06561"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479E381E"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1BDBB6BC"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56FE09FC"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42D74555" w14:textId="77777777" w:rsidTr="00380F0F">
        <w:trPr>
          <w:gridBefore w:val="1"/>
          <w:wBefore w:w="15" w:type="dxa"/>
          <w:trHeight w:val="289"/>
          <w:jc w:val="center"/>
        </w:trPr>
        <w:tc>
          <w:tcPr>
            <w:tcW w:w="4754" w:type="dxa"/>
            <w:gridSpan w:val="2"/>
            <w:shd w:val="clear" w:color="auto" w:fill="auto"/>
            <w:vAlign w:val="center"/>
          </w:tcPr>
          <w:p w14:paraId="132B6784" w14:textId="77777777" w:rsidR="005D44AF" w:rsidRPr="00DD1DFA" w:rsidRDefault="005D44AF" w:rsidP="005D44AF">
            <w:pPr>
              <w:spacing w:beforeLines="20" w:before="48" w:afterLines="20" w:after="48"/>
              <w:ind w:left="136"/>
              <w:jc w:val="left"/>
              <w:rPr>
                <w:noProof/>
                <w:color w:val="FF0000"/>
                <w:sz w:val="16"/>
                <w:szCs w:val="16"/>
              </w:rPr>
            </w:pPr>
            <w:r w:rsidRPr="00DD1DFA">
              <w:rPr>
                <w:noProof/>
                <w:sz w:val="16"/>
              </w:rPr>
              <w:t xml:space="preserve"> 01 01 01 12 (CA, SNE, INT – bezpośrednie badania naukowe)</w:t>
            </w:r>
          </w:p>
        </w:tc>
        <w:tc>
          <w:tcPr>
            <w:tcW w:w="731" w:type="dxa"/>
            <w:shd w:val="clear" w:color="auto" w:fill="auto"/>
            <w:vAlign w:val="center"/>
          </w:tcPr>
          <w:p w14:paraId="032EF186"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3AF4487E"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488DE710"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6E620C4"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4583AB69"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6753BB6D"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124A2E1A"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61F26176" w14:textId="77777777" w:rsidTr="00380F0F">
        <w:trPr>
          <w:gridBefore w:val="1"/>
          <w:wBefore w:w="15" w:type="dxa"/>
          <w:trHeight w:val="289"/>
          <w:jc w:val="center"/>
        </w:trPr>
        <w:tc>
          <w:tcPr>
            <w:tcW w:w="4754" w:type="dxa"/>
            <w:gridSpan w:val="2"/>
            <w:shd w:val="clear" w:color="auto" w:fill="auto"/>
            <w:vAlign w:val="center"/>
          </w:tcPr>
          <w:p w14:paraId="578B95F5" w14:textId="77777777" w:rsidR="005D44AF" w:rsidRPr="00DD1DFA" w:rsidRDefault="005D44AF" w:rsidP="005D44AF">
            <w:pPr>
              <w:spacing w:beforeLines="20" w:before="48" w:afterLines="20" w:after="48"/>
              <w:ind w:left="136"/>
              <w:jc w:val="left"/>
              <w:rPr>
                <w:noProof/>
                <w:sz w:val="16"/>
              </w:rPr>
            </w:pPr>
            <w:r w:rsidRPr="00DD1DFA">
              <w:rPr>
                <w:noProof/>
                <w:sz w:val="16"/>
              </w:rPr>
              <w:t>Inne linie budżetowe (określić)</w:t>
            </w:r>
          </w:p>
        </w:tc>
        <w:tc>
          <w:tcPr>
            <w:tcW w:w="731" w:type="dxa"/>
            <w:shd w:val="clear" w:color="auto" w:fill="auto"/>
            <w:vAlign w:val="center"/>
          </w:tcPr>
          <w:p w14:paraId="2104CE2B"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50660C41"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75F10223"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39EBE177"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293569AC"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0123C45A" w14:textId="77777777" w:rsidR="005D44AF" w:rsidRPr="00DD1DFA" w:rsidRDefault="005D44AF" w:rsidP="005D44AF">
            <w:pPr>
              <w:spacing w:beforeLines="20" w:before="48" w:afterLines="20" w:after="48"/>
              <w:jc w:val="center"/>
              <w:rPr>
                <w:noProof/>
                <w:sz w:val="16"/>
                <w:szCs w:val="16"/>
                <w:lang w:eastAsia="en-GB"/>
              </w:rPr>
            </w:pPr>
          </w:p>
        </w:tc>
        <w:tc>
          <w:tcPr>
            <w:tcW w:w="731" w:type="dxa"/>
            <w:shd w:val="clear" w:color="auto" w:fill="auto"/>
            <w:vAlign w:val="center"/>
          </w:tcPr>
          <w:p w14:paraId="54307481" w14:textId="77777777" w:rsidR="005D44AF" w:rsidRPr="00DD1DFA" w:rsidRDefault="005D44AF" w:rsidP="005D44AF">
            <w:pPr>
              <w:spacing w:beforeLines="20" w:before="48" w:afterLines="20" w:after="48"/>
              <w:jc w:val="center"/>
              <w:rPr>
                <w:noProof/>
                <w:sz w:val="16"/>
                <w:szCs w:val="16"/>
                <w:lang w:eastAsia="en-GB"/>
              </w:rPr>
            </w:pPr>
          </w:p>
        </w:tc>
      </w:tr>
      <w:tr w:rsidR="005D44AF" w:rsidRPr="00DD1DFA" w14:paraId="32F15E4B" w14:textId="77777777" w:rsidTr="00380F0F">
        <w:trPr>
          <w:gridBefore w:val="1"/>
          <w:wBefore w:w="15" w:type="dxa"/>
          <w:trHeight w:val="289"/>
          <w:jc w:val="center"/>
        </w:trPr>
        <w:tc>
          <w:tcPr>
            <w:tcW w:w="4754" w:type="dxa"/>
            <w:gridSpan w:val="2"/>
            <w:tcBorders>
              <w:top w:val="double" w:sz="4" w:space="0" w:color="auto"/>
            </w:tcBorders>
            <w:shd w:val="clear" w:color="auto" w:fill="auto"/>
            <w:vAlign w:val="center"/>
          </w:tcPr>
          <w:p w14:paraId="2A91E70D" w14:textId="77777777" w:rsidR="005D44AF" w:rsidRPr="00DD1DFA" w:rsidRDefault="005D44AF" w:rsidP="005D44AF">
            <w:pPr>
              <w:spacing w:beforeLines="20" w:before="48" w:afterLines="20" w:after="48"/>
              <w:ind w:left="136"/>
              <w:jc w:val="left"/>
              <w:rPr>
                <w:noProof/>
                <w:sz w:val="16"/>
                <w:szCs w:val="16"/>
              </w:rPr>
            </w:pPr>
            <w:r w:rsidRPr="00DD1DFA">
              <w:rPr>
                <w:b/>
                <w:noProof/>
                <w:sz w:val="16"/>
              </w:rPr>
              <w:t>OGÓŁEM</w:t>
            </w:r>
          </w:p>
        </w:tc>
        <w:tc>
          <w:tcPr>
            <w:tcW w:w="731" w:type="dxa"/>
            <w:tcBorders>
              <w:top w:val="double" w:sz="4" w:space="0" w:color="auto"/>
            </w:tcBorders>
            <w:shd w:val="clear" w:color="auto" w:fill="auto"/>
            <w:vAlign w:val="center"/>
          </w:tcPr>
          <w:p w14:paraId="3A59A8E0" w14:textId="77777777" w:rsidR="005D44AF" w:rsidRPr="00DD1DFA" w:rsidRDefault="005D44AF" w:rsidP="005D44AF">
            <w:pPr>
              <w:spacing w:beforeLines="20" w:before="48" w:afterLines="20" w:after="48"/>
              <w:jc w:val="center"/>
              <w:rPr>
                <w:b/>
                <w:noProof/>
                <w:sz w:val="16"/>
                <w:szCs w:val="16"/>
              </w:rPr>
            </w:pPr>
            <w:r w:rsidRPr="00DD1DFA">
              <w:rPr>
                <w:noProof/>
                <w:sz w:val="16"/>
                <w:szCs w:val="16"/>
              </w:rPr>
              <w:t>7</w:t>
            </w:r>
          </w:p>
        </w:tc>
        <w:tc>
          <w:tcPr>
            <w:tcW w:w="731" w:type="dxa"/>
            <w:tcBorders>
              <w:top w:val="double" w:sz="4" w:space="0" w:color="auto"/>
            </w:tcBorders>
            <w:shd w:val="clear" w:color="auto" w:fill="auto"/>
            <w:vAlign w:val="center"/>
          </w:tcPr>
          <w:p w14:paraId="1CB07A56" w14:textId="77777777" w:rsidR="005D44AF" w:rsidRPr="00DD1DFA" w:rsidRDefault="005D44AF" w:rsidP="005D44AF">
            <w:pPr>
              <w:spacing w:beforeLines="20" w:before="48" w:afterLines="20" w:after="48"/>
              <w:jc w:val="center"/>
              <w:rPr>
                <w:b/>
                <w:noProof/>
                <w:sz w:val="16"/>
                <w:szCs w:val="16"/>
              </w:rPr>
            </w:pPr>
            <w:r w:rsidRPr="00DD1DFA">
              <w:rPr>
                <w:noProof/>
                <w:sz w:val="16"/>
                <w:szCs w:val="16"/>
              </w:rPr>
              <w:t>7</w:t>
            </w:r>
          </w:p>
        </w:tc>
        <w:tc>
          <w:tcPr>
            <w:tcW w:w="731" w:type="dxa"/>
            <w:tcBorders>
              <w:top w:val="double" w:sz="4" w:space="0" w:color="auto"/>
            </w:tcBorders>
            <w:shd w:val="clear" w:color="auto" w:fill="auto"/>
            <w:vAlign w:val="center"/>
          </w:tcPr>
          <w:p w14:paraId="3951EA5E" w14:textId="77777777" w:rsidR="005D44AF" w:rsidRPr="00DD1DFA" w:rsidRDefault="005D44AF" w:rsidP="005D44AF">
            <w:pPr>
              <w:spacing w:beforeLines="20" w:before="48" w:afterLines="20" w:after="48"/>
              <w:jc w:val="center"/>
              <w:rPr>
                <w:b/>
                <w:noProof/>
                <w:sz w:val="16"/>
                <w:szCs w:val="16"/>
              </w:rPr>
            </w:pPr>
            <w:r w:rsidRPr="00DD1DFA">
              <w:rPr>
                <w:noProof/>
                <w:sz w:val="16"/>
                <w:szCs w:val="16"/>
              </w:rPr>
              <w:t>7</w:t>
            </w:r>
          </w:p>
        </w:tc>
        <w:tc>
          <w:tcPr>
            <w:tcW w:w="731" w:type="dxa"/>
            <w:tcBorders>
              <w:top w:val="double" w:sz="4" w:space="0" w:color="auto"/>
            </w:tcBorders>
            <w:shd w:val="clear" w:color="auto" w:fill="auto"/>
            <w:vAlign w:val="center"/>
          </w:tcPr>
          <w:p w14:paraId="1698E9AC" w14:textId="77777777" w:rsidR="005D44AF" w:rsidRPr="00DD1DFA" w:rsidRDefault="005D44AF" w:rsidP="005D44AF">
            <w:pPr>
              <w:spacing w:beforeLines="20" w:before="48" w:afterLines="20" w:after="48"/>
              <w:jc w:val="center"/>
              <w:rPr>
                <w:b/>
                <w:noProof/>
                <w:sz w:val="16"/>
                <w:szCs w:val="16"/>
              </w:rPr>
            </w:pPr>
            <w:r w:rsidRPr="00DD1DFA">
              <w:rPr>
                <w:noProof/>
                <w:sz w:val="16"/>
                <w:szCs w:val="16"/>
              </w:rPr>
              <w:t>6</w:t>
            </w:r>
          </w:p>
        </w:tc>
        <w:tc>
          <w:tcPr>
            <w:tcW w:w="731" w:type="dxa"/>
            <w:tcBorders>
              <w:top w:val="double" w:sz="4" w:space="0" w:color="auto"/>
            </w:tcBorders>
            <w:shd w:val="clear" w:color="auto" w:fill="auto"/>
            <w:vAlign w:val="center"/>
          </w:tcPr>
          <w:p w14:paraId="034936F1" w14:textId="77777777" w:rsidR="005D44AF" w:rsidRPr="00DD1DFA" w:rsidRDefault="005D44AF" w:rsidP="005D44AF">
            <w:pPr>
              <w:spacing w:beforeLines="20" w:before="48" w:afterLines="20" w:after="48"/>
              <w:jc w:val="center"/>
              <w:rPr>
                <w:b/>
                <w:noProof/>
                <w:sz w:val="16"/>
                <w:szCs w:val="16"/>
              </w:rPr>
            </w:pPr>
            <w:r w:rsidRPr="00DD1DFA">
              <w:rPr>
                <w:noProof/>
                <w:sz w:val="16"/>
                <w:szCs w:val="16"/>
              </w:rPr>
              <w:t>6</w:t>
            </w:r>
          </w:p>
        </w:tc>
        <w:tc>
          <w:tcPr>
            <w:tcW w:w="731" w:type="dxa"/>
            <w:tcBorders>
              <w:top w:val="double" w:sz="4" w:space="0" w:color="auto"/>
            </w:tcBorders>
            <w:shd w:val="clear" w:color="auto" w:fill="auto"/>
            <w:vAlign w:val="center"/>
          </w:tcPr>
          <w:p w14:paraId="2ACD6BA8" w14:textId="77777777" w:rsidR="005D44AF" w:rsidRPr="00DD1DFA" w:rsidRDefault="005D44AF" w:rsidP="005D44AF">
            <w:pPr>
              <w:spacing w:beforeLines="20" w:before="48" w:afterLines="20" w:after="48"/>
              <w:jc w:val="center"/>
              <w:rPr>
                <w:b/>
                <w:noProof/>
                <w:sz w:val="16"/>
                <w:szCs w:val="16"/>
              </w:rPr>
            </w:pPr>
            <w:r w:rsidRPr="00DD1DFA">
              <w:rPr>
                <w:noProof/>
                <w:sz w:val="16"/>
                <w:szCs w:val="16"/>
              </w:rPr>
              <w:t>4</w:t>
            </w:r>
          </w:p>
        </w:tc>
        <w:tc>
          <w:tcPr>
            <w:tcW w:w="731" w:type="dxa"/>
            <w:tcBorders>
              <w:top w:val="double" w:sz="4" w:space="0" w:color="auto"/>
            </w:tcBorders>
            <w:shd w:val="clear" w:color="auto" w:fill="BFBFBF" w:themeFill="background1" w:themeFillShade="BF"/>
            <w:vAlign w:val="center"/>
          </w:tcPr>
          <w:p w14:paraId="25A7D70A" w14:textId="77777777" w:rsidR="005D44AF" w:rsidRPr="00DD1DFA" w:rsidRDefault="005D44AF" w:rsidP="005D44AF">
            <w:pPr>
              <w:spacing w:beforeLines="20" w:before="48" w:afterLines="20" w:after="48"/>
              <w:jc w:val="center"/>
              <w:rPr>
                <w:b/>
                <w:noProof/>
                <w:sz w:val="16"/>
                <w:szCs w:val="16"/>
                <w:lang w:eastAsia="en-GB"/>
              </w:rPr>
            </w:pPr>
          </w:p>
        </w:tc>
      </w:tr>
    </w:tbl>
    <w:p w14:paraId="70BB3DE8" w14:textId="7C3F3ACA" w:rsidR="005D44AF" w:rsidRPr="00DD1DFA" w:rsidRDefault="005D44AF" w:rsidP="005D44AF">
      <w:pPr>
        <w:spacing w:before="60" w:after="60"/>
        <w:ind w:left="851"/>
        <w:rPr>
          <w:noProof/>
          <w:sz w:val="18"/>
          <w:szCs w:val="18"/>
        </w:rPr>
      </w:pPr>
      <w:r w:rsidRPr="00DD1DFA">
        <w:rPr>
          <w:b/>
          <w:noProof/>
          <w:sz w:val="18"/>
          <w:szCs w:val="18"/>
        </w:rPr>
        <w:t>XX</w:t>
      </w:r>
      <w:r w:rsidRPr="00DD1DFA">
        <w:rPr>
          <w:noProof/>
          <w:sz w:val="18"/>
          <w:szCs w:val="18"/>
        </w:rPr>
        <w:t xml:space="preserve"> oznacza odpowiednią dziedzinę polityki lub odpowiedni tytuł</w:t>
      </w:r>
      <w:r w:rsidR="00DD1DFA" w:rsidRPr="00DD1DFA">
        <w:rPr>
          <w:noProof/>
          <w:sz w:val="18"/>
          <w:szCs w:val="18"/>
        </w:rPr>
        <w:t xml:space="preserve"> w</w:t>
      </w:r>
      <w:r w:rsidR="00DD1DFA">
        <w:rPr>
          <w:noProof/>
          <w:sz w:val="18"/>
          <w:szCs w:val="18"/>
        </w:rPr>
        <w:t> </w:t>
      </w:r>
      <w:r w:rsidR="00DD1DFA" w:rsidRPr="00DD1DFA">
        <w:rPr>
          <w:noProof/>
          <w:sz w:val="18"/>
          <w:szCs w:val="18"/>
        </w:rPr>
        <w:t>bud</w:t>
      </w:r>
      <w:r w:rsidRPr="00DD1DFA">
        <w:rPr>
          <w:noProof/>
          <w:sz w:val="18"/>
          <w:szCs w:val="18"/>
        </w:rPr>
        <w:t>żecie.</w:t>
      </w:r>
    </w:p>
    <w:p w14:paraId="5A42E53D" w14:textId="0644024E" w:rsidR="005D44AF" w:rsidRPr="00DD1DFA" w:rsidRDefault="005D44AF" w:rsidP="005D44AF">
      <w:pPr>
        <w:ind w:left="850"/>
        <w:rPr>
          <w:noProof/>
          <w:sz w:val="18"/>
          <w:szCs w:val="18"/>
        </w:rPr>
      </w:pPr>
      <w:r w:rsidRPr="00DD1DFA">
        <w:rPr>
          <w:noProof/>
          <w:sz w:val="18"/>
        </w:rPr>
        <w:t>Potrzeby</w:t>
      </w:r>
      <w:r w:rsidR="00DD1DFA" w:rsidRPr="00DD1DFA">
        <w:rPr>
          <w:noProof/>
          <w:sz w:val="18"/>
        </w:rPr>
        <w:t xml:space="preserve"> w</w:t>
      </w:r>
      <w:r w:rsidR="00DD1DFA">
        <w:rPr>
          <w:noProof/>
          <w:sz w:val="18"/>
        </w:rPr>
        <w:t> </w:t>
      </w:r>
      <w:r w:rsidR="00DD1DFA" w:rsidRPr="00DD1DFA">
        <w:rPr>
          <w:noProof/>
          <w:sz w:val="18"/>
        </w:rPr>
        <w:t>zak</w:t>
      </w:r>
      <w:r w:rsidRPr="00DD1DFA">
        <w:rPr>
          <w:noProof/>
          <w:sz w:val="18"/>
        </w:rPr>
        <w:t>resie zasobów ludzkich zostaną pokryte</w:t>
      </w:r>
      <w:r w:rsidR="00DD1DFA" w:rsidRPr="00DD1DFA">
        <w:rPr>
          <w:noProof/>
          <w:sz w:val="18"/>
        </w:rPr>
        <w:t xml:space="preserve"> z</w:t>
      </w:r>
      <w:r w:rsidR="00DD1DFA">
        <w:rPr>
          <w:noProof/>
          <w:sz w:val="18"/>
        </w:rPr>
        <w:t> </w:t>
      </w:r>
      <w:r w:rsidR="00DD1DFA" w:rsidRPr="00DD1DFA">
        <w:rPr>
          <w:noProof/>
          <w:sz w:val="18"/>
        </w:rPr>
        <w:t>zas</w:t>
      </w:r>
      <w:r w:rsidRPr="00DD1DFA">
        <w:rPr>
          <w:noProof/>
          <w:sz w:val="18"/>
        </w:rPr>
        <w:t>obów DG już przydzielonych na zarządzanie tym działaniem lub przesuniętych</w:t>
      </w:r>
      <w:r w:rsidR="00DD1DFA" w:rsidRPr="00DD1DFA">
        <w:rPr>
          <w:noProof/>
          <w:sz w:val="18"/>
        </w:rPr>
        <w:t xml:space="preserve"> w</w:t>
      </w:r>
      <w:r w:rsidR="00DD1DFA">
        <w:rPr>
          <w:noProof/>
          <w:sz w:val="18"/>
        </w:rPr>
        <w:t> </w:t>
      </w:r>
      <w:r w:rsidR="00DD1DFA" w:rsidRPr="00DD1DFA">
        <w:rPr>
          <w:noProof/>
          <w:sz w:val="18"/>
        </w:rPr>
        <w:t>ram</w:t>
      </w:r>
      <w:r w:rsidRPr="00DD1DFA">
        <w:rPr>
          <w:noProof/>
          <w:sz w:val="18"/>
        </w:rPr>
        <w:t>ach dyrekcji generalnej, uzupełnionych</w:t>
      </w:r>
      <w:r w:rsidR="00DD1DFA" w:rsidRPr="00DD1DFA">
        <w:rPr>
          <w:noProof/>
          <w:sz w:val="18"/>
        </w:rPr>
        <w:t xml:space="preserve"> w</w:t>
      </w:r>
      <w:r w:rsidR="00DD1DFA">
        <w:rPr>
          <w:noProof/>
          <w:sz w:val="18"/>
        </w:rPr>
        <w:t> </w:t>
      </w:r>
      <w:r w:rsidR="00DD1DFA" w:rsidRPr="00DD1DFA">
        <w:rPr>
          <w:noProof/>
          <w:sz w:val="18"/>
        </w:rPr>
        <w:t>raz</w:t>
      </w:r>
      <w:r w:rsidRPr="00DD1DFA">
        <w:rPr>
          <w:noProof/>
          <w:sz w:val="18"/>
        </w:rPr>
        <w:t>ie potrzeby wszelkimi dodatkowymi zasobami, które mogą zostać przydzielone zarządzającej dyrekcji generalnej</w:t>
      </w:r>
      <w:r w:rsidR="00DD1DFA" w:rsidRPr="00DD1DFA">
        <w:rPr>
          <w:noProof/>
          <w:sz w:val="18"/>
        </w:rPr>
        <w:t xml:space="preserve"> w</w:t>
      </w:r>
      <w:r w:rsidR="00DD1DFA">
        <w:rPr>
          <w:noProof/>
          <w:sz w:val="18"/>
        </w:rPr>
        <w:t> </w:t>
      </w:r>
      <w:r w:rsidR="00DD1DFA" w:rsidRPr="00DD1DFA">
        <w:rPr>
          <w:noProof/>
          <w:sz w:val="18"/>
        </w:rPr>
        <w:t>ram</w:t>
      </w:r>
      <w:r w:rsidRPr="00DD1DFA">
        <w:rPr>
          <w:noProof/>
          <w:sz w:val="18"/>
        </w:rPr>
        <w:t>ach procedury rocznego przydziału środków oraz</w:t>
      </w:r>
      <w:r w:rsidR="00DD1DFA" w:rsidRPr="00DD1DFA">
        <w:rPr>
          <w:noProof/>
          <w:sz w:val="18"/>
        </w:rPr>
        <w:t xml:space="preserve"> w</w:t>
      </w:r>
      <w:r w:rsidR="00DD1DFA">
        <w:rPr>
          <w:noProof/>
          <w:sz w:val="18"/>
        </w:rPr>
        <w:t> </w:t>
      </w:r>
      <w:r w:rsidR="00DD1DFA" w:rsidRPr="00DD1DFA">
        <w:rPr>
          <w:noProof/>
          <w:sz w:val="18"/>
        </w:rPr>
        <w:t>świ</w:t>
      </w:r>
      <w:r w:rsidRPr="00DD1DFA">
        <w:rPr>
          <w:noProof/>
          <w:sz w:val="18"/>
        </w:rPr>
        <w:t>etle istniejących ograniczeń budżetowych.</w:t>
      </w:r>
    </w:p>
    <w:p w14:paraId="53614E05" w14:textId="77777777" w:rsidR="005D44AF" w:rsidRPr="00DD1DFA" w:rsidRDefault="005D44AF" w:rsidP="005D44AF">
      <w:pPr>
        <w:rPr>
          <w:noProof/>
          <w:sz w:val="20"/>
        </w:rPr>
      </w:pPr>
      <w:r w:rsidRPr="00DD1DFA">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D44AF" w:rsidRPr="00DD1DFA" w14:paraId="72F44EDA" w14:textId="77777777" w:rsidTr="00380F0F">
        <w:tc>
          <w:tcPr>
            <w:tcW w:w="3240" w:type="dxa"/>
          </w:tcPr>
          <w:p w14:paraId="56FAEF21" w14:textId="7C2C236F" w:rsidR="005D44AF" w:rsidRPr="00DD1DFA" w:rsidRDefault="005D44AF" w:rsidP="005D44AF">
            <w:pPr>
              <w:rPr>
                <w:noProof/>
                <w:sz w:val="20"/>
              </w:rPr>
            </w:pPr>
            <w:r w:rsidRPr="00DD1DFA">
              <w:rPr>
                <w:noProof/>
                <w:sz w:val="20"/>
              </w:rPr>
              <w:t>Urzędnicy</w:t>
            </w:r>
            <w:r w:rsidR="00DD1DFA" w:rsidRPr="00DD1DFA">
              <w:rPr>
                <w:noProof/>
                <w:sz w:val="20"/>
              </w:rPr>
              <w:t xml:space="preserve"> i</w:t>
            </w:r>
            <w:r w:rsidR="00DD1DFA">
              <w:rPr>
                <w:noProof/>
                <w:sz w:val="20"/>
              </w:rPr>
              <w:t> </w:t>
            </w:r>
            <w:r w:rsidR="00DD1DFA" w:rsidRPr="00DD1DFA">
              <w:rPr>
                <w:noProof/>
                <w:sz w:val="20"/>
              </w:rPr>
              <w:t>pra</w:t>
            </w:r>
            <w:r w:rsidRPr="00DD1DFA">
              <w:rPr>
                <w:noProof/>
                <w:sz w:val="20"/>
              </w:rPr>
              <w:t>cownicy zatrudnieni na czas określony</w:t>
            </w:r>
          </w:p>
        </w:tc>
        <w:tc>
          <w:tcPr>
            <w:tcW w:w="7200" w:type="dxa"/>
          </w:tcPr>
          <w:p w14:paraId="73B4B29B" w14:textId="7471B618"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kierowanie procesem rozwijania dorobku związanego</w:t>
            </w:r>
            <w:r w:rsidR="00DD1DFA" w:rsidRPr="00DD1DFA">
              <w:rPr>
                <w:noProof/>
                <w:sz w:val="20"/>
                <w:szCs w:val="20"/>
              </w:rPr>
              <w:t xml:space="preserve"> z</w:t>
            </w:r>
            <w:r w:rsidR="00DD1DFA">
              <w:rPr>
                <w:noProof/>
                <w:sz w:val="20"/>
                <w:szCs w:val="20"/>
              </w:rPr>
              <w:t> </w:t>
            </w:r>
            <w:r w:rsidR="00DD1DFA" w:rsidRPr="00DD1DFA">
              <w:rPr>
                <w:noProof/>
                <w:sz w:val="20"/>
                <w:szCs w:val="20"/>
              </w:rPr>
              <w:t>roz</w:t>
            </w:r>
            <w:r w:rsidRPr="00DD1DFA">
              <w:rPr>
                <w:noProof/>
                <w:sz w:val="20"/>
                <w:szCs w:val="20"/>
              </w:rPr>
              <w:t>porządzeniem</w:t>
            </w:r>
            <w:r w:rsidR="00DD1DFA" w:rsidRPr="00DD1DFA">
              <w:rPr>
                <w:noProof/>
                <w:sz w:val="20"/>
                <w:szCs w:val="20"/>
              </w:rPr>
              <w:t xml:space="preserve"> w</w:t>
            </w:r>
            <w:r w:rsidR="00DD1DFA">
              <w:rPr>
                <w:noProof/>
                <w:sz w:val="20"/>
                <w:szCs w:val="20"/>
              </w:rPr>
              <w:t> </w:t>
            </w:r>
            <w:r w:rsidR="00DD1DFA" w:rsidRPr="00DD1DFA">
              <w:rPr>
                <w:noProof/>
                <w:sz w:val="20"/>
                <w:szCs w:val="20"/>
              </w:rPr>
              <w:t>spr</w:t>
            </w:r>
            <w:r w:rsidRPr="00DD1DFA">
              <w:rPr>
                <w:noProof/>
                <w:sz w:val="20"/>
                <w:szCs w:val="20"/>
              </w:rPr>
              <w:t>awie wyrobów budowlanych, koordynacja z CEN i EOTA, współpraca</w:t>
            </w:r>
            <w:r w:rsidR="00DD1DFA" w:rsidRPr="00DD1DFA">
              <w:rPr>
                <w:noProof/>
                <w:sz w:val="20"/>
                <w:szCs w:val="20"/>
              </w:rPr>
              <w:t xml:space="preserve"> z</w:t>
            </w:r>
            <w:r w:rsidR="00DD1DFA">
              <w:rPr>
                <w:noProof/>
                <w:sz w:val="20"/>
                <w:szCs w:val="20"/>
              </w:rPr>
              <w:t> </w:t>
            </w:r>
            <w:r w:rsidR="00DD1DFA" w:rsidRPr="00DD1DFA">
              <w:rPr>
                <w:noProof/>
                <w:sz w:val="20"/>
                <w:szCs w:val="20"/>
              </w:rPr>
              <w:t>kon</w:t>
            </w:r>
            <w:r w:rsidRPr="00DD1DFA">
              <w:rPr>
                <w:noProof/>
                <w:sz w:val="20"/>
                <w:szCs w:val="20"/>
              </w:rPr>
              <w:t>sultantami ds. norm zharmonizowanych i ds. rozporządzenia</w:t>
            </w:r>
            <w:r w:rsidR="00DD1DFA" w:rsidRPr="00DD1DFA">
              <w:rPr>
                <w:noProof/>
                <w:sz w:val="20"/>
                <w:szCs w:val="20"/>
              </w:rPr>
              <w:t xml:space="preserve"> w</w:t>
            </w:r>
            <w:r w:rsidR="00DD1DFA">
              <w:rPr>
                <w:noProof/>
                <w:sz w:val="20"/>
                <w:szCs w:val="20"/>
              </w:rPr>
              <w:t> </w:t>
            </w:r>
            <w:r w:rsidR="00DD1DFA" w:rsidRPr="00DD1DFA">
              <w:rPr>
                <w:noProof/>
                <w:sz w:val="20"/>
                <w:szCs w:val="20"/>
              </w:rPr>
              <w:t>spr</w:t>
            </w:r>
            <w:r w:rsidRPr="00DD1DFA">
              <w:rPr>
                <w:noProof/>
                <w:sz w:val="20"/>
                <w:szCs w:val="20"/>
              </w:rPr>
              <w:t>awie wyrobów budowlanych, opracowywanie aktów delegowanych dotyczących klas</w:t>
            </w:r>
            <w:r w:rsidR="00DD1DFA" w:rsidRPr="00DD1DFA">
              <w:rPr>
                <w:noProof/>
                <w:sz w:val="20"/>
                <w:szCs w:val="20"/>
              </w:rPr>
              <w:t xml:space="preserve"> i</w:t>
            </w:r>
            <w:r w:rsidR="00DD1DFA">
              <w:rPr>
                <w:noProof/>
                <w:sz w:val="20"/>
                <w:szCs w:val="20"/>
              </w:rPr>
              <w:t> </w:t>
            </w:r>
            <w:r w:rsidR="00DD1DFA" w:rsidRPr="00DD1DFA">
              <w:rPr>
                <w:noProof/>
                <w:sz w:val="20"/>
                <w:szCs w:val="20"/>
              </w:rPr>
              <w:t>pro</w:t>
            </w:r>
            <w:r w:rsidRPr="00DD1DFA">
              <w:rPr>
                <w:noProof/>
                <w:sz w:val="20"/>
                <w:szCs w:val="20"/>
              </w:rPr>
              <w:t>gów oraz systemów oceny</w:t>
            </w:r>
            <w:r w:rsidR="00DD1DFA" w:rsidRPr="00DD1DFA">
              <w:rPr>
                <w:noProof/>
                <w:sz w:val="20"/>
                <w:szCs w:val="20"/>
              </w:rPr>
              <w:t xml:space="preserve"> i</w:t>
            </w:r>
            <w:r w:rsidR="00DD1DFA">
              <w:rPr>
                <w:noProof/>
                <w:sz w:val="20"/>
                <w:szCs w:val="20"/>
              </w:rPr>
              <w:t> </w:t>
            </w:r>
            <w:r w:rsidR="00DD1DFA" w:rsidRPr="00DD1DFA">
              <w:rPr>
                <w:noProof/>
                <w:sz w:val="20"/>
                <w:szCs w:val="20"/>
              </w:rPr>
              <w:t>wer</w:t>
            </w:r>
            <w:r w:rsidRPr="00DD1DFA">
              <w:rPr>
                <w:noProof/>
                <w:sz w:val="20"/>
                <w:szCs w:val="20"/>
              </w:rPr>
              <w:t>yfikacji stałości właściwości użytkowych; </w:t>
            </w:r>
          </w:p>
          <w:p w14:paraId="7634DA8B" w14:textId="26F44290"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zapewnienie, aby CEN zweryfikował</w:t>
            </w:r>
            <w:r w:rsidR="00DD1DFA" w:rsidRPr="00DD1DFA">
              <w:rPr>
                <w:noProof/>
                <w:sz w:val="20"/>
                <w:szCs w:val="20"/>
              </w:rPr>
              <w:t xml:space="preserve"> i</w:t>
            </w:r>
            <w:r w:rsidR="00DD1DFA">
              <w:rPr>
                <w:noProof/>
                <w:sz w:val="20"/>
                <w:szCs w:val="20"/>
              </w:rPr>
              <w:t> </w:t>
            </w:r>
            <w:r w:rsidR="00DD1DFA" w:rsidRPr="00DD1DFA">
              <w:rPr>
                <w:noProof/>
                <w:sz w:val="20"/>
                <w:szCs w:val="20"/>
              </w:rPr>
              <w:t>pon</w:t>
            </w:r>
            <w:r w:rsidRPr="00DD1DFA">
              <w:rPr>
                <w:noProof/>
                <w:sz w:val="20"/>
                <w:szCs w:val="20"/>
              </w:rPr>
              <w:t>ownie przyjął,</w:t>
            </w:r>
            <w:r w:rsidR="00DD1DFA" w:rsidRPr="00DD1DFA">
              <w:rPr>
                <w:noProof/>
                <w:sz w:val="20"/>
                <w:szCs w:val="20"/>
              </w:rPr>
              <w:t xml:space="preserve"> a</w:t>
            </w:r>
            <w:r w:rsidR="00DD1DFA">
              <w:rPr>
                <w:noProof/>
                <w:sz w:val="20"/>
                <w:szCs w:val="20"/>
              </w:rPr>
              <w:t> </w:t>
            </w:r>
            <w:r w:rsidR="00DD1DFA" w:rsidRPr="00DD1DFA">
              <w:rPr>
                <w:noProof/>
                <w:sz w:val="20"/>
                <w:szCs w:val="20"/>
              </w:rPr>
              <w:t>Kom</w:t>
            </w:r>
            <w:r w:rsidRPr="00DD1DFA">
              <w:rPr>
                <w:noProof/>
                <w:sz w:val="20"/>
                <w:szCs w:val="20"/>
              </w:rPr>
              <w:t>isja ponownie oceniła 600 norm zharmonizowanych (i towarzyszących im aktów prawnych) opracowanych</w:t>
            </w:r>
            <w:r w:rsidR="00DD1DFA" w:rsidRPr="00DD1DFA">
              <w:rPr>
                <w:noProof/>
                <w:sz w:val="20"/>
                <w:szCs w:val="20"/>
              </w:rPr>
              <w:t xml:space="preserve"> w</w:t>
            </w:r>
            <w:r w:rsidR="00DD1DFA">
              <w:rPr>
                <w:noProof/>
                <w:sz w:val="20"/>
                <w:szCs w:val="20"/>
              </w:rPr>
              <w:t> </w:t>
            </w:r>
            <w:r w:rsidR="00DD1DFA" w:rsidRPr="00DD1DFA">
              <w:rPr>
                <w:noProof/>
                <w:sz w:val="20"/>
                <w:szCs w:val="20"/>
              </w:rPr>
              <w:t>kon</w:t>
            </w:r>
            <w:r w:rsidRPr="00DD1DFA">
              <w:rPr>
                <w:noProof/>
                <w:sz w:val="20"/>
                <w:szCs w:val="20"/>
              </w:rPr>
              <w:t>tekście poprzedniej dyrektywy</w:t>
            </w:r>
            <w:r w:rsidR="00DD1DFA" w:rsidRPr="00DD1DFA">
              <w:rPr>
                <w:noProof/>
                <w:sz w:val="20"/>
                <w:szCs w:val="20"/>
              </w:rPr>
              <w:t xml:space="preserve"> w</w:t>
            </w:r>
            <w:r w:rsidR="00DD1DFA">
              <w:rPr>
                <w:noProof/>
                <w:sz w:val="20"/>
                <w:szCs w:val="20"/>
              </w:rPr>
              <w:t> </w:t>
            </w:r>
            <w:r w:rsidR="00DD1DFA" w:rsidRPr="00DD1DFA">
              <w:rPr>
                <w:noProof/>
                <w:sz w:val="20"/>
                <w:szCs w:val="20"/>
              </w:rPr>
              <w:t>spr</w:t>
            </w:r>
            <w:r w:rsidRPr="00DD1DFA">
              <w:rPr>
                <w:noProof/>
                <w:sz w:val="20"/>
                <w:szCs w:val="20"/>
              </w:rPr>
              <w:t>awie wyrobów budowlanych</w:t>
            </w:r>
            <w:r w:rsidR="00DD1DFA" w:rsidRPr="00DD1DFA">
              <w:rPr>
                <w:noProof/>
                <w:sz w:val="20"/>
                <w:szCs w:val="20"/>
              </w:rPr>
              <w:t xml:space="preserve"> i</w:t>
            </w:r>
            <w:r w:rsidR="00DD1DFA">
              <w:rPr>
                <w:noProof/>
                <w:sz w:val="20"/>
                <w:szCs w:val="20"/>
              </w:rPr>
              <w:t> </w:t>
            </w:r>
            <w:r w:rsidR="00DD1DFA" w:rsidRPr="00DD1DFA">
              <w:rPr>
                <w:noProof/>
                <w:sz w:val="20"/>
                <w:szCs w:val="20"/>
              </w:rPr>
              <w:t>roz</w:t>
            </w:r>
            <w:r w:rsidRPr="00DD1DFA">
              <w:rPr>
                <w:noProof/>
                <w:sz w:val="20"/>
                <w:szCs w:val="20"/>
              </w:rPr>
              <w:t>porządzenia</w:t>
            </w:r>
            <w:r w:rsidR="00DD1DFA" w:rsidRPr="00DD1DFA">
              <w:rPr>
                <w:noProof/>
                <w:sz w:val="20"/>
                <w:szCs w:val="20"/>
              </w:rPr>
              <w:t xml:space="preserve"> w</w:t>
            </w:r>
            <w:r w:rsidR="00DD1DFA">
              <w:rPr>
                <w:noProof/>
                <w:sz w:val="20"/>
                <w:szCs w:val="20"/>
              </w:rPr>
              <w:t> </w:t>
            </w:r>
            <w:r w:rsidR="00DD1DFA" w:rsidRPr="00DD1DFA">
              <w:rPr>
                <w:noProof/>
                <w:sz w:val="20"/>
                <w:szCs w:val="20"/>
              </w:rPr>
              <w:t>spr</w:t>
            </w:r>
            <w:r w:rsidRPr="00DD1DFA">
              <w:rPr>
                <w:noProof/>
                <w:sz w:val="20"/>
                <w:szCs w:val="20"/>
              </w:rPr>
              <w:t>awie wyrobów budowlanych</w:t>
            </w:r>
            <w:r w:rsidR="00DD1DFA" w:rsidRPr="00DD1DFA">
              <w:rPr>
                <w:noProof/>
                <w:sz w:val="20"/>
                <w:szCs w:val="20"/>
              </w:rPr>
              <w:t xml:space="preserve"> w</w:t>
            </w:r>
            <w:r w:rsidR="00DD1DFA">
              <w:rPr>
                <w:noProof/>
                <w:sz w:val="20"/>
                <w:szCs w:val="20"/>
              </w:rPr>
              <w:t> </w:t>
            </w:r>
            <w:r w:rsidR="00DD1DFA" w:rsidRPr="00DD1DFA">
              <w:rPr>
                <w:noProof/>
                <w:sz w:val="20"/>
                <w:szCs w:val="20"/>
              </w:rPr>
              <w:t>cel</w:t>
            </w:r>
            <w:r w:rsidRPr="00DD1DFA">
              <w:rPr>
                <w:noProof/>
                <w:sz w:val="20"/>
                <w:szCs w:val="20"/>
              </w:rPr>
              <w:t>u ich ewentualnego przywołania</w:t>
            </w:r>
            <w:r w:rsidR="00DD1DFA" w:rsidRPr="00DD1DFA">
              <w:rPr>
                <w:noProof/>
                <w:sz w:val="20"/>
                <w:szCs w:val="20"/>
              </w:rPr>
              <w:t xml:space="preserve"> w</w:t>
            </w:r>
            <w:r w:rsidR="00DD1DFA">
              <w:rPr>
                <w:noProof/>
                <w:sz w:val="20"/>
                <w:szCs w:val="20"/>
              </w:rPr>
              <w:t> </w:t>
            </w:r>
            <w:r w:rsidR="00DD1DFA" w:rsidRPr="00DD1DFA">
              <w:rPr>
                <w:i/>
                <w:iCs/>
                <w:noProof/>
                <w:sz w:val="20"/>
                <w:szCs w:val="20"/>
              </w:rPr>
              <w:t>Dzi</w:t>
            </w:r>
            <w:r w:rsidRPr="00DD1DFA">
              <w:rPr>
                <w:i/>
                <w:iCs/>
                <w:noProof/>
                <w:sz w:val="20"/>
                <w:szCs w:val="20"/>
              </w:rPr>
              <w:t>enniku Urzędowym Unii Europejskiej</w:t>
            </w:r>
            <w:r w:rsidR="00DD1DFA" w:rsidRPr="00DD1DFA">
              <w:rPr>
                <w:noProof/>
                <w:sz w:val="20"/>
                <w:szCs w:val="20"/>
              </w:rPr>
              <w:t xml:space="preserve"> w</w:t>
            </w:r>
            <w:r w:rsidR="00DD1DFA">
              <w:rPr>
                <w:noProof/>
                <w:sz w:val="20"/>
                <w:szCs w:val="20"/>
              </w:rPr>
              <w:t> </w:t>
            </w:r>
            <w:r w:rsidR="00DD1DFA" w:rsidRPr="00DD1DFA">
              <w:rPr>
                <w:noProof/>
                <w:sz w:val="20"/>
                <w:szCs w:val="20"/>
              </w:rPr>
              <w:t>okr</w:t>
            </w:r>
            <w:r w:rsidRPr="00DD1DFA">
              <w:rPr>
                <w:noProof/>
                <w:sz w:val="20"/>
                <w:szCs w:val="20"/>
              </w:rPr>
              <w:t>esie pięciu lat;</w:t>
            </w:r>
          </w:p>
          <w:p w14:paraId="64B0F89C" w14:textId="21BAE234"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przygotowywanie</w:t>
            </w:r>
            <w:r w:rsidR="00DD1DFA" w:rsidRPr="00DD1DFA">
              <w:rPr>
                <w:noProof/>
                <w:sz w:val="20"/>
                <w:szCs w:val="20"/>
              </w:rPr>
              <w:t xml:space="preserve"> i</w:t>
            </w:r>
            <w:r w:rsidR="00DD1DFA">
              <w:rPr>
                <w:noProof/>
                <w:sz w:val="20"/>
                <w:szCs w:val="20"/>
              </w:rPr>
              <w:t> </w:t>
            </w:r>
            <w:r w:rsidR="00DD1DFA" w:rsidRPr="00DD1DFA">
              <w:rPr>
                <w:noProof/>
                <w:sz w:val="20"/>
                <w:szCs w:val="20"/>
              </w:rPr>
              <w:t>prz</w:t>
            </w:r>
            <w:r w:rsidRPr="00DD1DFA">
              <w:rPr>
                <w:noProof/>
                <w:sz w:val="20"/>
                <w:szCs w:val="20"/>
              </w:rPr>
              <w:t>ywoływanie nowych norm;</w:t>
            </w:r>
          </w:p>
          <w:p w14:paraId="743E6B16" w14:textId="77777777"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przetwarzanie nowych europejskich dokumentów oceny;</w:t>
            </w:r>
          </w:p>
          <w:p w14:paraId="199F12D8" w14:textId="7751DD31"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określenie dodatkowych wymogów dotyczących wyrobów</w:t>
            </w:r>
            <w:r w:rsidR="00DD1DFA" w:rsidRPr="00DD1DFA">
              <w:rPr>
                <w:noProof/>
                <w:sz w:val="20"/>
                <w:szCs w:val="20"/>
              </w:rPr>
              <w:t xml:space="preserve"> i</w:t>
            </w:r>
            <w:r w:rsidR="00DD1DFA">
              <w:rPr>
                <w:noProof/>
                <w:sz w:val="20"/>
                <w:szCs w:val="20"/>
              </w:rPr>
              <w:t> </w:t>
            </w:r>
            <w:r w:rsidR="00DD1DFA" w:rsidRPr="00DD1DFA">
              <w:rPr>
                <w:noProof/>
                <w:sz w:val="20"/>
                <w:szCs w:val="20"/>
              </w:rPr>
              <w:t>asp</w:t>
            </w:r>
            <w:r w:rsidRPr="00DD1DFA">
              <w:rPr>
                <w:noProof/>
                <w:sz w:val="20"/>
                <w:szCs w:val="20"/>
              </w:rPr>
              <w:t>ektów zrównoważonego rozwoju wyrobów budowlanych, które mają zostać uwzględnione</w:t>
            </w:r>
            <w:r w:rsidR="00DD1DFA" w:rsidRPr="00DD1DFA">
              <w:rPr>
                <w:noProof/>
                <w:sz w:val="20"/>
                <w:szCs w:val="20"/>
              </w:rPr>
              <w:t xml:space="preserve"> w</w:t>
            </w:r>
            <w:r w:rsidR="00DD1DFA">
              <w:rPr>
                <w:noProof/>
                <w:sz w:val="20"/>
                <w:szCs w:val="20"/>
              </w:rPr>
              <w:t> </w:t>
            </w:r>
            <w:r w:rsidR="00DD1DFA" w:rsidRPr="00DD1DFA">
              <w:rPr>
                <w:noProof/>
                <w:sz w:val="20"/>
                <w:szCs w:val="20"/>
              </w:rPr>
              <w:t>odp</w:t>
            </w:r>
            <w:r w:rsidRPr="00DD1DFA">
              <w:rPr>
                <w:noProof/>
                <w:sz w:val="20"/>
                <w:szCs w:val="20"/>
              </w:rPr>
              <w:t>owiednich normach na podstawie wniosku, spowoduje dodatkowy nakład pracy związany</w:t>
            </w:r>
            <w:r w:rsidR="00DD1DFA" w:rsidRPr="00DD1DFA">
              <w:rPr>
                <w:noProof/>
                <w:sz w:val="20"/>
                <w:szCs w:val="20"/>
              </w:rPr>
              <w:t xml:space="preserve"> z</w:t>
            </w:r>
            <w:r w:rsidR="00DD1DFA">
              <w:rPr>
                <w:noProof/>
                <w:sz w:val="20"/>
                <w:szCs w:val="20"/>
              </w:rPr>
              <w:t> </w:t>
            </w:r>
            <w:r w:rsidR="00DD1DFA" w:rsidRPr="00DD1DFA">
              <w:rPr>
                <w:noProof/>
                <w:sz w:val="20"/>
                <w:szCs w:val="20"/>
              </w:rPr>
              <w:t>prz</w:t>
            </w:r>
            <w:r w:rsidRPr="00DD1DFA">
              <w:rPr>
                <w:noProof/>
                <w:sz w:val="20"/>
                <w:szCs w:val="20"/>
              </w:rPr>
              <w:t>ygotowaniem odpowiednich aktów prawnych Komisji (jednostka sektorowa przy wsparciu JRC)</w:t>
            </w:r>
            <w:r w:rsidR="00DD1DFA" w:rsidRPr="00DD1DFA">
              <w:rPr>
                <w:noProof/>
                <w:sz w:val="20"/>
                <w:szCs w:val="20"/>
              </w:rPr>
              <w:t xml:space="preserve"> i</w:t>
            </w:r>
            <w:r w:rsidR="00DD1DFA">
              <w:rPr>
                <w:noProof/>
                <w:sz w:val="20"/>
                <w:szCs w:val="20"/>
              </w:rPr>
              <w:t> </w:t>
            </w:r>
            <w:r w:rsidR="00DD1DFA" w:rsidRPr="00DD1DFA">
              <w:rPr>
                <w:noProof/>
                <w:sz w:val="20"/>
                <w:szCs w:val="20"/>
              </w:rPr>
              <w:t>będ</w:t>
            </w:r>
            <w:r w:rsidRPr="00DD1DFA">
              <w:rPr>
                <w:noProof/>
                <w:sz w:val="20"/>
                <w:szCs w:val="20"/>
              </w:rPr>
              <w:t>zie oznaczać konieczność opracowania</w:t>
            </w:r>
            <w:r w:rsidR="00DD1DFA" w:rsidRPr="00DD1DFA">
              <w:rPr>
                <w:noProof/>
                <w:sz w:val="20"/>
                <w:szCs w:val="20"/>
              </w:rPr>
              <w:t xml:space="preserve"> i</w:t>
            </w:r>
            <w:r w:rsidR="00DD1DFA">
              <w:rPr>
                <w:noProof/>
                <w:sz w:val="20"/>
                <w:szCs w:val="20"/>
              </w:rPr>
              <w:t> </w:t>
            </w:r>
            <w:r w:rsidR="00DD1DFA" w:rsidRPr="00DD1DFA">
              <w:rPr>
                <w:noProof/>
                <w:sz w:val="20"/>
                <w:szCs w:val="20"/>
              </w:rPr>
              <w:t>oce</w:t>
            </w:r>
            <w:r w:rsidRPr="00DD1DFA">
              <w:rPr>
                <w:noProof/>
                <w:sz w:val="20"/>
                <w:szCs w:val="20"/>
              </w:rPr>
              <w:t>ny bardziej złożonych zleceń normalizacji,</w:t>
            </w:r>
            <w:r w:rsidR="00DD1DFA" w:rsidRPr="00DD1DFA">
              <w:rPr>
                <w:noProof/>
                <w:sz w:val="20"/>
                <w:szCs w:val="20"/>
              </w:rPr>
              <w:t xml:space="preserve"> a</w:t>
            </w:r>
            <w:r w:rsidR="00DD1DFA">
              <w:rPr>
                <w:noProof/>
                <w:sz w:val="20"/>
                <w:szCs w:val="20"/>
              </w:rPr>
              <w:t> </w:t>
            </w:r>
            <w:r w:rsidR="00DD1DFA" w:rsidRPr="00DD1DFA">
              <w:rPr>
                <w:noProof/>
                <w:sz w:val="20"/>
                <w:szCs w:val="20"/>
              </w:rPr>
              <w:t>nas</w:t>
            </w:r>
            <w:r w:rsidRPr="00DD1DFA">
              <w:rPr>
                <w:noProof/>
                <w:sz w:val="20"/>
                <w:szCs w:val="20"/>
              </w:rPr>
              <w:t>tępnie norm;</w:t>
            </w:r>
          </w:p>
          <w:p w14:paraId="06A2B905" w14:textId="79DDC751"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opracowanie przez Komisję specyfikacji technicznych,</w:t>
            </w:r>
            <w:r w:rsidR="00DD1DFA" w:rsidRPr="00DD1DFA">
              <w:rPr>
                <w:noProof/>
                <w:sz w:val="20"/>
                <w:szCs w:val="20"/>
              </w:rPr>
              <w:t xml:space="preserve"> w</w:t>
            </w:r>
            <w:r w:rsidR="00DD1DFA">
              <w:rPr>
                <w:noProof/>
                <w:sz w:val="20"/>
                <w:szCs w:val="20"/>
              </w:rPr>
              <w:t> </w:t>
            </w:r>
            <w:r w:rsidR="00DD1DFA" w:rsidRPr="00DD1DFA">
              <w:rPr>
                <w:noProof/>
                <w:sz w:val="20"/>
                <w:szCs w:val="20"/>
              </w:rPr>
              <w:t>prz</w:t>
            </w:r>
            <w:r w:rsidRPr="00DD1DFA">
              <w:rPr>
                <w:noProof/>
                <w:sz w:val="20"/>
                <w:szCs w:val="20"/>
              </w:rPr>
              <w:t>ypadku gdy europejskie organizacje normalizacyjne nie dostarczą odpowiednich norm zharmonizowanych;</w:t>
            </w:r>
          </w:p>
          <w:p w14:paraId="2BA0B269" w14:textId="2AEBEEF1"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tworzenie</w:t>
            </w:r>
            <w:r w:rsidR="00DD1DFA" w:rsidRPr="00DD1DFA">
              <w:rPr>
                <w:noProof/>
                <w:sz w:val="20"/>
                <w:szCs w:val="20"/>
              </w:rPr>
              <w:t xml:space="preserve"> i</w:t>
            </w:r>
            <w:r w:rsidR="00DD1DFA">
              <w:rPr>
                <w:noProof/>
                <w:sz w:val="20"/>
                <w:szCs w:val="20"/>
              </w:rPr>
              <w:t> </w:t>
            </w:r>
            <w:r w:rsidR="00DD1DFA" w:rsidRPr="00DD1DFA">
              <w:rPr>
                <w:noProof/>
                <w:sz w:val="20"/>
                <w:szCs w:val="20"/>
              </w:rPr>
              <w:t>utr</w:t>
            </w:r>
            <w:r w:rsidRPr="00DD1DFA">
              <w:rPr>
                <w:noProof/>
                <w:sz w:val="20"/>
                <w:szCs w:val="20"/>
              </w:rPr>
              <w:t>zymywanie bazy danych lub systemu związanych</w:t>
            </w:r>
            <w:r w:rsidR="00DD1DFA" w:rsidRPr="00DD1DFA">
              <w:rPr>
                <w:noProof/>
                <w:sz w:val="20"/>
                <w:szCs w:val="20"/>
              </w:rPr>
              <w:t xml:space="preserve"> z</w:t>
            </w:r>
            <w:r w:rsidR="00DD1DFA">
              <w:rPr>
                <w:noProof/>
                <w:sz w:val="20"/>
                <w:szCs w:val="20"/>
              </w:rPr>
              <w:t> </w:t>
            </w:r>
            <w:r w:rsidR="00DD1DFA" w:rsidRPr="00DD1DFA">
              <w:rPr>
                <w:noProof/>
                <w:sz w:val="20"/>
                <w:szCs w:val="20"/>
              </w:rPr>
              <w:t>roz</w:t>
            </w:r>
            <w:r w:rsidRPr="00DD1DFA">
              <w:rPr>
                <w:noProof/>
                <w:sz w:val="20"/>
                <w:szCs w:val="20"/>
              </w:rPr>
              <w:t>porządzeniem</w:t>
            </w:r>
            <w:r w:rsidR="00DD1DFA" w:rsidRPr="00DD1DFA">
              <w:rPr>
                <w:noProof/>
                <w:sz w:val="20"/>
                <w:szCs w:val="20"/>
              </w:rPr>
              <w:t xml:space="preserve"> w</w:t>
            </w:r>
            <w:r w:rsidR="00DD1DFA">
              <w:rPr>
                <w:noProof/>
                <w:sz w:val="20"/>
                <w:szCs w:val="20"/>
              </w:rPr>
              <w:t> </w:t>
            </w:r>
            <w:r w:rsidR="00DD1DFA" w:rsidRPr="00DD1DFA">
              <w:rPr>
                <w:noProof/>
                <w:sz w:val="20"/>
                <w:szCs w:val="20"/>
              </w:rPr>
              <w:t>spr</w:t>
            </w:r>
            <w:r w:rsidRPr="00DD1DFA">
              <w:rPr>
                <w:noProof/>
                <w:sz w:val="20"/>
                <w:szCs w:val="20"/>
              </w:rPr>
              <w:t>awie wyrobów budowlanych;</w:t>
            </w:r>
          </w:p>
          <w:p w14:paraId="4EE92575" w14:textId="476E823E"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rozpatrywanie skarg za pośrednictwem portalu ostrzegania</w:t>
            </w:r>
            <w:r w:rsidR="00DD1DFA" w:rsidRPr="00DD1DFA">
              <w:rPr>
                <w:noProof/>
                <w:sz w:val="20"/>
                <w:szCs w:val="20"/>
              </w:rPr>
              <w:t xml:space="preserve"> o</w:t>
            </w:r>
            <w:r w:rsidR="00DD1DFA">
              <w:rPr>
                <w:noProof/>
                <w:sz w:val="20"/>
                <w:szCs w:val="20"/>
              </w:rPr>
              <w:t> </w:t>
            </w:r>
            <w:r w:rsidR="00DD1DFA" w:rsidRPr="00DD1DFA">
              <w:rPr>
                <w:noProof/>
                <w:sz w:val="20"/>
                <w:szCs w:val="20"/>
              </w:rPr>
              <w:t>nie</w:t>
            </w:r>
            <w:r w:rsidRPr="00DD1DFA">
              <w:rPr>
                <w:noProof/>
                <w:sz w:val="20"/>
                <w:szCs w:val="20"/>
              </w:rPr>
              <w:t>zgodnościach;</w:t>
            </w:r>
          </w:p>
          <w:p w14:paraId="614EE600" w14:textId="77777777"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koordynacja jednostek notyfikowanych;</w:t>
            </w:r>
          </w:p>
          <w:p w14:paraId="2ADA6871" w14:textId="39CCF624"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bCs/>
                <w:noProof/>
                <w:sz w:val="20"/>
                <w:szCs w:val="20"/>
              </w:rPr>
              <w:t>analizowanie przepisów krajowych dotyczących wyrobów niezgodnych</w:t>
            </w:r>
            <w:r w:rsidR="00DD1DFA" w:rsidRPr="00DD1DFA">
              <w:rPr>
                <w:bCs/>
                <w:noProof/>
                <w:sz w:val="20"/>
                <w:szCs w:val="20"/>
              </w:rPr>
              <w:t xml:space="preserve"> z</w:t>
            </w:r>
            <w:r w:rsidR="00DD1DFA">
              <w:rPr>
                <w:bCs/>
                <w:noProof/>
                <w:sz w:val="20"/>
                <w:szCs w:val="20"/>
              </w:rPr>
              <w:t> </w:t>
            </w:r>
            <w:r w:rsidR="00DD1DFA" w:rsidRPr="00DD1DFA">
              <w:rPr>
                <w:bCs/>
                <w:noProof/>
                <w:sz w:val="20"/>
                <w:szCs w:val="20"/>
              </w:rPr>
              <w:t>wym</w:t>
            </w:r>
            <w:r w:rsidRPr="00DD1DFA">
              <w:rPr>
                <w:bCs/>
                <w:noProof/>
                <w:sz w:val="20"/>
                <w:szCs w:val="20"/>
              </w:rPr>
              <w:t>ogami;</w:t>
            </w:r>
          </w:p>
          <w:p w14:paraId="17E573BF" w14:textId="77777777"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bCs/>
                <w:noProof/>
                <w:sz w:val="20"/>
                <w:szCs w:val="20"/>
              </w:rPr>
              <w:t>wdrażanie procedury ochronnej na poziomie UE;</w:t>
            </w:r>
          </w:p>
          <w:p w14:paraId="58961ECE" w14:textId="76987116"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bCs/>
                <w:noProof/>
                <w:sz w:val="20"/>
                <w:szCs w:val="20"/>
              </w:rPr>
              <w:t>przyjęcie aktów delegowanych</w:t>
            </w:r>
            <w:r w:rsidR="00DD1DFA" w:rsidRPr="00DD1DFA">
              <w:rPr>
                <w:bCs/>
                <w:noProof/>
                <w:sz w:val="20"/>
                <w:szCs w:val="20"/>
              </w:rPr>
              <w:t xml:space="preserve"> w</w:t>
            </w:r>
            <w:r w:rsidR="00DD1DFA">
              <w:rPr>
                <w:bCs/>
                <w:noProof/>
                <w:sz w:val="20"/>
                <w:szCs w:val="20"/>
              </w:rPr>
              <w:t> </w:t>
            </w:r>
            <w:r w:rsidR="00DD1DFA" w:rsidRPr="00DD1DFA">
              <w:rPr>
                <w:bCs/>
                <w:noProof/>
                <w:sz w:val="20"/>
                <w:szCs w:val="20"/>
              </w:rPr>
              <w:t>spr</w:t>
            </w:r>
            <w:r w:rsidRPr="00DD1DFA">
              <w:rPr>
                <w:bCs/>
                <w:noProof/>
                <w:sz w:val="20"/>
                <w:szCs w:val="20"/>
              </w:rPr>
              <w:t>awie minimalnej liczby kontroli przeprowadzanych przez organy nadzoru rynku;</w:t>
            </w:r>
          </w:p>
          <w:p w14:paraId="1228BC6D" w14:textId="77777777"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bCs/>
                <w:noProof/>
                <w:sz w:val="20"/>
                <w:szCs w:val="20"/>
              </w:rPr>
              <w:t>sporządzanie rocznych sprawozdań opartych na szczegółowych danych statystycznych dotyczących kontroli przeprowadzanych przez ich organy nadzoru rynku;</w:t>
            </w:r>
          </w:p>
          <w:p w14:paraId="3FD1512D" w14:textId="27A7D75F"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bCs/>
                <w:noProof/>
                <w:sz w:val="20"/>
                <w:szCs w:val="20"/>
              </w:rPr>
              <w:t>gromadzenie</w:t>
            </w:r>
            <w:r w:rsidR="00DD1DFA" w:rsidRPr="00DD1DFA">
              <w:rPr>
                <w:bCs/>
                <w:noProof/>
                <w:sz w:val="20"/>
                <w:szCs w:val="20"/>
              </w:rPr>
              <w:t xml:space="preserve"> i</w:t>
            </w:r>
            <w:r w:rsidR="00DD1DFA">
              <w:rPr>
                <w:bCs/>
                <w:noProof/>
                <w:sz w:val="20"/>
                <w:szCs w:val="20"/>
              </w:rPr>
              <w:t> </w:t>
            </w:r>
            <w:r w:rsidR="00DD1DFA" w:rsidRPr="00DD1DFA">
              <w:rPr>
                <w:bCs/>
                <w:noProof/>
                <w:sz w:val="20"/>
                <w:szCs w:val="20"/>
              </w:rPr>
              <w:t>opr</w:t>
            </w:r>
            <w:r w:rsidRPr="00DD1DFA">
              <w:rPr>
                <w:bCs/>
                <w:noProof/>
                <w:sz w:val="20"/>
                <w:szCs w:val="20"/>
              </w:rPr>
              <w:t>acowywanie zasad interpretacji;</w:t>
            </w:r>
          </w:p>
          <w:p w14:paraId="5C24124C" w14:textId="1861A427"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 xml:space="preserve">prowadzenie </w:t>
            </w:r>
            <w:r w:rsidRPr="00DD1DFA">
              <w:rPr>
                <w:bCs/>
                <w:noProof/>
                <w:sz w:val="20"/>
                <w:szCs w:val="20"/>
              </w:rPr>
              <w:t>szkoleń dla organów nadzoru rynku, punktów kontaktowych ds. wyrobów budowlanych, jednostek notyfikowanych</w:t>
            </w:r>
            <w:r w:rsidR="00DD1DFA" w:rsidRPr="00DD1DFA">
              <w:rPr>
                <w:bCs/>
                <w:noProof/>
                <w:sz w:val="20"/>
                <w:szCs w:val="20"/>
              </w:rPr>
              <w:t xml:space="preserve"> i</w:t>
            </w:r>
            <w:r w:rsidR="00DD1DFA">
              <w:rPr>
                <w:bCs/>
                <w:noProof/>
                <w:sz w:val="20"/>
                <w:szCs w:val="20"/>
              </w:rPr>
              <w:t> </w:t>
            </w:r>
            <w:r w:rsidR="00DD1DFA" w:rsidRPr="00DD1DFA">
              <w:rPr>
                <w:bCs/>
                <w:noProof/>
                <w:sz w:val="20"/>
                <w:szCs w:val="20"/>
              </w:rPr>
              <w:t>inn</w:t>
            </w:r>
            <w:r w:rsidRPr="00DD1DFA">
              <w:rPr>
                <w:bCs/>
                <w:noProof/>
                <w:sz w:val="20"/>
                <w:szCs w:val="20"/>
              </w:rPr>
              <w:t>ych właściwych organów;</w:t>
            </w:r>
          </w:p>
          <w:p w14:paraId="6EDEDD7A" w14:textId="68D3224F"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wspieranie współpracy międzynarodowej (w</w:t>
            </w:r>
            <w:r w:rsidRPr="00DD1DFA">
              <w:rPr>
                <w:bCs/>
                <w:noProof/>
                <w:sz w:val="20"/>
                <w:szCs w:val="20"/>
              </w:rPr>
              <w:t>ymiana informacji na temat egzekwowania przepisów, danych podmiotów gospodarczych, działań związanych</w:t>
            </w:r>
            <w:r w:rsidR="00DD1DFA" w:rsidRPr="00DD1DFA">
              <w:rPr>
                <w:bCs/>
                <w:noProof/>
                <w:sz w:val="20"/>
                <w:szCs w:val="20"/>
              </w:rPr>
              <w:t xml:space="preserve"> z</w:t>
            </w:r>
            <w:r w:rsidR="00DD1DFA">
              <w:rPr>
                <w:bCs/>
                <w:noProof/>
                <w:sz w:val="20"/>
                <w:szCs w:val="20"/>
              </w:rPr>
              <w:t> </w:t>
            </w:r>
            <w:r w:rsidR="00DD1DFA" w:rsidRPr="00DD1DFA">
              <w:rPr>
                <w:bCs/>
                <w:noProof/>
                <w:sz w:val="20"/>
                <w:szCs w:val="20"/>
              </w:rPr>
              <w:t>nor</w:t>
            </w:r>
            <w:r w:rsidRPr="00DD1DFA">
              <w:rPr>
                <w:bCs/>
                <w:noProof/>
                <w:sz w:val="20"/>
                <w:szCs w:val="20"/>
              </w:rPr>
              <w:t>malizacją, kwestii regulacyjnych, metod oceny</w:t>
            </w:r>
            <w:r w:rsidR="00DD1DFA" w:rsidRPr="00DD1DFA">
              <w:rPr>
                <w:bCs/>
                <w:noProof/>
                <w:sz w:val="20"/>
                <w:szCs w:val="20"/>
              </w:rPr>
              <w:t xml:space="preserve"> i</w:t>
            </w:r>
            <w:r w:rsidR="00DD1DFA">
              <w:rPr>
                <w:bCs/>
                <w:noProof/>
                <w:sz w:val="20"/>
                <w:szCs w:val="20"/>
              </w:rPr>
              <w:t> </w:t>
            </w:r>
            <w:r w:rsidR="00DD1DFA" w:rsidRPr="00DD1DFA">
              <w:rPr>
                <w:bCs/>
                <w:noProof/>
                <w:sz w:val="20"/>
                <w:szCs w:val="20"/>
              </w:rPr>
              <w:t>bad</w:t>
            </w:r>
            <w:r w:rsidRPr="00DD1DFA">
              <w:rPr>
                <w:bCs/>
                <w:noProof/>
                <w:sz w:val="20"/>
                <w:szCs w:val="20"/>
              </w:rPr>
              <w:t>ania);</w:t>
            </w:r>
          </w:p>
          <w:p w14:paraId="76E3726D" w14:textId="3C1C291D"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noProof/>
                <w:sz w:val="20"/>
                <w:szCs w:val="20"/>
              </w:rPr>
              <w:t>organizowanie wymiany informacji między państwami członkowskimi na temat zachęt do promowania zrównoważonych produktów</w:t>
            </w:r>
            <w:r w:rsidR="00DD1DFA" w:rsidRPr="00DD1DFA">
              <w:rPr>
                <w:noProof/>
                <w:sz w:val="20"/>
                <w:szCs w:val="20"/>
              </w:rPr>
              <w:t xml:space="preserve"> w</w:t>
            </w:r>
            <w:r w:rsidR="00DD1DFA">
              <w:rPr>
                <w:noProof/>
                <w:sz w:val="20"/>
                <w:szCs w:val="20"/>
              </w:rPr>
              <w:t> </w:t>
            </w:r>
            <w:r w:rsidR="00DD1DFA" w:rsidRPr="00DD1DFA">
              <w:rPr>
                <w:noProof/>
                <w:sz w:val="20"/>
                <w:szCs w:val="20"/>
              </w:rPr>
              <w:t>zam</w:t>
            </w:r>
            <w:r w:rsidRPr="00DD1DFA">
              <w:rPr>
                <w:noProof/>
                <w:sz w:val="20"/>
                <w:szCs w:val="20"/>
              </w:rPr>
              <w:t>ówieniach publicznych, publikowanie wyników takiej wymiany oraz publikowanie wytycznych</w:t>
            </w:r>
            <w:r w:rsidR="00DD1DFA" w:rsidRPr="00DD1DFA">
              <w:rPr>
                <w:noProof/>
                <w:sz w:val="20"/>
                <w:szCs w:val="20"/>
              </w:rPr>
              <w:t xml:space="preserve"> w</w:t>
            </w:r>
            <w:r w:rsidR="00DD1DFA">
              <w:rPr>
                <w:noProof/>
                <w:sz w:val="20"/>
                <w:szCs w:val="20"/>
              </w:rPr>
              <w:t> </w:t>
            </w:r>
            <w:r w:rsidR="00DD1DFA" w:rsidRPr="00DD1DFA">
              <w:rPr>
                <w:noProof/>
                <w:sz w:val="20"/>
                <w:szCs w:val="20"/>
              </w:rPr>
              <w:t>cel</w:t>
            </w:r>
            <w:r w:rsidRPr="00DD1DFA">
              <w:rPr>
                <w:noProof/>
                <w:sz w:val="20"/>
                <w:szCs w:val="20"/>
              </w:rPr>
              <w:t>u promowania jak najszerszego stosowania takich zachęt;</w:t>
            </w:r>
          </w:p>
          <w:p w14:paraId="0EA9A906" w14:textId="3C828236"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bCs/>
                <w:noProof/>
                <w:sz w:val="20"/>
                <w:szCs w:val="20"/>
              </w:rPr>
              <w:t>zarządzanie projektami, sekretariat techniczny, rozporządzenia delegowane związane</w:t>
            </w:r>
            <w:r w:rsidR="00DD1DFA" w:rsidRPr="00DD1DFA">
              <w:rPr>
                <w:bCs/>
                <w:noProof/>
                <w:sz w:val="20"/>
                <w:szCs w:val="20"/>
              </w:rPr>
              <w:t xml:space="preserve"> z</w:t>
            </w:r>
            <w:r w:rsidR="00DD1DFA">
              <w:rPr>
                <w:bCs/>
                <w:noProof/>
                <w:sz w:val="20"/>
                <w:szCs w:val="20"/>
              </w:rPr>
              <w:t> </w:t>
            </w:r>
            <w:r w:rsidR="00DD1DFA" w:rsidRPr="00DD1DFA">
              <w:rPr>
                <w:bCs/>
                <w:noProof/>
                <w:sz w:val="20"/>
                <w:szCs w:val="20"/>
              </w:rPr>
              <w:t>bez</w:t>
            </w:r>
            <w:r w:rsidRPr="00DD1DFA">
              <w:rPr>
                <w:bCs/>
                <w:noProof/>
                <w:sz w:val="20"/>
                <w:szCs w:val="20"/>
              </w:rPr>
              <w:t>pieczeństwem pożarowym;</w:t>
            </w:r>
          </w:p>
          <w:p w14:paraId="1DC61489" w14:textId="77777777" w:rsidR="005D44AF" w:rsidRPr="00DD1DFA" w:rsidRDefault="005D44AF" w:rsidP="00D810F6">
            <w:pPr>
              <w:numPr>
                <w:ilvl w:val="0"/>
                <w:numId w:val="35"/>
              </w:numPr>
              <w:spacing w:before="0" w:after="0" w:line="276" w:lineRule="auto"/>
              <w:jc w:val="left"/>
              <w:textAlignment w:val="baseline"/>
              <w:rPr>
                <w:rFonts w:eastAsia="Times New Roman"/>
                <w:noProof/>
                <w:sz w:val="20"/>
                <w:szCs w:val="20"/>
              </w:rPr>
            </w:pPr>
            <w:r w:rsidRPr="00DD1DFA">
              <w:rPr>
                <w:bCs/>
                <w:noProof/>
                <w:sz w:val="20"/>
                <w:szCs w:val="20"/>
              </w:rPr>
              <w:t>przygotowywanie briefingów;</w:t>
            </w:r>
          </w:p>
          <w:p w14:paraId="530E9EF0" w14:textId="77777777" w:rsidR="005D44AF" w:rsidRPr="00DD1DFA" w:rsidRDefault="005D44AF" w:rsidP="00D810F6">
            <w:pPr>
              <w:numPr>
                <w:ilvl w:val="0"/>
                <w:numId w:val="35"/>
              </w:numPr>
              <w:spacing w:before="0" w:after="0" w:line="276" w:lineRule="auto"/>
              <w:jc w:val="left"/>
              <w:textAlignment w:val="baseline"/>
              <w:rPr>
                <w:noProof/>
                <w:sz w:val="20"/>
                <w:szCs w:val="20"/>
              </w:rPr>
            </w:pPr>
            <w:r w:rsidRPr="00DD1DFA">
              <w:rPr>
                <w:bCs/>
                <w:noProof/>
                <w:sz w:val="20"/>
                <w:szCs w:val="20"/>
              </w:rPr>
              <w:t>ogólna koordynacja.</w:t>
            </w:r>
          </w:p>
        </w:tc>
      </w:tr>
      <w:tr w:rsidR="005D44AF" w:rsidRPr="00DD1DFA" w14:paraId="27806738" w14:textId="77777777" w:rsidTr="00380F0F">
        <w:tc>
          <w:tcPr>
            <w:tcW w:w="3240" w:type="dxa"/>
          </w:tcPr>
          <w:p w14:paraId="2181F017" w14:textId="77777777" w:rsidR="005D44AF" w:rsidRPr="00DD1DFA" w:rsidRDefault="005D44AF" w:rsidP="005D44AF">
            <w:pPr>
              <w:spacing w:before="60" w:after="60"/>
              <w:rPr>
                <w:noProof/>
                <w:sz w:val="20"/>
              </w:rPr>
            </w:pPr>
            <w:r w:rsidRPr="00DD1DFA">
              <w:rPr>
                <w:noProof/>
                <w:sz w:val="20"/>
              </w:rPr>
              <w:t>Personel zewnętrzny</w:t>
            </w:r>
          </w:p>
        </w:tc>
        <w:tc>
          <w:tcPr>
            <w:tcW w:w="7200" w:type="dxa"/>
          </w:tcPr>
          <w:p w14:paraId="10E4759B" w14:textId="77777777" w:rsidR="005D44AF" w:rsidRPr="00DD1DFA" w:rsidRDefault="005D44AF" w:rsidP="005D44AF">
            <w:pPr>
              <w:rPr>
                <w:noProof/>
                <w:sz w:val="20"/>
                <w:lang w:eastAsia="en-GB"/>
              </w:rPr>
            </w:pPr>
          </w:p>
        </w:tc>
      </w:tr>
    </w:tbl>
    <w:p w14:paraId="040493C2" w14:textId="77777777" w:rsidR="005D44AF" w:rsidRPr="00DD1DFA" w:rsidRDefault="005D44AF" w:rsidP="005D44AF">
      <w:pPr>
        <w:rPr>
          <w:noProof/>
          <w:lang w:eastAsia="en-GB"/>
        </w:rPr>
        <w:sectPr w:rsidR="005D44AF" w:rsidRPr="00DD1DFA" w:rsidSect="0037392B">
          <w:headerReference w:type="default" r:id="rId19"/>
          <w:footerReference w:type="default" r:id="rId20"/>
          <w:headerReference w:type="first" r:id="rId21"/>
          <w:footerReference w:type="first" r:id="rId22"/>
          <w:pgSz w:w="11907" w:h="16840"/>
          <w:pgMar w:top="1134" w:right="1418" w:bottom="1134" w:left="1418" w:header="709" w:footer="709" w:gutter="0"/>
          <w:cols w:space="708"/>
          <w:docGrid w:linePitch="360"/>
        </w:sectPr>
      </w:pPr>
    </w:p>
    <w:p w14:paraId="3EA526BC" w14:textId="7ACDB6D9" w:rsidR="005D44AF" w:rsidRPr="00DD1DFA" w:rsidRDefault="005F7EFA" w:rsidP="005F7EFA">
      <w:pPr>
        <w:pStyle w:val="ManualHeading3"/>
        <w:rPr>
          <w:noProof/>
        </w:rPr>
      </w:pPr>
      <w:bookmarkStart w:id="66" w:name="_Toc514938056"/>
      <w:bookmarkStart w:id="67" w:name="_Toc95761300"/>
      <w:r w:rsidRPr="005F7EFA">
        <w:t>3.2.4.</w:t>
      </w:r>
      <w:r w:rsidRPr="005F7EFA">
        <w:tab/>
      </w:r>
      <w:r w:rsidR="005D44AF" w:rsidRPr="00DD1DFA">
        <w:rPr>
          <w:noProof/>
        </w:rPr>
        <w:t>Zgodność</w:t>
      </w:r>
      <w:r w:rsidR="00DD1DFA" w:rsidRPr="00DD1DFA">
        <w:rPr>
          <w:noProof/>
        </w:rPr>
        <w:t xml:space="preserve"> z</w:t>
      </w:r>
      <w:r w:rsidR="00DD1DFA">
        <w:rPr>
          <w:noProof/>
        </w:rPr>
        <w:t> </w:t>
      </w:r>
      <w:r w:rsidR="00DD1DFA" w:rsidRPr="00DD1DFA">
        <w:rPr>
          <w:noProof/>
        </w:rPr>
        <w:t>obo</w:t>
      </w:r>
      <w:r w:rsidR="005D44AF" w:rsidRPr="00DD1DFA">
        <w:rPr>
          <w:noProof/>
        </w:rPr>
        <w:t>wiązującymi wieloletnimi ramami finansowymi</w:t>
      </w:r>
      <w:bookmarkEnd w:id="66"/>
      <w:bookmarkEnd w:id="67"/>
      <w:r w:rsidR="005D44AF" w:rsidRPr="00DD1DFA">
        <w:rPr>
          <w:noProof/>
        </w:rPr>
        <w:t xml:space="preserve"> </w:t>
      </w:r>
    </w:p>
    <w:p w14:paraId="60CBC90B" w14:textId="77777777" w:rsidR="005D44AF" w:rsidRPr="00DD1DFA" w:rsidRDefault="005D44AF" w:rsidP="005D44AF">
      <w:pPr>
        <w:ind w:left="850"/>
        <w:rPr>
          <w:noProof/>
        </w:rPr>
      </w:pPr>
      <w:r w:rsidRPr="00DD1DFA">
        <w:rPr>
          <w:noProof/>
        </w:rPr>
        <w:t>Wniosek/inicjatywa:</w:t>
      </w:r>
    </w:p>
    <w:p w14:paraId="04ECA788" w14:textId="6BAE6986" w:rsidR="005D44AF" w:rsidRPr="00DD1DFA" w:rsidRDefault="005D44AF" w:rsidP="005D44AF">
      <w:pPr>
        <w:tabs>
          <w:tab w:val="num" w:pos="1134"/>
        </w:tabs>
        <w:ind w:left="1134" w:hanging="283"/>
        <w:rPr>
          <w:rFonts w:asciiTheme="minorHAnsi" w:eastAsiaTheme="minorEastAsia" w:hAnsiTheme="minorHAnsi" w:cstheme="minorBidi"/>
          <w:noProof/>
          <w:szCs w:val="24"/>
        </w:rPr>
      </w:pPr>
      <w:r w:rsidRPr="00DD1DFA">
        <w:rPr>
          <w:rFonts w:ascii="Wingdings" w:hAnsi="Wingdings"/>
          <w:noProof/>
          <w:color w:val="341A51"/>
          <w:sz w:val="22"/>
        </w:rPr>
        <w:t></w:t>
      </w:r>
      <w:r w:rsidRPr="00DD1DFA">
        <w:rPr>
          <w:rFonts w:ascii="Wingdings" w:hAnsi="Wingdings"/>
          <w:noProof/>
          <w:color w:val="341A51"/>
          <w:sz w:val="22"/>
        </w:rPr>
        <w:t></w:t>
      </w:r>
      <w:r w:rsidRPr="00DD1DFA">
        <w:rPr>
          <w:noProof/>
        </w:rPr>
        <w:t>może zostać</w:t>
      </w:r>
      <w:r w:rsidR="00DD1DFA" w:rsidRPr="00DD1DFA">
        <w:rPr>
          <w:noProof/>
        </w:rPr>
        <w:t xml:space="preserve"> w</w:t>
      </w:r>
      <w:r w:rsidR="00DD1DFA">
        <w:rPr>
          <w:noProof/>
        </w:rPr>
        <w:t> </w:t>
      </w:r>
      <w:r w:rsidR="00DD1DFA" w:rsidRPr="00DD1DFA">
        <w:rPr>
          <w:noProof/>
        </w:rPr>
        <w:t>peł</w:t>
      </w:r>
      <w:r w:rsidRPr="00DD1DFA">
        <w:rPr>
          <w:noProof/>
        </w:rPr>
        <w:t>ni sfinansowany(a) przez przegrupowanie środków</w:t>
      </w:r>
      <w:r w:rsidR="00DD1DFA" w:rsidRPr="00DD1DFA">
        <w:rPr>
          <w:noProof/>
        </w:rPr>
        <w:t xml:space="preserve"> w</w:t>
      </w:r>
      <w:r w:rsidR="00DD1DFA">
        <w:rPr>
          <w:noProof/>
        </w:rPr>
        <w:t> </w:t>
      </w:r>
      <w:r w:rsidR="00DD1DFA" w:rsidRPr="00DD1DFA">
        <w:rPr>
          <w:noProof/>
        </w:rPr>
        <w:t>ram</w:t>
      </w:r>
      <w:r w:rsidRPr="00DD1DFA">
        <w:rPr>
          <w:noProof/>
        </w:rPr>
        <w:t>ach odpowiedniego działu wieloletnich ram finansowych (WRF).</w:t>
      </w:r>
    </w:p>
    <w:p w14:paraId="05E3BB8A" w14:textId="15D6CA54"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sz w:val="20"/>
        </w:rPr>
      </w:pPr>
      <w:r w:rsidRPr="00DD1DFA">
        <w:rPr>
          <w:noProof/>
          <w:sz w:val="20"/>
        </w:rPr>
        <w:t>Należy wyjaśnić, na czym ma polegać przeprogramowanie, określając linie budżetowe, których ma ono dotyczyć, oraz podając odpowiednie kwoty</w:t>
      </w:r>
      <w:r w:rsidR="00DD1DFA" w:rsidRPr="00DD1DFA">
        <w:rPr>
          <w:noProof/>
          <w:sz w:val="20"/>
        </w:rPr>
        <w:t>.</w:t>
      </w:r>
      <w:r w:rsidR="00DD1DFA" w:rsidRPr="00DD1DFA">
        <w:rPr>
          <w:noProof/>
        </w:rPr>
        <w:t xml:space="preserve"> </w:t>
      </w:r>
      <w:r w:rsidR="00DD1DFA" w:rsidRPr="00DD1DFA">
        <w:rPr>
          <w:noProof/>
          <w:sz w:val="20"/>
        </w:rPr>
        <w:t>W</w:t>
      </w:r>
      <w:r w:rsidR="00DD1DFA">
        <w:rPr>
          <w:noProof/>
          <w:sz w:val="20"/>
        </w:rPr>
        <w:t> </w:t>
      </w:r>
      <w:r w:rsidR="00DD1DFA" w:rsidRPr="00DD1DFA">
        <w:rPr>
          <w:noProof/>
          <w:sz w:val="20"/>
        </w:rPr>
        <w:t>prz</w:t>
      </w:r>
      <w:r w:rsidRPr="00DD1DFA">
        <w:rPr>
          <w:noProof/>
          <w:sz w:val="20"/>
        </w:rPr>
        <w:t>ypadku znacznego przeprogramowania należy załączyć arkusz kalkulacyjny.</w:t>
      </w:r>
    </w:p>
    <w:p w14:paraId="0C9E5A47" w14:textId="552E14FC" w:rsidR="005D44AF" w:rsidRPr="00DD1DFA" w:rsidRDefault="005D44AF" w:rsidP="005D44AF">
      <w:pPr>
        <w:tabs>
          <w:tab w:val="num" w:pos="1134"/>
        </w:tabs>
        <w:ind w:left="1134" w:hanging="283"/>
        <w:rPr>
          <w:noProof/>
        </w:rPr>
      </w:pPr>
      <w:r w:rsidRPr="00DD1DFA">
        <w:rPr>
          <w:rFonts w:ascii="Wingdings" w:hAnsi="Wingdings"/>
          <w:noProof/>
        </w:rPr>
        <w:t></w:t>
      </w:r>
      <w:r w:rsidRPr="00DD1DFA">
        <w:rPr>
          <w:noProof/>
        </w:rPr>
        <w:tab/>
        <w:t>wymaga zastosowania nieprzydzielonego marginesu środków</w:t>
      </w:r>
      <w:r w:rsidR="00DD1DFA" w:rsidRPr="00DD1DFA">
        <w:rPr>
          <w:noProof/>
        </w:rPr>
        <w:t xml:space="preserve"> w</w:t>
      </w:r>
      <w:r w:rsidR="00DD1DFA">
        <w:rPr>
          <w:noProof/>
        </w:rPr>
        <w:t> </w:t>
      </w:r>
      <w:r w:rsidR="00DD1DFA" w:rsidRPr="00DD1DFA">
        <w:rPr>
          <w:noProof/>
        </w:rPr>
        <w:t>ram</w:t>
      </w:r>
      <w:r w:rsidRPr="00DD1DFA">
        <w:rPr>
          <w:noProof/>
        </w:rPr>
        <w:t>ach odpowiedniego działu WRF lub zastosowania specjalnych instrumentów zdefiniowanych</w:t>
      </w:r>
      <w:r w:rsidR="00DD1DFA" w:rsidRPr="00DD1DFA">
        <w:rPr>
          <w:noProof/>
        </w:rPr>
        <w:t xml:space="preserve"> w</w:t>
      </w:r>
      <w:r w:rsidR="00DD1DFA">
        <w:rPr>
          <w:noProof/>
        </w:rPr>
        <w:t> </w:t>
      </w:r>
      <w:r w:rsidR="00DD1DFA" w:rsidRPr="00DD1DFA">
        <w:rPr>
          <w:noProof/>
        </w:rPr>
        <w:t>roz</w:t>
      </w:r>
      <w:r w:rsidRPr="00DD1DFA">
        <w:rPr>
          <w:noProof/>
        </w:rPr>
        <w:t>porządzeniu</w:t>
      </w:r>
      <w:r w:rsidR="00DD1DFA" w:rsidRPr="00DD1DFA">
        <w:rPr>
          <w:noProof/>
        </w:rPr>
        <w:t xml:space="preserve"> w</w:t>
      </w:r>
      <w:r w:rsidR="00DD1DFA">
        <w:rPr>
          <w:noProof/>
        </w:rPr>
        <w:t> </w:t>
      </w:r>
      <w:r w:rsidR="00DD1DFA" w:rsidRPr="00DD1DFA">
        <w:rPr>
          <w:noProof/>
        </w:rPr>
        <w:t>spr</w:t>
      </w:r>
      <w:r w:rsidRPr="00DD1DFA">
        <w:rPr>
          <w:noProof/>
        </w:rPr>
        <w:t>awie WRF.</w:t>
      </w:r>
    </w:p>
    <w:p w14:paraId="31FA11A9" w14:textId="53F4FFCF"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sz w:val="20"/>
        </w:rPr>
      </w:pPr>
      <w:r w:rsidRPr="00DD1DFA">
        <w:rPr>
          <w:noProof/>
          <w:sz w:val="20"/>
        </w:rPr>
        <w:t>Należy wyjaśnić, który wariant jest konieczny, określając działy</w:t>
      </w:r>
      <w:r w:rsidR="00DD1DFA" w:rsidRPr="00DD1DFA">
        <w:rPr>
          <w:noProof/>
          <w:sz w:val="20"/>
        </w:rPr>
        <w:t xml:space="preserve"> i</w:t>
      </w:r>
      <w:r w:rsidR="00DD1DFA">
        <w:rPr>
          <w:noProof/>
          <w:sz w:val="20"/>
        </w:rPr>
        <w:t> </w:t>
      </w:r>
      <w:r w:rsidR="00DD1DFA" w:rsidRPr="00DD1DFA">
        <w:rPr>
          <w:noProof/>
          <w:sz w:val="20"/>
        </w:rPr>
        <w:t>lin</w:t>
      </w:r>
      <w:r w:rsidRPr="00DD1DFA">
        <w:rPr>
          <w:noProof/>
          <w:sz w:val="20"/>
        </w:rPr>
        <w:t>ie budżetowe, których ma dotyczyć, odpowiadające im kwoty oraz proponowane instrumenty, które należy zastosować.</w:t>
      </w:r>
    </w:p>
    <w:p w14:paraId="61845F41" w14:textId="77777777" w:rsidR="005D44AF" w:rsidRPr="00DD1DFA" w:rsidRDefault="005D44AF" w:rsidP="005D44AF">
      <w:pPr>
        <w:tabs>
          <w:tab w:val="num" w:pos="1134"/>
        </w:tabs>
        <w:ind w:left="1134" w:hanging="283"/>
        <w:rPr>
          <w:noProof/>
        </w:rPr>
      </w:pPr>
      <w:r w:rsidRPr="00DD1DFA">
        <w:rPr>
          <w:rFonts w:ascii="Wingdings" w:hAnsi="Wingdings"/>
          <w:noProof/>
        </w:rPr>
        <w:t></w:t>
      </w:r>
      <w:r w:rsidRPr="00DD1DFA">
        <w:rPr>
          <w:noProof/>
        </w:rPr>
        <w:tab/>
        <w:t>wymaga rewizji WRF.</w:t>
      </w:r>
    </w:p>
    <w:p w14:paraId="2E4718CE" w14:textId="77777777"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sz w:val="20"/>
        </w:rPr>
      </w:pPr>
      <w:r w:rsidRPr="00DD1DFA">
        <w:rPr>
          <w:noProof/>
          <w:sz w:val="20"/>
        </w:rPr>
        <w:t>Należy wyjaśnić, który wariant jest konieczny, określając linie budżetowe, których ma on dotyczyć, oraz podając odpowiednie kwoty.</w:t>
      </w:r>
    </w:p>
    <w:p w14:paraId="788F68A8" w14:textId="4E2BA109" w:rsidR="005D44AF" w:rsidRPr="00DD1DFA" w:rsidRDefault="005F7EFA" w:rsidP="005F7EFA">
      <w:pPr>
        <w:pStyle w:val="ManualHeading3"/>
        <w:rPr>
          <w:noProof/>
        </w:rPr>
      </w:pPr>
      <w:bookmarkStart w:id="68" w:name="_Toc514938058"/>
      <w:bookmarkStart w:id="69" w:name="_Toc95761301"/>
      <w:r w:rsidRPr="005F7EFA">
        <w:t>3.2.5.</w:t>
      </w:r>
      <w:r w:rsidRPr="005F7EFA">
        <w:tab/>
      </w:r>
      <w:r w:rsidR="005D44AF" w:rsidRPr="00DD1DFA">
        <w:rPr>
          <w:noProof/>
        </w:rPr>
        <w:t>Udział osób trzecich</w:t>
      </w:r>
      <w:r w:rsidR="00DD1DFA" w:rsidRPr="00DD1DFA">
        <w:rPr>
          <w:noProof/>
        </w:rPr>
        <w:t xml:space="preserve"> w</w:t>
      </w:r>
      <w:r w:rsidR="00DD1DFA">
        <w:rPr>
          <w:noProof/>
        </w:rPr>
        <w:t> </w:t>
      </w:r>
      <w:r w:rsidR="00DD1DFA" w:rsidRPr="00DD1DFA">
        <w:rPr>
          <w:noProof/>
        </w:rPr>
        <w:t>fin</w:t>
      </w:r>
      <w:r w:rsidR="005D44AF" w:rsidRPr="00DD1DFA">
        <w:rPr>
          <w:noProof/>
        </w:rPr>
        <w:t>ansowaniu</w:t>
      </w:r>
      <w:bookmarkEnd w:id="68"/>
      <w:bookmarkEnd w:id="69"/>
      <w:r w:rsidR="005D44AF" w:rsidRPr="00DD1DFA">
        <w:rPr>
          <w:noProof/>
        </w:rPr>
        <w:t xml:space="preserve"> </w:t>
      </w:r>
    </w:p>
    <w:p w14:paraId="30AEDC5C" w14:textId="77777777" w:rsidR="005D44AF" w:rsidRPr="00DD1DFA" w:rsidRDefault="005D44AF" w:rsidP="005D44AF">
      <w:pPr>
        <w:ind w:left="850"/>
        <w:rPr>
          <w:noProof/>
        </w:rPr>
      </w:pPr>
      <w:r w:rsidRPr="00DD1DFA">
        <w:rPr>
          <w:noProof/>
        </w:rPr>
        <w:t>Wniosek/inicjatywa:</w:t>
      </w:r>
    </w:p>
    <w:p w14:paraId="3F487B7B" w14:textId="77777777" w:rsidR="005D44AF" w:rsidRPr="00DD1DFA" w:rsidRDefault="005D44AF" w:rsidP="005D44AF">
      <w:pPr>
        <w:tabs>
          <w:tab w:val="num" w:pos="1134"/>
        </w:tabs>
        <w:ind w:left="1134" w:hanging="283"/>
        <w:rPr>
          <w:rFonts w:asciiTheme="minorHAnsi" w:eastAsiaTheme="minorEastAsia" w:hAnsiTheme="minorHAnsi" w:cstheme="minorBidi"/>
          <w:noProof/>
          <w:szCs w:val="24"/>
        </w:rPr>
      </w:pPr>
      <w:r w:rsidRPr="00DD1DFA">
        <w:rPr>
          <w:rFonts w:ascii="Wingdings" w:hAnsi="Wingdings"/>
          <w:noProof/>
        </w:rPr>
        <w:t></w:t>
      </w:r>
      <w:r w:rsidRPr="00DD1DFA">
        <w:rPr>
          <w:rFonts w:ascii="Wingdings" w:hAnsi="Wingdings"/>
          <w:noProof/>
        </w:rPr>
        <w:t></w:t>
      </w:r>
      <w:r w:rsidRPr="00DD1DFA">
        <w:rPr>
          <w:noProof/>
        </w:rPr>
        <w:t>nie przewiduje współfinansowania ze strony osób trzecich</w:t>
      </w:r>
    </w:p>
    <w:p w14:paraId="5AB5F127" w14:textId="6C0E3F58" w:rsidR="005D44AF" w:rsidRPr="00DD1DFA" w:rsidRDefault="005D44AF" w:rsidP="005D44AF">
      <w:pPr>
        <w:tabs>
          <w:tab w:val="num" w:pos="1134"/>
        </w:tabs>
        <w:ind w:left="1134" w:hanging="283"/>
        <w:rPr>
          <w:noProof/>
        </w:rPr>
      </w:pPr>
      <w:r w:rsidRPr="00DD1DFA">
        <w:rPr>
          <w:rFonts w:ascii="Wingdings" w:hAnsi="Wingdings"/>
          <w:noProof/>
        </w:rPr>
        <w:t></w:t>
      </w:r>
      <w:r w:rsidRPr="00DD1DFA">
        <w:rPr>
          <w:noProof/>
        </w:rPr>
        <w:tab/>
        <w:t>przewiduje współfinansowanie ze strony osób trzecich szacowane zgodnie</w:t>
      </w:r>
      <w:r w:rsidR="00DD1DFA" w:rsidRPr="00DD1DFA">
        <w:rPr>
          <w:noProof/>
        </w:rPr>
        <w:t xml:space="preserve"> z</w:t>
      </w:r>
      <w:r w:rsidR="00DD1DFA">
        <w:rPr>
          <w:noProof/>
        </w:rPr>
        <w:t> </w:t>
      </w:r>
      <w:r w:rsidR="00DD1DFA" w:rsidRPr="00DD1DFA">
        <w:rPr>
          <w:noProof/>
        </w:rPr>
        <w:t>pon</w:t>
      </w:r>
      <w:r w:rsidRPr="00DD1DFA">
        <w:rPr>
          <w:noProof/>
        </w:rPr>
        <w:t>iższymi szacunkami:</w:t>
      </w:r>
    </w:p>
    <w:p w14:paraId="10F14C59" w14:textId="5FA6BB31" w:rsidR="005D44AF" w:rsidRPr="00DD1DFA" w:rsidRDefault="005D44AF" w:rsidP="005D44AF">
      <w:pPr>
        <w:jc w:val="right"/>
        <w:rPr>
          <w:noProof/>
          <w:sz w:val="20"/>
        </w:rPr>
      </w:pPr>
      <w:r w:rsidRPr="00DD1DFA">
        <w:rPr>
          <w:noProof/>
          <w:sz w:val="20"/>
        </w:rPr>
        <w:t>środki</w:t>
      </w:r>
      <w:r w:rsidR="00DD1DFA" w:rsidRPr="00DD1DFA">
        <w:rPr>
          <w:noProof/>
          <w:sz w:val="20"/>
        </w:rPr>
        <w:t xml:space="preserve"> w</w:t>
      </w:r>
      <w:r w:rsidR="00DD1DFA">
        <w:rPr>
          <w:noProof/>
          <w:sz w:val="20"/>
        </w:rPr>
        <w:t> </w:t>
      </w:r>
      <w:r w:rsidR="00DD1DFA" w:rsidRPr="00DD1DFA">
        <w:rPr>
          <w:noProof/>
          <w:sz w:val="20"/>
        </w:rPr>
        <w:t>mln</w:t>
      </w:r>
      <w:r w:rsidRPr="00DD1DFA">
        <w:rPr>
          <w:noProof/>
          <w:sz w:val="20"/>
        </w:rPr>
        <w:t xml:space="preserve">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D44AF" w:rsidRPr="00DD1DFA" w14:paraId="49C4DBA3" w14:textId="77777777" w:rsidTr="00380F0F">
        <w:trPr>
          <w:cantSplit/>
        </w:trPr>
        <w:tc>
          <w:tcPr>
            <w:tcW w:w="2340" w:type="dxa"/>
          </w:tcPr>
          <w:p w14:paraId="140AAA62" w14:textId="77777777" w:rsidR="005D44AF" w:rsidRPr="00DD1DFA" w:rsidRDefault="005D44AF" w:rsidP="005D44AF">
            <w:pPr>
              <w:spacing w:before="60" w:after="60"/>
              <w:rPr>
                <w:noProof/>
                <w:sz w:val="20"/>
                <w:lang w:eastAsia="en-GB"/>
              </w:rPr>
            </w:pPr>
          </w:p>
        </w:tc>
        <w:tc>
          <w:tcPr>
            <w:tcW w:w="964" w:type="dxa"/>
            <w:vAlign w:val="center"/>
          </w:tcPr>
          <w:p w14:paraId="78371FFB" w14:textId="77777777" w:rsidR="005D44AF" w:rsidRPr="00DD1DFA" w:rsidRDefault="005D44AF"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N</w:t>
            </w:r>
            <w:r w:rsidRPr="00DD1DFA">
              <w:rPr>
                <w:rStyle w:val="Odwoanieprzypisudolnego"/>
                <w:noProof/>
              </w:rPr>
              <w:footnoteReference w:id="63"/>
            </w:r>
          </w:p>
        </w:tc>
        <w:tc>
          <w:tcPr>
            <w:tcW w:w="964" w:type="dxa"/>
            <w:vAlign w:val="center"/>
          </w:tcPr>
          <w:p w14:paraId="75D2CABB" w14:textId="77777777" w:rsidR="005D44AF" w:rsidRPr="00DD1DFA" w:rsidRDefault="005D44AF"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N+1</w:t>
            </w:r>
          </w:p>
        </w:tc>
        <w:tc>
          <w:tcPr>
            <w:tcW w:w="964" w:type="dxa"/>
            <w:vAlign w:val="center"/>
          </w:tcPr>
          <w:p w14:paraId="32B84D2A" w14:textId="77777777" w:rsidR="005D44AF" w:rsidRPr="00DD1DFA" w:rsidRDefault="005D44AF"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N+2</w:t>
            </w:r>
          </w:p>
        </w:tc>
        <w:tc>
          <w:tcPr>
            <w:tcW w:w="964" w:type="dxa"/>
            <w:vAlign w:val="center"/>
          </w:tcPr>
          <w:p w14:paraId="63750704" w14:textId="77777777" w:rsidR="005D44AF" w:rsidRPr="00DD1DFA" w:rsidRDefault="005D44AF" w:rsidP="005D44AF">
            <w:pPr>
              <w:jc w:val="center"/>
              <w:rPr>
                <w:noProof/>
                <w:sz w:val="20"/>
              </w:rPr>
            </w:pPr>
            <w:r w:rsidRPr="00DD1DFA">
              <w:rPr>
                <w:noProof/>
                <w:sz w:val="20"/>
              </w:rPr>
              <w:t>Rok</w:t>
            </w:r>
            <w:r w:rsidRPr="00DD1DFA">
              <w:rPr>
                <w:noProof/>
              </w:rPr>
              <w:t xml:space="preserve"> </w:t>
            </w:r>
            <w:r w:rsidRPr="00DD1DFA">
              <w:rPr>
                <w:noProof/>
              </w:rPr>
              <w:br/>
            </w:r>
            <w:r w:rsidRPr="00DD1DFA">
              <w:rPr>
                <w:b/>
                <w:noProof/>
                <w:sz w:val="20"/>
              </w:rPr>
              <w:t>N+3</w:t>
            </w:r>
          </w:p>
        </w:tc>
        <w:tc>
          <w:tcPr>
            <w:tcW w:w="2892" w:type="dxa"/>
            <w:gridSpan w:val="3"/>
            <w:vAlign w:val="center"/>
          </w:tcPr>
          <w:p w14:paraId="1B9B1E97" w14:textId="4A993BC0" w:rsidR="005D44AF" w:rsidRPr="00DD1DFA" w:rsidRDefault="005D44AF" w:rsidP="005D44AF">
            <w:pPr>
              <w:jc w:val="center"/>
              <w:rPr>
                <w:b/>
                <w:noProof/>
                <w:sz w:val="20"/>
              </w:rPr>
            </w:pPr>
            <w:r w:rsidRPr="00DD1DFA">
              <w:rPr>
                <w:noProof/>
                <w:sz w:val="20"/>
              </w:rPr>
              <w:t>Wprowadzić taką liczbę kolumn dla poszczególnych lat, jaka jest niezbędna, by odzwierciedlić cały okres wpływu (por. pkt</w:t>
            </w:r>
            <w:r w:rsidR="00DD1DFA" w:rsidRPr="00DD1DFA">
              <w:rPr>
                <w:noProof/>
                <w:sz w:val="20"/>
              </w:rPr>
              <w:t> </w:t>
            </w:r>
            <w:r w:rsidRPr="00DD1DFA">
              <w:rPr>
                <w:noProof/>
                <w:sz w:val="20"/>
              </w:rPr>
              <w:t>1.6).</w:t>
            </w:r>
          </w:p>
        </w:tc>
        <w:tc>
          <w:tcPr>
            <w:tcW w:w="1158" w:type="dxa"/>
            <w:vAlign w:val="center"/>
          </w:tcPr>
          <w:p w14:paraId="28F13D2E" w14:textId="77777777" w:rsidR="005D44AF" w:rsidRPr="00DD1DFA" w:rsidRDefault="005D44AF" w:rsidP="005D44AF">
            <w:pPr>
              <w:spacing w:before="60" w:after="60"/>
              <w:jc w:val="center"/>
              <w:rPr>
                <w:noProof/>
                <w:sz w:val="20"/>
              </w:rPr>
            </w:pPr>
            <w:r w:rsidRPr="00DD1DFA">
              <w:rPr>
                <w:noProof/>
                <w:sz w:val="20"/>
              </w:rPr>
              <w:t>Ogółem</w:t>
            </w:r>
          </w:p>
        </w:tc>
      </w:tr>
      <w:tr w:rsidR="005D44AF" w:rsidRPr="00DD1DFA" w14:paraId="7A9D7318" w14:textId="77777777" w:rsidTr="00380F0F">
        <w:trPr>
          <w:cantSplit/>
        </w:trPr>
        <w:tc>
          <w:tcPr>
            <w:tcW w:w="2340" w:type="dxa"/>
          </w:tcPr>
          <w:p w14:paraId="202AD276" w14:textId="77777777" w:rsidR="005D44AF" w:rsidRPr="00DD1DFA" w:rsidRDefault="005D44AF" w:rsidP="005D44AF">
            <w:pPr>
              <w:rPr>
                <w:noProof/>
              </w:rPr>
            </w:pPr>
            <w:r w:rsidRPr="00DD1DFA">
              <w:rPr>
                <w:noProof/>
                <w:sz w:val="20"/>
              </w:rPr>
              <w:t>Określić organ współfinansujący</w:t>
            </w:r>
            <w:r w:rsidRPr="00DD1DFA">
              <w:rPr>
                <w:i/>
                <w:noProof/>
                <w:sz w:val="20"/>
              </w:rPr>
              <w:t xml:space="preserve"> </w:t>
            </w:r>
          </w:p>
        </w:tc>
        <w:tc>
          <w:tcPr>
            <w:tcW w:w="964" w:type="dxa"/>
            <w:vAlign w:val="center"/>
          </w:tcPr>
          <w:p w14:paraId="25D8AEF8" w14:textId="77777777" w:rsidR="005D44AF" w:rsidRPr="00DD1DFA" w:rsidRDefault="005D44AF" w:rsidP="005D44AF">
            <w:pPr>
              <w:spacing w:before="60" w:after="60"/>
              <w:jc w:val="center"/>
              <w:rPr>
                <w:noProof/>
                <w:sz w:val="20"/>
                <w:lang w:eastAsia="en-GB"/>
              </w:rPr>
            </w:pPr>
          </w:p>
        </w:tc>
        <w:tc>
          <w:tcPr>
            <w:tcW w:w="964" w:type="dxa"/>
            <w:vAlign w:val="center"/>
          </w:tcPr>
          <w:p w14:paraId="04BD191E" w14:textId="77777777" w:rsidR="005D44AF" w:rsidRPr="00DD1DFA" w:rsidRDefault="005D44AF" w:rsidP="005D44AF">
            <w:pPr>
              <w:spacing w:before="60" w:after="60"/>
              <w:jc w:val="center"/>
              <w:rPr>
                <w:noProof/>
                <w:sz w:val="20"/>
                <w:lang w:eastAsia="en-GB"/>
              </w:rPr>
            </w:pPr>
          </w:p>
        </w:tc>
        <w:tc>
          <w:tcPr>
            <w:tcW w:w="964" w:type="dxa"/>
            <w:vAlign w:val="center"/>
          </w:tcPr>
          <w:p w14:paraId="65795024" w14:textId="77777777" w:rsidR="005D44AF" w:rsidRPr="00DD1DFA" w:rsidRDefault="005D44AF" w:rsidP="005D44AF">
            <w:pPr>
              <w:spacing w:before="60" w:after="60"/>
              <w:jc w:val="center"/>
              <w:rPr>
                <w:noProof/>
                <w:sz w:val="20"/>
                <w:lang w:eastAsia="en-GB"/>
              </w:rPr>
            </w:pPr>
          </w:p>
        </w:tc>
        <w:tc>
          <w:tcPr>
            <w:tcW w:w="964" w:type="dxa"/>
            <w:vAlign w:val="center"/>
          </w:tcPr>
          <w:p w14:paraId="7A04506A" w14:textId="77777777" w:rsidR="005D44AF" w:rsidRPr="00DD1DFA" w:rsidRDefault="005D44AF" w:rsidP="005D44AF">
            <w:pPr>
              <w:spacing w:before="60" w:after="60"/>
              <w:jc w:val="center"/>
              <w:rPr>
                <w:noProof/>
                <w:sz w:val="20"/>
                <w:lang w:eastAsia="en-GB"/>
              </w:rPr>
            </w:pPr>
          </w:p>
        </w:tc>
        <w:tc>
          <w:tcPr>
            <w:tcW w:w="964" w:type="dxa"/>
            <w:vAlign w:val="center"/>
          </w:tcPr>
          <w:p w14:paraId="128DDC76" w14:textId="77777777" w:rsidR="005D44AF" w:rsidRPr="00DD1DFA" w:rsidRDefault="005D44AF" w:rsidP="005D44AF">
            <w:pPr>
              <w:spacing w:before="60" w:after="60"/>
              <w:jc w:val="center"/>
              <w:rPr>
                <w:noProof/>
                <w:sz w:val="20"/>
                <w:lang w:eastAsia="en-GB"/>
              </w:rPr>
            </w:pPr>
          </w:p>
        </w:tc>
        <w:tc>
          <w:tcPr>
            <w:tcW w:w="964" w:type="dxa"/>
            <w:vAlign w:val="center"/>
          </w:tcPr>
          <w:p w14:paraId="674F4859" w14:textId="77777777" w:rsidR="005D44AF" w:rsidRPr="00DD1DFA" w:rsidRDefault="005D44AF" w:rsidP="005D44AF">
            <w:pPr>
              <w:spacing w:before="60" w:after="60"/>
              <w:jc w:val="center"/>
              <w:rPr>
                <w:noProof/>
                <w:sz w:val="20"/>
                <w:lang w:eastAsia="en-GB"/>
              </w:rPr>
            </w:pPr>
          </w:p>
        </w:tc>
        <w:tc>
          <w:tcPr>
            <w:tcW w:w="964" w:type="dxa"/>
            <w:vAlign w:val="center"/>
          </w:tcPr>
          <w:p w14:paraId="679761FC" w14:textId="77777777" w:rsidR="005D44AF" w:rsidRPr="00DD1DFA" w:rsidRDefault="005D44AF" w:rsidP="005D44AF">
            <w:pPr>
              <w:spacing w:before="60" w:after="60"/>
              <w:jc w:val="center"/>
              <w:rPr>
                <w:noProof/>
                <w:sz w:val="20"/>
                <w:lang w:eastAsia="en-GB"/>
              </w:rPr>
            </w:pPr>
          </w:p>
        </w:tc>
        <w:tc>
          <w:tcPr>
            <w:tcW w:w="1158" w:type="dxa"/>
            <w:vAlign w:val="center"/>
          </w:tcPr>
          <w:p w14:paraId="3596F0B7" w14:textId="77777777" w:rsidR="005D44AF" w:rsidRPr="00DD1DFA" w:rsidRDefault="005D44AF" w:rsidP="005D44AF">
            <w:pPr>
              <w:spacing w:before="60" w:after="60"/>
              <w:jc w:val="center"/>
              <w:rPr>
                <w:noProof/>
                <w:sz w:val="20"/>
                <w:lang w:eastAsia="en-GB"/>
              </w:rPr>
            </w:pPr>
          </w:p>
        </w:tc>
      </w:tr>
      <w:tr w:rsidR="005D44AF" w:rsidRPr="00DD1DFA" w14:paraId="7FF87ADF" w14:textId="77777777" w:rsidTr="00380F0F">
        <w:trPr>
          <w:cantSplit/>
        </w:trPr>
        <w:tc>
          <w:tcPr>
            <w:tcW w:w="2340" w:type="dxa"/>
          </w:tcPr>
          <w:p w14:paraId="05555F07" w14:textId="77777777" w:rsidR="005D44AF" w:rsidRPr="00DD1DFA" w:rsidRDefault="005D44AF" w:rsidP="005D44AF">
            <w:pPr>
              <w:spacing w:before="60" w:after="60"/>
              <w:jc w:val="left"/>
              <w:rPr>
                <w:noProof/>
                <w:sz w:val="20"/>
              </w:rPr>
            </w:pPr>
            <w:r w:rsidRPr="00DD1DFA">
              <w:rPr>
                <w:noProof/>
                <w:sz w:val="20"/>
              </w:rPr>
              <w:t xml:space="preserve">OGÓŁEM środki objęte współfinansowaniem </w:t>
            </w:r>
          </w:p>
        </w:tc>
        <w:tc>
          <w:tcPr>
            <w:tcW w:w="964" w:type="dxa"/>
            <w:vAlign w:val="center"/>
          </w:tcPr>
          <w:p w14:paraId="372B3409" w14:textId="77777777" w:rsidR="005D44AF" w:rsidRPr="00DD1DFA" w:rsidRDefault="005D44AF" w:rsidP="005D44AF">
            <w:pPr>
              <w:spacing w:before="60" w:after="60"/>
              <w:jc w:val="center"/>
              <w:rPr>
                <w:noProof/>
                <w:sz w:val="20"/>
                <w:lang w:eastAsia="en-GB"/>
              </w:rPr>
            </w:pPr>
          </w:p>
        </w:tc>
        <w:tc>
          <w:tcPr>
            <w:tcW w:w="964" w:type="dxa"/>
            <w:vAlign w:val="center"/>
          </w:tcPr>
          <w:p w14:paraId="0F78025B" w14:textId="77777777" w:rsidR="005D44AF" w:rsidRPr="00DD1DFA" w:rsidRDefault="005D44AF" w:rsidP="005D44AF">
            <w:pPr>
              <w:spacing w:before="60" w:after="60"/>
              <w:jc w:val="center"/>
              <w:rPr>
                <w:noProof/>
                <w:sz w:val="20"/>
                <w:lang w:eastAsia="en-GB"/>
              </w:rPr>
            </w:pPr>
          </w:p>
        </w:tc>
        <w:tc>
          <w:tcPr>
            <w:tcW w:w="964" w:type="dxa"/>
            <w:vAlign w:val="center"/>
          </w:tcPr>
          <w:p w14:paraId="09FF22AC" w14:textId="77777777" w:rsidR="005D44AF" w:rsidRPr="00DD1DFA" w:rsidRDefault="005D44AF" w:rsidP="005D44AF">
            <w:pPr>
              <w:spacing w:before="60" w:after="60"/>
              <w:jc w:val="center"/>
              <w:rPr>
                <w:noProof/>
                <w:sz w:val="20"/>
                <w:lang w:eastAsia="en-GB"/>
              </w:rPr>
            </w:pPr>
          </w:p>
        </w:tc>
        <w:tc>
          <w:tcPr>
            <w:tcW w:w="964" w:type="dxa"/>
            <w:vAlign w:val="center"/>
          </w:tcPr>
          <w:p w14:paraId="1BE1CA26" w14:textId="77777777" w:rsidR="005D44AF" w:rsidRPr="00DD1DFA" w:rsidRDefault="005D44AF" w:rsidP="005D44AF">
            <w:pPr>
              <w:spacing w:before="60" w:after="60"/>
              <w:jc w:val="center"/>
              <w:rPr>
                <w:noProof/>
                <w:sz w:val="20"/>
                <w:lang w:eastAsia="en-GB"/>
              </w:rPr>
            </w:pPr>
          </w:p>
        </w:tc>
        <w:tc>
          <w:tcPr>
            <w:tcW w:w="964" w:type="dxa"/>
            <w:vAlign w:val="center"/>
          </w:tcPr>
          <w:p w14:paraId="4014C6FB" w14:textId="77777777" w:rsidR="005D44AF" w:rsidRPr="00DD1DFA" w:rsidRDefault="005D44AF" w:rsidP="005D44AF">
            <w:pPr>
              <w:spacing w:before="60" w:after="60"/>
              <w:jc w:val="center"/>
              <w:rPr>
                <w:noProof/>
                <w:sz w:val="20"/>
                <w:lang w:eastAsia="en-GB"/>
              </w:rPr>
            </w:pPr>
          </w:p>
        </w:tc>
        <w:tc>
          <w:tcPr>
            <w:tcW w:w="964" w:type="dxa"/>
            <w:vAlign w:val="center"/>
          </w:tcPr>
          <w:p w14:paraId="78226758" w14:textId="77777777" w:rsidR="005D44AF" w:rsidRPr="00DD1DFA" w:rsidRDefault="005D44AF" w:rsidP="005D44AF">
            <w:pPr>
              <w:spacing w:before="60" w:after="60"/>
              <w:jc w:val="center"/>
              <w:rPr>
                <w:noProof/>
                <w:sz w:val="20"/>
                <w:lang w:eastAsia="en-GB"/>
              </w:rPr>
            </w:pPr>
          </w:p>
        </w:tc>
        <w:tc>
          <w:tcPr>
            <w:tcW w:w="964" w:type="dxa"/>
            <w:vAlign w:val="center"/>
          </w:tcPr>
          <w:p w14:paraId="5AE384D7" w14:textId="77777777" w:rsidR="005D44AF" w:rsidRPr="00DD1DFA" w:rsidRDefault="005D44AF" w:rsidP="005D44AF">
            <w:pPr>
              <w:spacing w:before="60" w:after="60"/>
              <w:jc w:val="center"/>
              <w:rPr>
                <w:noProof/>
                <w:sz w:val="20"/>
                <w:lang w:eastAsia="en-GB"/>
              </w:rPr>
            </w:pPr>
          </w:p>
        </w:tc>
        <w:tc>
          <w:tcPr>
            <w:tcW w:w="1158" w:type="dxa"/>
            <w:vAlign w:val="center"/>
          </w:tcPr>
          <w:p w14:paraId="656C1F45" w14:textId="77777777" w:rsidR="005D44AF" w:rsidRPr="00DD1DFA" w:rsidRDefault="005D44AF" w:rsidP="005D44AF">
            <w:pPr>
              <w:spacing w:before="60" w:after="60"/>
              <w:jc w:val="center"/>
              <w:rPr>
                <w:noProof/>
                <w:sz w:val="20"/>
                <w:lang w:eastAsia="en-GB"/>
              </w:rPr>
            </w:pPr>
          </w:p>
        </w:tc>
      </w:tr>
    </w:tbl>
    <w:p w14:paraId="7A8EB0EC" w14:textId="1CF7169F" w:rsidR="005D44AF" w:rsidRPr="00DD1DFA" w:rsidRDefault="005D44AF" w:rsidP="005F7EFA">
      <w:pPr>
        <w:pStyle w:val="ManualHeading2"/>
        <w:rPr>
          <w:noProof/>
        </w:rPr>
      </w:pPr>
      <w:r w:rsidRPr="00DD1DFA">
        <w:rPr>
          <w:noProof/>
        </w:rPr>
        <w:br w:type="page"/>
      </w:r>
      <w:bookmarkStart w:id="70" w:name="_Toc514938059"/>
      <w:bookmarkStart w:id="71" w:name="_Toc95761302"/>
      <w:r w:rsidR="005F7EFA" w:rsidRPr="005F7EFA">
        <w:t>3.3.</w:t>
      </w:r>
      <w:r w:rsidR="005F7EFA" w:rsidRPr="005F7EFA">
        <w:tab/>
      </w:r>
      <w:r w:rsidRPr="00DD1DFA">
        <w:rPr>
          <w:noProof/>
        </w:rPr>
        <w:t>Szacunkowy wpływ na dochody</w:t>
      </w:r>
      <w:bookmarkEnd w:id="70"/>
      <w:bookmarkEnd w:id="71"/>
      <w:r w:rsidRPr="00DD1DFA">
        <w:rPr>
          <w:noProof/>
        </w:rPr>
        <w:t xml:space="preserve"> </w:t>
      </w:r>
    </w:p>
    <w:p w14:paraId="4F264DF0" w14:textId="77777777" w:rsidR="005D44AF" w:rsidRPr="00DD1DFA" w:rsidRDefault="005D44AF" w:rsidP="005D44AF">
      <w:pPr>
        <w:tabs>
          <w:tab w:val="num" w:pos="1134"/>
        </w:tabs>
        <w:ind w:left="1134" w:hanging="283"/>
        <w:rPr>
          <w:rFonts w:asciiTheme="minorHAnsi" w:eastAsiaTheme="minorEastAsia" w:hAnsiTheme="minorHAnsi" w:cstheme="minorBidi"/>
          <w:noProof/>
          <w:szCs w:val="24"/>
        </w:rPr>
      </w:pPr>
      <w:r w:rsidRPr="00DD1DFA">
        <w:rPr>
          <w:rFonts w:ascii="Wingdings" w:hAnsi="Wingdings"/>
          <w:noProof/>
          <w:color w:val="341A51"/>
          <w:sz w:val="22"/>
          <w:u w:val="single"/>
        </w:rPr>
        <w:t></w:t>
      </w:r>
      <w:r w:rsidRPr="00DD1DFA">
        <w:rPr>
          <w:rFonts w:ascii="Wingdings" w:hAnsi="Wingdings"/>
          <w:noProof/>
          <w:color w:val="341A51"/>
          <w:sz w:val="22"/>
        </w:rPr>
        <w:t></w:t>
      </w:r>
      <w:r w:rsidRPr="00DD1DFA">
        <w:rPr>
          <w:noProof/>
        </w:rPr>
        <w:t>Wniosek/inicjatywa nie ma wpływu finansowego na dochody</w:t>
      </w:r>
    </w:p>
    <w:p w14:paraId="0B88C1F0" w14:textId="77777777" w:rsidR="005D44AF" w:rsidRPr="00DD1DFA" w:rsidRDefault="005D44AF" w:rsidP="005D44AF">
      <w:pPr>
        <w:tabs>
          <w:tab w:val="num" w:pos="1134"/>
        </w:tabs>
        <w:ind w:left="1134" w:hanging="283"/>
        <w:rPr>
          <w:noProof/>
        </w:rPr>
      </w:pPr>
      <w:r w:rsidRPr="00DD1DFA">
        <w:rPr>
          <w:rFonts w:ascii="Wingdings" w:hAnsi="Wingdings"/>
          <w:noProof/>
        </w:rPr>
        <w:t></w:t>
      </w:r>
      <w:r w:rsidRPr="00DD1DFA">
        <w:rPr>
          <w:noProof/>
        </w:rPr>
        <w:tab/>
        <w:t>Wniosek/inicjatywa ma wpływ finansowy określony poniżej:</w:t>
      </w:r>
    </w:p>
    <w:p w14:paraId="1884CE2F" w14:textId="77777777" w:rsidR="005D44AF" w:rsidRPr="00DD1DFA" w:rsidRDefault="005D44AF" w:rsidP="005D44AF">
      <w:pPr>
        <w:numPr>
          <w:ilvl w:val="2"/>
          <w:numId w:val="0"/>
        </w:numPr>
        <w:tabs>
          <w:tab w:val="num" w:pos="1843"/>
        </w:tabs>
        <w:ind w:left="2126" w:hanging="709"/>
        <w:rPr>
          <w:noProof/>
        </w:rPr>
      </w:pPr>
      <w:r w:rsidRPr="00DD1DFA">
        <w:rPr>
          <w:rFonts w:ascii="Wingdings" w:hAnsi="Wingdings"/>
          <w:noProof/>
        </w:rPr>
        <w:t></w:t>
      </w:r>
      <w:r w:rsidRPr="00DD1DFA">
        <w:rPr>
          <w:noProof/>
        </w:rPr>
        <w:tab/>
        <w:t xml:space="preserve">wpływ na zasoby własne </w:t>
      </w:r>
    </w:p>
    <w:p w14:paraId="39E6AB2E" w14:textId="77777777" w:rsidR="005D44AF" w:rsidRPr="00DD1DFA" w:rsidRDefault="005D44AF" w:rsidP="005D44AF">
      <w:pPr>
        <w:numPr>
          <w:ilvl w:val="2"/>
          <w:numId w:val="0"/>
        </w:numPr>
        <w:tabs>
          <w:tab w:val="num" w:pos="1843"/>
        </w:tabs>
        <w:ind w:left="2126" w:hanging="709"/>
        <w:rPr>
          <w:noProof/>
        </w:rPr>
      </w:pPr>
      <w:r w:rsidRPr="00DD1DFA">
        <w:rPr>
          <w:rFonts w:ascii="Wingdings" w:hAnsi="Wingdings"/>
          <w:noProof/>
        </w:rPr>
        <w:t></w:t>
      </w:r>
      <w:r w:rsidRPr="00DD1DFA">
        <w:rPr>
          <w:noProof/>
        </w:rPr>
        <w:tab/>
        <w:t>wpływ na dochody inne</w:t>
      </w:r>
    </w:p>
    <w:p w14:paraId="6141CFD6" w14:textId="77777777" w:rsidR="005D44AF" w:rsidRPr="00DD1DFA" w:rsidRDefault="005D44AF" w:rsidP="005D44AF">
      <w:pPr>
        <w:numPr>
          <w:ilvl w:val="2"/>
          <w:numId w:val="0"/>
        </w:numPr>
        <w:tabs>
          <w:tab w:val="num" w:pos="2126"/>
        </w:tabs>
        <w:ind w:left="2126" w:hanging="709"/>
        <w:rPr>
          <w:noProof/>
        </w:rPr>
      </w:pPr>
      <w:r w:rsidRPr="00DD1DFA">
        <w:rPr>
          <w:noProof/>
        </w:rPr>
        <w:t xml:space="preserve">Wskazać, czy dochody są przypisane do linii budżetowej po stronie wydatków </w:t>
      </w:r>
      <w:r w:rsidRPr="00DD1DFA">
        <w:rPr>
          <w:rFonts w:ascii="Wingdings" w:hAnsi="Wingdings"/>
          <w:noProof/>
        </w:rPr>
        <w:t></w:t>
      </w:r>
      <w:r w:rsidRPr="00DD1DFA">
        <w:rPr>
          <w:noProof/>
        </w:rPr>
        <w:tab/>
      </w:r>
    </w:p>
    <w:p w14:paraId="34CF3390" w14:textId="0616BEA5" w:rsidR="005D44AF" w:rsidRPr="00DD1DFA" w:rsidRDefault="00D97AC0" w:rsidP="005D44AF">
      <w:pPr>
        <w:ind w:left="4320"/>
        <w:rPr>
          <w:i/>
          <w:noProof/>
          <w:sz w:val="20"/>
        </w:rPr>
      </w:pPr>
      <w:r w:rsidRPr="00DD1DFA">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5D44AF" w:rsidRPr="00DD1DFA" w14:paraId="67C5C8A9" w14:textId="77777777" w:rsidTr="00380F0F">
        <w:trPr>
          <w:trHeight w:val="388"/>
        </w:trPr>
        <w:tc>
          <w:tcPr>
            <w:tcW w:w="2144" w:type="dxa"/>
            <w:vMerge w:val="restart"/>
            <w:vAlign w:val="center"/>
          </w:tcPr>
          <w:p w14:paraId="0BF9E798" w14:textId="77777777" w:rsidR="005D44AF" w:rsidRPr="00DD1DFA" w:rsidRDefault="005D44AF" w:rsidP="005D44AF">
            <w:pPr>
              <w:spacing w:before="40" w:after="40"/>
              <w:rPr>
                <w:noProof/>
                <w:sz w:val="18"/>
              </w:rPr>
            </w:pPr>
            <w:r w:rsidRPr="00DD1DFA">
              <w:rPr>
                <w:noProof/>
                <w:sz w:val="18"/>
              </w:rPr>
              <w:t>Linia budżetowa po stronie dochodów</w:t>
            </w:r>
          </w:p>
        </w:tc>
        <w:tc>
          <w:tcPr>
            <w:tcW w:w="1325" w:type="dxa"/>
            <w:vMerge w:val="restart"/>
            <w:vAlign w:val="center"/>
          </w:tcPr>
          <w:p w14:paraId="0D366240" w14:textId="565C6278" w:rsidR="005D44AF" w:rsidRPr="00DD1DFA" w:rsidRDefault="005D44AF" w:rsidP="005D44AF">
            <w:pPr>
              <w:jc w:val="center"/>
              <w:rPr>
                <w:noProof/>
                <w:sz w:val="18"/>
              </w:rPr>
            </w:pPr>
            <w:r w:rsidRPr="00DD1DFA">
              <w:rPr>
                <w:noProof/>
                <w:sz w:val="18"/>
              </w:rPr>
              <w:t>Środki zapisane</w:t>
            </w:r>
            <w:r w:rsidR="00DD1DFA" w:rsidRPr="00DD1DFA">
              <w:rPr>
                <w:noProof/>
                <w:sz w:val="18"/>
              </w:rPr>
              <w:t xml:space="preserve"> w</w:t>
            </w:r>
            <w:r w:rsidR="00DD1DFA">
              <w:rPr>
                <w:noProof/>
                <w:sz w:val="18"/>
              </w:rPr>
              <w:t> </w:t>
            </w:r>
            <w:r w:rsidR="00DD1DFA" w:rsidRPr="00DD1DFA">
              <w:rPr>
                <w:noProof/>
                <w:sz w:val="18"/>
              </w:rPr>
              <w:t>bud</w:t>
            </w:r>
            <w:r w:rsidRPr="00DD1DFA">
              <w:rPr>
                <w:noProof/>
                <w:sz w:val="18"/>
              </w:rPr>
              <w:t>żecie na bieżący rok budżetowy</w:t>
            </w:r>
          </w:p>
        </w:tc>
        <w:tc>
          <w:tcPr>
            <w:tcW w:w="7151" w:type="dxa"/>
            <w:gridSpan w:val="7"/>
            <w:vAlign w:val="center"/>
          </w:tcPr>
          <w:p w14:paraId="7A63F548" w14:textId="77777777" w:rsidR="005D44AF" w:rsidRPr="00DD1DFA" w:rsidRDefault="005D44AF" w:rsidP="005D44AF">
            <w:pPr>
              <w:jc w:val="center"/>
              <w:rPr>
                <w:noProof/>
                <w:sz w:val="18"/>
              </w:rPr>
            </w:pPr>
            <w:r w:rsidRPr="00DD1DFA">
              <w:rPr>
                <w:noProof/>
                <w:sz w:val="18"/>
              </w:rPr>
              <w:t>Wpływ wniosku/inicjatywy</w:t>
            </w:r>
            <w:r w:rsidRPr="00DD1DFA">
              <w:rPr>
                <w:rStyle w:val="Odwoanieprzypisudolnego"/>
                <w:noProof/>
              </w:rPr>
              <w:footnoteReference w:id="64"/>
            </w:r>
          </w:p>
        </w:tc>
      </w:tr>
      <w:tr w:rsidR="005D44AF" w:rsidRPr="00DD1DFA" w14:paraId="4A00A58F" w14:textId="77777777" w:rsidTr="00380F0F">
        <w:trPr>
          <w:trHeight w:val="388"/>
        </w:trPr>
        <w:tc>
          <w:tcPr>
            <w:tcW w:w="2144" w:type="dxa"/>
            <w:vMerge/>
          </w:tcPr>
          <w:p w14:paraId="29AFDED3" w14:textId="77777777" w:rsidR="005D44AF" w:rsidRPr="00DD1DFA" w:rsidRDefault="005D44AF" w:rsidP="005D44AF">
            <w:pPr>
              <w:spacing w:before="40" w:after="40"/>
              <w:rPr>
                <w:noProof/>
                <w:sz w:val="18"/>
                <w:lang w:eastAsia="en-GB"/>
              </w:rPr>
            </w:pPr>
          </w:p>
        </w:tc>
        <w:tc>
          <w:tcPr>
            <w:tcW w:w="1325" w:type="dxa"/>
            <w:vMerge/>
          </w:tcPr>
          <w:p w14:paraId="5B041FEA" w14:textId="77777777" w:rsidR="005D44AF" w:rsidRPr="00DD1DFA" w:rsidRDefault="005D44AF" w:rsidP="005D44AF">
            <w:pPr>
              <w:spacing w:beforeLines="40" w:before="96" w:afterLines="40" w:after="96"/>
              <w:rPr>
                <w:i/>
                <w:noProof/>
                <w:sz w:val="18"/>
                <w:lang w:eastAsia="en-GB"/>
              </w:rPr>
            </w:pPr>
          </w:p>
        </w:tc>
        <w:tc>
          <w:tcPr>
            <w:tcW w:w="1031" w:type="dxa"/>
            <w:vAlign w:val="center"/>
          </w:tcPr>
          <w:p w14:paraId="484936FD" w14:textId="77777777" w:rsidR="005D44AF" w:rsidRPr="00DD1DFA" w:rsidRDefault="005D44AF" w:rsidP="005D44AF">
            <w:pPr>
              <w:jc w:val="center"/>
              <w:rPr>
                <w:noProof/>
                <w:sz w:val="18"/>
              </w:rPr>
            </w:pPr>
            <w:r w:rsidRPr="00DD1DFA">
              <w:rPr>
                <w:noProof/>
                <w:sz w:val="18"/>
              </w:rPr>
              <w:t>Rok</w:t>
            </w:r>
            <w:r w:rsidRPr="00DD1DFA">
              <w:rPr>
                <w:noProof/>
              </w:rPr>
              <w:t xml:space="preserve"> </w:t>
            </w:r>
            <w:r w:rsidRPr="00DD1DFA">
              <w:rPr>
                <w:noProof/>
              </w:rPr>
              <w:br/>
            </w:r>
            <w:r w:rsidRPr="00DD1DFA">
              <w:rPr>
                <w:b/>
                <w:noProof/>
                <w:sz w:val="18"/>
              </w:rPr>
              <w:t>N</w:t>
            </w:r>
          </w:p>
        </w:tc>
        <w:tc>
          <w:tcPr>
            <w:tcW w:w="900" w:type="dxa"/>
            <w:vAlign w:val="center"/>
          </w:tcPr>
          <w:p w14:paraId="3BCF5FBA" w14:textId="77777777" w:rsidR="005D44AF" w:rsidRPr="00DD1DFA" w:rsidRDefault="005D44AF" w:rsidP="005D44AF">
            <w:pPr>
              <w:jc w:val="center"/>
              <w:rPr>
                <w:noProof/>
                <w:sz w:val="18"/>
              </w:rPr>
            </w:pPr>
            <w:r w:rsidRPr="00DD1DFA">
              <w:rPr>
                <w:noProof/>
                <w:sz w:val="18"/>
              </w:rPr>
              <w:t>Rok</w:t>
            </w:r>
            <w:r w:rsidRPr="00DD1DFA">
              <w:rPr>
                <w:noProof/>
              </w:rPr>
              <w:t xml:space="preserve"> </w:t>
            </w:r>
            <w:r w:rsidRPr="00DD1DFA">
              <w:rPr>
                <w:noProof/>
              </w:rPr>
              <w:br/>
            </w:r>
            <w:r w:rsidRPr="00DD1DFA">
              <w:rPr>
                <w:b/>
                <w:noProof/>
                <w:sz w:val="18"/>
              </w:rPr>
              <w:t>N+1</w:t>
            </w:r>
          </w:p>
        </w:tc>
        <w:tc>
          <w:tcPr>
            <w:tcW w:w="900" w:type="dxa"/>
            <w:vAlign w:val="center"/>
          </w:tcPr>
          <w:p w14:paraId="1D9837EB" w14:textId="77777777" w:rsidR="005D44AF" w:rsidRPr="00DD1DFA" w:rsidRDefault="005D44AF" w:rsidP="005D44AF">
            <w:pPr>
              <w:jc w:val="center"/>
              <w:rPr>
                <w:noProof/>
                <w:sz w:val="18"/>
              </w:rPr>
            </w:pPr>
            <w:r w:rsidRPr="00DD1DFA">
              <w:rPr>
                <w:noProof/>
                <w:sz w:val="18"/>
              </w:rPr>
              <w:t>Rok</w:t>
            </w:r>
            <w:r w:rsidRPr="00DD1DFA">
              <w:rPr>
                <w:noProof/>
              </w:rPr>
              <w:t xml:space="preserve"> </w:t>
            </w:r>
            <w:r w:rsidRPr="00DD1DFA">
              <w:rPr>
                <w:noProof/>
              </w:rPr>
              <w:br/>
            </w:r>
            <w:r w:rsidRPr="00DD1DFA">
              <w:rPr>
                <w:b/>
                <w:noProof/>
                <w:sz w:val="18"/>
              </w:rPr>
              <w:t>N+2</w:t>
            </w:r>
          </w:p>
        </w:tc>
        <w:tc>
          <w:tcPr>
            <w:tcW w:w="1080" w:type="dxa"/>
            <w:vAlign w:val="center"/>
          </w:tcPr>
          <w:p w14:paraId="73A5E193" w14:textId="77777777" w:rsidR="005D44AF" w:rsidRPr="00DD1DFA" w:rsidRDefault="005D44AF" w:rsidP="005D44AF">
            <w:pPr>
              <w:jc w:val="center"/>
              <w:rPr>
                <w:noProof/>
                <w:sz w:val="18"/>
              </w:rPr>
            </w:pPr>
            <w:r w:rsidRPr="00DD1DFA">
              <w:rPr>
                <w:noProof/>
                <w:sz w:val="18"/>
              </w:rPr>
              <w:t>Rok</w:t>
            </w:r>
            <w:r w:rsidRPr="00DD1DFA">
              <w:rPr>
                <w:noProof/>
              </w:rPr>
              <w:t xml:space="preserve"> </w:t>
            </w:r>
            <w:r w:rsidRPr="00DD1DFA">
              <w:rPr>
                <w:noProof/>
              </w:rPr>
              <w:br/>
            </w:r>
            <w:r w:rsidRPr="00DD1DFA">
              <w:rPr>
                <w:b/>
                <w:noProof/>
                <w:sz w:val="18"/>
              </w:rPr>
              <w:t>N+3</w:t>
            </w:r>
          </w:p>
        </w:tc>
        <w:tc>
          <w:tcPr>
            <w:tcW w:w="3240" w:type="dxa"/>
            <w:gridSpan w:val="3"/>
            <w:vAlign w:val="center"/>
          </w:tcPr>
          <w:p w14:paraId="3DCBAEE0" w14:textId="5CAF6010" w:rsidR="005D44AF" w:rsidRPr="00DD1DFA" w:rsidRDefault="005D44AF" w:rsidP="005D44AF">
            <w:pPr>
              <w:jc w:val="center"/>
              <w:rPr>
                <w:b/>
                <w:noProof/>
                <w:sz w:val="18"/>
              </w:rPr>
            </w:pPr>
            <w:r w:rsidRPr="00DD1DFA">
              <w:rPr>
                <w:noProof/>
                <w:sz w:val="18"/>
              </w:rPr>
              <w:t>Wprowadzić taką liczbę kolumn dla poszczególnych lat, jaka jest niezbędna, by odzwierciedlić cały okres wpływu (por. pkt</w:t>
            </w:r>
            <w:r w:rsidR="00DD1DFA" w:rsidRPr="00DD1DFA">
              <w:rPr>
                <w:noProof/>
                <w:sz w:val="18"/>
              </w:rPr>
              <w:t> </w:t>
            </w:r>
            <w:r w:rsidRPr="00DD1DFA">
              <w:rPr>
                <w:noProof/>
                <w:sz w:val="18"/>
              </w:rPr>
              <w:t>1.6).</w:t>
            </w:r>
          </w:p>
        </w:tc>
      </w:tr>
      <w:tr w:rsidR="005D44AF" w:rsidRPr="00DD1DFA" w14:paraId="03A2CC67" w14:textId="77777777" w:rsidTr="00380F0F">
        <w:trPr>
          <w:trHeight w:val="388"/>
        </w:trPr>
        <w:tc>
          <w:tcPr>
            <w:tcW w:w="2144" w:type="dxa"/>
            <w:vAlign w:val="center"/>
          </w:tcPr>
          <w:p w14:paraId="15DC4528" w14:textId="77777777" w:rsidR="005D44AF" w:rsidRPr="00DD1DFA" w:rsidRDefault="005D44AF" w:rsidP="005D44AF">
            <w:pPr>
              <w:spacing w:before="40" w:after="40"/>
              <w:rPr>
                <w:noProof/>
                <w:sz w:val="18"/>
              </w:rPr>
            </w:pPr>
            <w:r w:rsidRPr="00DD1DFA">
              <w:rPr>
                <w:noProof/>
                <w:sz w:val="18"/>
              </w:rPr>
              <w:t>Artykuł ….</w:t>
            </w:r>
          </w:p>
        </w:tc>
        <w:tc>
          <w:tcPr>
            <w:tcW w:w="1325" w:type="dxa"/>
          </w:tcPr>
          <w:p w14:paraId="3E55B9B7" w14:textId="77777777" w:rsidR="005D44AF" w:rsidRPr="00DD1DFA" w:rsidRDefault="005D44AF" w:rsidP="005D44AF">
            <w:pPr>
              <w:spacing w:beforeLines="40" w:before="96" w:afterLines="40" w:after="96"/>
              <w:jc w:val="center"/>
              <w:rPr>
                <w:i/>
                <w:noProof/>
                <w:sz w:val="18"/>
                <w:lang w:eastAsia="en-GB"/>
              </w:rPr>
            </w:pPr>
          </w:p>
        </w:tc>
        <w:tc>
          <w:tcPr>
            <w:tcW w:w="1031" w:type="dxa"/>
          </w:tcPr>
          <w:p w14:paraId="79C2856E" w14:textId="77777777" w:rsidR="005D44AF" w:rsidRPr="00DD1DFA" w:rsidRDefault="005D44AF" w:rsidP="005D44AF">
            <w:pPr>
              <w:spacing w:beforeLines="40" w:before="96" w:afterLines="40" w:after="96"/>
              <w:jc w:val="center"/>
              <w:rPr>
                <w:noProof/>
                <w:sz w:val="18"/>
                <w:lang w:eastAsia="en-GB"/>
              </w:rPr>
            </w:pPr>
          </w:p>
        </w:tc>
        <w:tc>
          <w:tcPr>
            <w:tcW w:w="900" w:type="dxa"/>
          </w:tcPr>
          <w:p w14:paraId="3685D901" w14:textId="77777777" w:rsidR="005D44AF" w:rsidRPr="00DD1DFA" w:rsidRDefault="005D44AF" w:rsidP="005D44AF">
            <w:pPr>
              <w:spacing w:beforeLines="40" w:before="96" w:afterLines="40" w:after="96"/>
              <w:jc w:val="center"/>
              <w:rPr>
                <w:noProof/>
                <w:sz w:val="18"/>
                <w:lang w:eastAsia="en-GB"/>
              </w:rPr>
            </w:pPr>
          </w:p>
        </w:tc>
        <w:tc>
          <w:tcPr>
            <w:tcW w:w="900" w:type="dxa"/>
          </w:tcPr>
          <w:p w14:paraId="47E2C192" w14:textId="77777777" w:rsidR="005D44AF" w:rsidRPr="00DD1DFA" w:rsidRDefault="005D44AF" w:rsidP="005D44AF">
            <w:pPr>
              <w:spacing w:beforeLines="40" w:before="96" w:afterLines="40" w:after="96"/>
              <w:jc w:val="center"/>
              <w:rPr>
                <w:noProof/>
                <w:sz w:val="18"/>
                <w:lang w:eastAsia="en-GB"/>
              </w:rPr>
            </w:pPr>
          </w:p>
        </w:tc>
        <w:tc>
          <w:tcPr>
            <w:tcW w:w="1080" w:type="dxa"/>
          </w:tcPr>
          <w:p w14:paraId="6128DF72" w14:textId="77777777" w:rsidR="005D44AF" w:rsidRPr="00DD1DFA" w:rsidRDefault="005D44AF" w:rsidP="005D44AF">
            <w:pPr>
              <w:spacing w:beforeLines="40" w:before="96" w:afterLines="40" w:after="96"/>
              <w:jc w:val="center"/>
              <w:rPr>
                <w:noProof/>
                <w:sz w:val="18"/>
                <w:lang w:eastAsia="en-GB"/>
              </w:rPr>
            </w:pPr>
          </w:p>
        </w:tc>
        <w:tc>
          <w:tcPr>
            <w:tcW w:w="1080" w:type="dxa"/>
          </w:tcPr>
          <w:p w14:paraId="7810F758" w14:textId="77777777" w:rsidR="005D44AF" w:rsidRPr="00DD1DFA" w:rsidRDefault="005D44AF" w:rsidP="005D44AF">
            <w:pPr>
              <w:spacing w:beforeLines="40" w:before="96" w:afterLines="40" w:after="96"/>
              <w:jc w:val="center"/>
              <w:rPr>
                <w:noProof/>
                <w:sz w:val="18"/>
                <w:lang w:eastAsia="en-GB"/>
              </w:rPr>
            </w:pPr>
          </w:p>
        </w:tc>
        <w:tc>
          <w:tcPr>
            <w:tcW w:w="1080" w:type="dxa"/>
          </w:tcPr>
          <w:p w14:paraId="3DEDF07E" w14:textId="77777777" w:rsidR="005D44AF" w:rsidRPr="00DD1DFA" w:rsidRDefault="005D44AF" w:rsidP="005D44AF">
            <w:pPr>
              <w:spacing w:beforeLines="40" w:before="96" w:afterLines="40" w:after="96"/>
              <w:jc w:val="center"/>
              <w:rPr>
                <w:noProof/>
                <w:sz w:val="18"/>
                <w:lang w:eastAsia="en-GB"/>
              </w:rPr>
            </w:pPr>
          </w:p>
        </w:tc>
        <w:tc>
          <w:tcPr>
            <w:tcW w:w="1080" w:type="dxa"/>
          </w:tcPr>
          <w:p w14:paraId="6C2FDF9F" w14:textId="77777777" w:rsidR="005D44AF" w:rsidRPr="00DD1DFA" w:rsidRDefault="005D44AF" w:rsidP="005D44AF">
            <w:pPr>
              <w:spacing w:beforeLines="40" w:before="96" w:afterLines="40" w:after="96"/>
              <w:jc w:val="center"/>
              <w:rPr>
                <w:noProof/>
                <w:sz w:val="18"/>
                <w:lang w:eastAsia="en-GB"/>
              </w:rPr>
            </w:pPr>
          </w:p>
        </w:tc>
      </w:tr>
    </w:tbl>
    <w:p w14:paraId="178845CA" w14:textId="77777777" w:rsidR="005D44AF" w:rsidRPr="00DD1DFA" w:rsidRDefault="005D44AF" w:rsidP="005D44AF">
      <w:pPr>
        <w:ind w:left="850"/>
        <w:rPr>
          <w:noProof/>
          <w:sz w:val="20"/>
        </w:rPr>
      </w:pPr>
      <w:r w:rsidRPr="00DD1DFA">
        <w:rPr>
          <w:noProof/>
          <w:sz w:val="20"/>
        </w:rPr>
        <w:t>W przypadku wpływu na dochody przeznaczone na określony cel należy wskazać linie budżetowe po stronie wydatków, które ten wpływ obejmie.</w:t>
      </w:r>
    </w:p>
    <w:p w14:paraId="61EA1CF7" w14:textId="77777777"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color w:val="0000FF"/>
        </w:rPr>
        <w:t>[…]</w:t>
      </w:r>
    </w:p>
    <w:p w14:paraId="6D660D9D" w14:textId="77777777" w:rsidR="005D44AF" w:rsidRPr="00DD1DFA" w:rsidRDefault="005D44AF" w:rsidP="005D44AF">
      <w:pPr>
        <w:ind w:left="850"/>
        <w:rPr>
          <w:noProof/>
          <w:sz w:val="20"/>
        </w:rPr>
      </w:pPr>
      <w:r w:rsidRPr="00DD1DFA">
        <w:rPr>
          <w:noProof/>
          <w:sz w:val="20"/>
        </w:rPr>
        <w:t>Pozostałe uwagi (np. metoda/wzór użyte do obliczenia wpływu na dochody albo inne informacje).</w:t>
      </w:r>
    </w:p>
    <w:p w14:paraId="7F2530B9" w14:textId="77777777" w:rsidR="005D44AF" w:rsidRPr="00DD1DFA" w:rsidRDefault="005D44AF" w:rsidP="005D44AF">
      <w:pPr>
        <w:pBdr>
          <w:top w:val="single" w:sz="4" w:space="1" w:color="auto"/>
          <w:left w:val="single" w:sz="4" w:space="4" w:color="auto"/>
          <w:bottom w:val="single" w:sz="4" w:space="1" w:color="auto"/>
          <w:right w:val="single" w:sz="4" w:space="4" w:color="auto"/>
        </w:pBdr>
        <w:ind w:left="850"/>
        <w:rPr>
          <w:noProof/>
        </w:rPr>
      </w:pPr>
      <w:r w:rsidRPr="00DD1DFA">
        <w:rPr>
          <w:noProof/>
          <w:color w:val="0000FF"/>
        </w:rPr>
        <w:t>[…]</w:t>
      </w:r>
    </w:p>
    <w:p w14:paraId="50CB309A" w14:textId="77777777" w:rsidR="005D44AF" w:rsidRPr="00DD1DFA" w:rsidRDefault="005D44AF" w:rsidP="005D44AF">
      <w:pPr>
        <w:ind w:left="850"/>
        <w:rPr>
          <w:noProof/>
          <w:lang w:eastAsia="en-GB"/>
        </w:rPr>
      </w:pPr>
    </w:p>
    <w:p w14:paraId="1E14667A" w14:textId="77777777" w:rsidR="005D44AF" w:rsidRPr="00DD1DFA" w:rsidRDefault="005D44AF" w:rsidP="00C60650">
      <w:pPr>
        <w:rPr>
          <w:noProof/>
        </w:rPr>
      </w:pPr>
      <w:r w:rsidRPr="00DD1DFA">
        <w:rPr>
          <w:noProof/>
        </w:rPr>
        <w:br w:type="page"/>
      </w:r>
    </w:p>
    <w:p w14:paraId="0FAC2AB1" w14:textId="77777777" w:rsidR="005D44AF" w:rsidRPr="00DD1DFA" w:rsidRDefault="005D44AF" w:rsidP="00FE6607">
      <w:pPr>
        <w:jc w:val="center"/>
        <w:rPr>
          <w:bCs/>
          <w:noProof/>
          <w:szCs w:val="36"/>
        </w:rPr>
      </w:pPr>
      <w:r w:rsidRPr="00DD1DFA">
        <w:rPr>
          <w:b/>
          <w:noProof/>
          <w:u w:val="single"/>
        </w:rPr>
        <w:t>ZAŁĄCZNIK</w:t>
      </w:r>
      <w:r w:rsidRPr="00DD1DFA">
        <w:rPr>
          <w:noProof/>
        </w:rPr>
        <w:t xml:space="preserve"> </w:t>
      </w:r>
      <w:r w:rsidRPr="00DD1DFA">
        <w:rPr>
          <w:noProof/>
        </w:rPr>
        <w:br/>
      </w:r>
      <w:r w:rsidRPr="00DD1DFA">
        <w:rPr>
          <w:b/>
          <w:noProof/>
          <w:u w:val="single"/>
        </w:rPr>
        <w:t>do OCENY SKUTKÓW FINANSOWYCH REGULACJI</w:t>
      </w:r>
    </w:p>
    <w:p w14:paraId="5AEE9001" w14:textId="77777777" w:rsidR="005D44AF" w:rsidRPr="00DD1DFA" w:rsidRDefault="005D44AF" w:rsidP="005D44AF">
      <w:pPr>
        <w:spacing w:before="0" w:after="0"/>
        <w:jc w:val="center"/>
        <w:rPr>
          <w:rFonts w:eastAsia="Times New Roman"/>
          <w:noProof/>
          <w:szCs w:val="24"/>
          <w:lang w:eastAsia="en-GB"/>
        </w:rPr>
      </w:pPr>
    </w:p>
    <w:p w14:paraId="0D17700D" w14:textId="77777777" w:rsidR="005D44AF" w:rsidRPr="00DD1DFA" w:rsidRDefault="005D44AF" w:rsidP="005D44AF">
      <w:pPr>
        <w:spacing w:before="0" w:after="0"/>
        <w:jc w:val="left"/>
        <w:outlineLvl w:val="0"/>
        <w:rPr>
          <w:rFonts w:eastAsia="Times New Roman"/>
          <w:b/>
          <w:bCs/>
          <w:noProof/>
          <w:szCs w:val="24"/>
          <w:lang w:eastAsia="en-GB"/>
        </w:rPr>
      </w:pPr>
    </w:p>
    <w:p w14:paraId="57325599" w14:textId="77777777" w:rsidR="005D44AF" w:rsidRPr="00DD1DFA" w:rsidRDefault="005D44AF" w:rsidP="005D44AF">
      <w:pPr>
        <w:spacing w:before="0" w:after="0"/>
        <w:jc w:val="left"/>
        <w:outlineLvl w:val="0"/>
        <w:rPr>
          <w:rFonts w:eastAsia="Times New Roman"/>
          <w:b/>
          <w:bCs/>
          <w:noProof/>
          <w:szCs w:val="24"/>
          <w:lang w:eastAsia="en-GB"/>
        </w:rPr>
      </w:pPr>
    </w:p>
    <w:p w14:paraId="410AB53C" w14:textId="77777777" w:rsidR="005D44AF" w:rsidRPr="00DD1DFA" w:rsidRDefault="005D44AF" w:rsidP="005D44AF">
      <w:pPr>
        <w:spacing w:before="0" w:after="0"/>
        <w:jc w:val="left"/>
        <w:outlineLvl w:val="0"/>
        <w:rPr>
          <w:rFonts w:eastAsia="Times New Roman"/>
          <w:b/>
          <w:bCs/>
          <w:noProof/>
          <w:szCs w:val="24"/>
          <w:lang w:eastAsia="en-GB"/>
        </w:rPr>
      </w:pPr>
    </w:p>
    <w:p w14:paraId="52D792CA" w14:textId="77777777" w:rsidR="005D44AF" w:rsidRPr="00DD1DFA" w:rsidRDefault="005D44AF" w:rsidP="005D44AF">
      <w:pPr>
        <w:spacing w:before="240"/>
        <w:ind w:left="360"/>
        <w:jc w:val="center"/>
        <w:rPr>
          <w:rFonts w:eastAsia="Times New Roman"/>
          <w:noProof/>
          <w:szCs w:val="24"/>
        </w:rPr>
      </w:pPr>
      <w:r w:rsidRPr="00DD1DFA">
        <w:rPr>
          <w:noProof/>
        </w:rPr>
        <w:t>Tytuł wniosku/inicjatywy:</w:t>
      </w:r>
    </w:p>
    <w:p w14:paraId="332740FA" w14:textId="3F8ABA98" w:rsidR="005D44AF" w:rsidRPr="00DD1DFA" w:rsidRDefault="005D44AF" w:rsidP="005D44AF">
      <w:pPr>
        <w:pBdr>
          <w:top w:val="dotted" w:sz="4" w:space="1" w:color="auto"/>
          <w:left w:val="dotted" w:sz="4" w:space="4" w:color="auto"/>
          <w:bottom w:val="dotted" w:sz="4" w:space="1" w:color="auto"/>
          <w:right w:val="dotted" w:sz="4" w:space="4" w:color="auto"/>
        </w:pBdr>
        <w:shd w:val="clear" w:color="auto" w:fill="FFFF99"/>
        <w:spacing w:before="0" w:after="60"/>
        <w:jc w:val="left"/>
        <w:rPr>
          <w:rFonts w:eastAsia="Times New Roman"/>
          <w:noProof/>
          <w:color w:val="808080"/>
          <w:szCs w:val="24"/>
        </w:rPr>
      </w:pPr>
      <w:r w:rsidRPr="00DD1DFA">
        <w:rPr>
          <w:noProof/>
          <w:color w:val="808080"/>
          <w:szCs w:val="24"/>
        </w:rPr>
        <w:t>Wniosek dotyczący rozporządzenia Parlamentu Europejskiego</w:t>
      </w:r>
      <w:r w:rsidR="00DD1DFA" w:rsidRPr="00DD1DFA">
        <w:rPr>
          <w:noProof/>
          <w:color w:val="808080"/>
          <w:szCs w:val="24"/>
        </w:rPr>
        <w:t xml:space="preserve"> i</w:t>
      </w:r>
      <w:r w:rsidR="00DD1DFA">
        <w:rPr>
          <w:noProof/>
          <w:color w:val="808080"/>
          <w:szCs w:val="24"/>
        </w:rPr>
        <w:t> </w:t>
      </w:r>
      <w:r w:rsidR="00DD1DFA" w:rsidRPr="00DD1DFA">
        <w:rPr>
          <w:noProof/>
          <w:color w:val="808080"/>
          <w:szCs w:val="24"/>
        </w:rPr>
        <w:t>Rad</w:t>
      </w:r>
      <w:r w:rsidRPr="00DD1DFA">
        <w:rPr>
          <w:noProof/>
          <w:color w:val="808080"/>
          <w:szCs w:val="24"/>
        </w:rPr>
        <w:t>y ustanawiającego zharmonizowane warunki wprowadzania do obrotu wyrobów budowlanych, zmieniającego rozporządzenie (UE) 2019/1020</w:t>
      </w:r>
      <w:r w:rsidR="00DD1DFA" w:rsidRPr="00DD1DFA">
        <w:rPr>
          <w:noProof/>
          <w:color w:val="808080"/>
          <w:szCs w:val="24"/>
        </w:rPr>
        <w:t xml:space="preserve"> i</w:t>
      </w:r>
      <w:r w:rsidR="00DD1DFA">
        <w:rPr>
          <w:noProof/>
          <w:color w:val="808080"/>
          <w:szCs w:val="24"/>
        </w:rPr>
        <w:t> </w:t>
      </w:r>
      <w:r w:rsidR="00DD1DFA" w:rsidRPr="00DD1DFA">
        <w:rPr>
          <w:noProof/>
          <w:color w:val="808080"/>
          <w:szCs w:val="24"/>
        </w:rPr>
        <w:t>uch</w:t>
      </w:r>
      <w:r w:rsidRPr="00DD1DFA">
        <w:rPr>
          <w:noProof/>
          <w:color w:val="808080"/>
          <w:szCs w:val="24"/>
        </w:rPr>
        <w:t>ylającego rozporządzenie (UE) nr</w:t>
      </w:r>
      <w:r w:rsidR="00DD1DFA" w:rsidRPr="00DD1DFA">
        <w:rPr>
          <w:noProof/>
          <w:color w:val="808080"/>
          <w:szCs w:val="24"/>
        </w:rPr>
        <w:t> </w:t>
      </w:r>
      <w:r w:rsidRPr="00DD1DFA">
        <w:rPr>
          <w:noProof/>
          <w:color w:val="808080"/>
          <w:szCs w:val="24"/>
        </w:rPr>
        <w:t>305/2011</w:t>
      </w:r>
    </w:p>
    <w:p w14:paraId="03F47863" w14:textId="77777777" w:rsidR="005D44AF" w:rsidRPr="00DD1DFA" w:rsidRDefault="005D44AF" w:rsidP="005D44AF">
      <w:pPr>
        <w:spacing w:before="0" w:after="0"/>
        <w:jc w:val="left"/>
        <w:outlineLvl w:val="0"/>
        <w:rPr>
          <w:rFonts w:eastAsia="Times New Roman"/>
          <w:b/>
          <w:bCs/>
          <w:noProof/>
          <w:szCs w:val="24"/>
          <w:lang w:eastAsia="en-GB"/>
        </w:rPr>
      </w:pPr>
    </w:p>
    <w:p w14:paraId="54BB1EF8" w14:textId="77777777" w:rsidR="005D44AF" w:rsidRPr="00DD1DFA" w:rsidRDefault="005D44AF" w:rsidP="005D44AF">
      <w:pPr>
        <w:spacing w:before="0" w:after="0"/>
        <w:jc w:val="left"/>
        <w:outlineLvl w:val="0"/>
        <w:rPr>
          <w:rFonts w:eastAsia="Times New Roman"/>
          <w:b/>
          <w:bCs/>
          <w:noProof/>
          <w:szCs w:val="24"/>
          <w:lang w:eastAsia="en-GB"/>
        </w:rPr>
      </w:pPr>
    </w:p>
    <w:p w14:paraId="299FE1FE" w14:textId="77777777" w:rsidR="005D44AF" w:rsidRPr="00DD1DFA" w:rsidRDefault="005D44AF" w:rsidP="005D44AF">
      <w:pPr>
        <w:spacing w:before="0" w:after="0"/>
        <w:jc w:val="left"/>
        <w:outlineLvl w:val="0"/>
        <w:rPr>
          <w:rFonts w:eastAsia="Times New Roman"/>
          <w:b/>
          <w:bCs/>
          <w:noProof/>
          <w:szCs w:val="24"/>
          <w:lang w:eastAsia="en-GB"/>
        </w:rPr>
      </w:pPr>
    </w:p>
    <w:p w14:paraId="75AD9534" w14:textId="77777777" w:rsidR="005D44AF" w:rsidRPr="00DD1DFA" w:rsidRDefault="005D44AF" w:rsidP="005D44AF">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sidRPr="00DD1DFA">
        <w:rPr>
          <w:i/>
          <w:noProof/>
          <w:sz w:val="22"/>
          <w:szCs w:val="24"/>
        </w:rPr>
        <w:t>Niniejszy załącznik musi towarzyszyć ocenie skutków finansowych regulacji podczas konsultacji między służbami.</w:t>
      </w:r>
    </w:p>
    <w:p w14:paraId="1F41D41E" w14:textId="5C55818E" w:rsidR="005D44AF" w:rsidRPr="00DD1DFA" w:rsidRDefault="005D44AF" w:rsidP="005D44AF">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sidRPr="00DD1DFA">
        <w:rPr>
          <w:i/>
          <w:noProof/>
          <w:sz w:val="22"/>
          <w:szCs w:val="24"/>
        </w:rPr>
        <w:t>Tabele danych są wykorzystywane jako materiał wyjściowy dla tabel zawartych</w:t>
      </w:r>
      <w:r w:rsidR="00DD1DFA" w:rsidRPr="00DD1DFA">
        <w:rPr>
          <w:i/>
          <w:noProof/>
          <w:sz w:val="22"/>
          <w:szCs w:val="24"/>
        </w:rPr>
        <w:t xml:space="preserve"> w</w:t>
      </w:r>
      <w:r w:rsidR="00DD1DFA">
        <w:rPr>
          <w:i/>
          <w:noProof/>
          <w:sz w:val="22"/>
          <w:szCs w:val="24"/>
        </w:rPr>
        <w:t> </w:t>
      </w:r>
      <w:r w:rsidR="00DD1DFA" w:rsidRPr="00DD1DFA">
        <w:rPr>
          <w:i/>
          <w:noProof/>
          <w:sz w:val="22"/>
          <w:szCs w:val="24"/>
        </w:rPr>
        <w:t>oce</w:t>
      </w:r>
      <w:r w:rsidRPr="00DD1DFA">
        <w:rPr>
          <w:i/>
          <w:noProof/>
          <w:sz w:val="22"/>
          <w:szCs w:val="24"/>
        </w:rPr>
        <w:t>nie skutków finansowych regulacji. Służą one wyłącznie do użytku wewnętrznego</w:t>
      </w:r>
      <w:r w:rsidR="00DD1DFA" w:rsidRPr="00DD1DFA">
        <w:rPr>
          <w:i/>
          <w:noProof/>
          <w:sz w:val="22"/>
          <w:szCs w:val="24"/>
        </w:rPr>
        <w:t xml:space="preserve"> w</w:t>
      </w:r>
      <w:r w:rsidR="00DD1DFA">
        <w:rPr>
          <w:i/>
          <w:noProof/>
          <w:sz w:val="22"/>
          <w:szCs w:val="24"/>
        </w:rPr>
        <w:t> </w:t>
      </w:r>
      <w:r w:rsidR="00DD1DFA" w:rsidRPr="00DD1DFA">
        <w:rPr>
          <w:i/>
          <w:noProof/>
          <w:sz w:val="22"/>
          <w:szCs w:val="24"/>
        </w:rPr>
        <w:t>Kom</w:t>
      </w:r>
      <w:r w:rsidRPr="00DD1DFA">
        <w:rPr>
          <w:i/>
          <w:noProof/>
          <w:sz w:val="22"/>
          <w:szCs w:val="24"/>
        </w:rPr>
        <w:t>isji.</w:t>
      </w:r>
    </w:p>
    <w:p w14:paraId="3B734FDA" w14:textId="77777777" w:rsidR="005D44AF" w:rsidRPr="00DD1DFA" w:rsidRDefault="005D44AF" w:rsidP="005D44AF">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bCs/>
          <w:noProof/>
          <w:sz w:val="16"/>
          <w:szCs w:val="16"/>
          <w:lang w:eastAsia="en-GB"/>
        </w:rPr>
      </w:pPr>
    </w:p>
    <w:p w14:paraId="51CB2693" w14:textId="77777777" w:rsidR="005D44AF" w:rsidRPr="00DD1DFA" w:rsidRDefault="005D44AF" w:rsidP="005D44AF">
      <w:pPr>
        <w:spacing w:after="80"/>
        <w:jc w:val="left"/>
        <w:rPr>
          <w:rFonts w:eastAsia="Times New Roman"/>
          <w:b/>
          <w:bCs/>
          <w:noProof/>
          <w:szCs w:val="24"/>
          <w:lang w:eastAsia="en-GB"/>
        </w:rPr>
      </w:pPr>
    </w:p>
    <w:p w14:paraId="7993C112" w14:textId="77777777" w:rsidR="005D44AF" w:rsidRPr="00DD1DFA" w:rsidRDefault="005D44AF" w:rsidP="005D44AF">
      <w:pPr>
        <w:spacing w:before="0" w:after="0"/>
        <w:jc w:val="left"/>
        <w:rPr>
          <w:rFonts w:eastAsia="Times New Roman"/>
          <w:noProof/>
          <w:szCs w:val="24"/>
          <w:lang w:eastAsia="en-GB"/>
        </w:rPr>
        <w:sectPr w:rsidR="005D44AF" w:rsidRPr="00DD1DFA" w:rsidSect="0037392B">
          <w:headerReference w:type="default" r:id="rId23"/>
          <w:footerReference w:type="default" r:id="rId24"/>
          <w:headerReference w:type="first" r:id="rId25"/>
          <w:footerReference w:type="first" r:id="rId26"/>
          <w:pgSz w:w="12240" w:h="15840" w:code="1"/>
          <w:pgMar w:top="902" w:right="1134" w:bottom="1247" w:left="902" w:header="709" w:footer="709" w:gutter="0"/>
          <w:pgNumType w:start="1"/>
          <w:cols w:space="720"/>
          <w:docGrid w:linePitch="360"/>
        </w:sectPr>
      </w:pPr>
    </w:p>
    <w:p w14:paraId="3462D06B" w14:textId="77777777" w:rsidR="005D44AF" w:rsidRPr="00DD1DFA" w:rsidRDefault="005D44AF" w:rsidP="005D44AF">
      <w:pPr>
        <w:spacing w:before="0" w:after="0"/>
        <w:jc w:val="left"/>
        <w:rPr>
          <w:rFonts w:eastAsia="Times New Roman"/>
          <w:noProof/>
          <w:sz w:val="16"/>
          <w:szCs w:val="16"/>
          <w:lang w:eastAsia="en-GB"/>
        </w:rPr>
      </w:pPr>
    </w:p>
    <w:p w14:paraId="4DE25C88" w14:textId="6A2EB588" w:rsidR="005D44AF" w:rsidRPr="00DD1DFA" w:rsidRDefault="005F7EFA" w:rsidP="005F7EFA">
      <w:pPr>
        <w:pStyle w:val="ManualHeading1"/>
        <w:rPr>
          <w:rFonts w:eastAsia="Times New Roman"/>
          <w:noProof/>
        </w:rPr>
      </w:pPr>
      <w:r w:rsidRPr="005F7EFA">
        <w:t>1.</w:t>
      </w:r>
      <w:r w:rsidRPr="005F7EFA">
        <w:tab/>
      </w:r>
      <w:r w:rsidR="005D44AF" w:rsidRPr="00DD1DFA">
        <w:rPr>
          <w:noProof/>
        </w:rPr>
        <w:t>Koszt zasobów ludzkich uznanych za niezbędne</w:t>
      </w:r>
      <w:r w:rsidR="005D44AF" w:rsidRPr="00DD1DFA">
        <w:rPr>
          <w:noProof/>
        </w:rPr>
        <w:tab/>
      </w:r>
    </w:p>
    <w:p w14:paraId="0004A813" w14:textId="496D7A08" w:rsidR="005D44AF" w:rsidRPr="00DD1DFA" w:rsidRDefault="005D44AF" w:rsidP="005D44AF">
      <w:pPr>
        <w:spacing w:after="0"/>
        <w:ind w:left="2263" w:hanging="284"/>
        <w:rPr>
          <w:rFonts w:eastAsia="Times New Roman"/>
          <w:noProof/>
          <w:szCs w:val="24"/>
        </w:rPr>
      </w:pPr>
      <w:r w:rsidRPr="00DD1DFA">
        <w:rPr>
          <w:noProof/>
        </w:rPr>
        <w:sym w:font="Wingdings" w:char="F0A8"/>
      </w:r>
      <w:r w:rsidRPr="00DD1DFA">
        <w:rPr>
          <w:noProof/>
        </w:rPr>
        <w:tab/>
      </w:r>
      <w:r w:rsidRPr="00DD1DFA">
        <w:rPr>
          <w:noProof/>
          <w:sz w:val="22"/>
          <w:szCs w:val="24"/>
        </w:rPr>
        <w:t>Wniosek/inicjatywa nie wiąże się</w:t>
      </w:r>
      <w:r w:rsidR="00DD1DFA" w:rsidRPr="00DD1DFA">
        <w:rPr>
          <w:noProof/>
          <w:sz w:val="22"/>
          <w:szCs w:val="24"/>
        </w:rPr>
        <w:t xml:space="preserve"> z</w:t>
      </w:r>
      <w:r w:rsidR="00DD1DFA">
        <w:rPr>
          <w:noProof/>
          <w:sz w:val="22"/>
          <w:szCs w:val="24"/>
        </w:rPr>
        <w:t> </w:t>
      </w:r>
      <w:r w:rsidR="00DD1DFA" w:rsidRPr="00DD1DFA">
        <w:rPr>
          <w:noProof/>
          <w:sz w:val="22"/>
          <w:szCs w:val="24"/>
        </w:rPr>
        <w:t>kon</w:t>
      </w:r>
      <w:r w:rsidRPr="00DD1DFA">
        <w:rPr>
          <w:noProof/>
          <w:sz w:val="22"/>
          <w:szCs w:val="24"/>
        </w:rPr>
        <w:t>iecznością wykorzystania zasobów ludzkich.</w:t>
      </w:r>
    </w:p>
    <w:p w14:paraId="4DB08C23" w14:textId="1CB28F83" w:rsidR="005D44AF" w:rsidRPr="00DD1DFA" w:rsidRDefault="0023629D" w:rsidP="0023629D">
      <w:pPr>
        <w:spacing w:after="0"/>
        <w:ind w:left="2263" w:hanging="284"/>
        <w:rPr>
          <w:rFonts w:eastAsia="Times New Roman"/>
          <w:noProof/>
          <w:szCs w:val="24"/>
        </w:rPr>
      </w:pPr>
      <w:r w:rsidRPr="00DD1DFA">
        <w:rPr>
          <w:rFonts w:ascii="Wingdings" w:hAnsi="Wingdings"/>
          <w:noProof/>
          <w:color w:val="341A51"/>
          <w:sz w:val="22"/>
          <w:u w:val="single"/>
        </w:rPr>
        <w:t></w:t>
      </w:r>
      <w:r w:rsidRPr="00DD1DFA">
        <w:rPr>
          <w:noProof/>
          <w:sz w:val="22"/>
          <w:szCs w:val="24"/>
        </w:rPr>
        <w:t>Wniosek/inicjatywa wiąże się</w:t>
      </w:r>
      <w:r w:rsidR="00DD1DFA" w:rsidRPr="00DD1DFA">
        <w:rPr>
          <w:noProof/>
          <w:sz w:val="22"/>
          <w:szCs w:val="24"/>
        </w:rPr>
        <w:t xml:space="preserve"> z</w:t>
      </w:r>
      <w:r w:rsidR="00DD1DFA">
        <w:rPr>
          <w:noProof/>
          <w:sz w:val="22"/>
          <w:szCs w:val="24"/>
        </w:rPr>
        <w:t> </w:t>
      </w:r>
      <w:r w:rsidR="00DD1DFA" w:rsidRPr="00DD1DFA">
        <w:rPr>
          <w:noProof/>
          <w:sz w:val="22"/>
          <w:szCs w:val="24"/>
        </w:rPr>
        <w:t>kon</w:t>
      </w:r>
      <w:r w:rsidRPr="00DD1DFA">
        <w:rPr>
          <w:noProof/>
          <w:sz w:val="22"/>
          <w:szCs w:val="24"/>
        </w:rPr>
        <w:t>iecznością wykorzystania zasobów ludzkich, jak określono poniżej:</w:t>
      </w:r>
    </w:p>
    <w:p w14:paraId="08FCED24" w14:textId="77777777" w:rsidR="005D44AF" w:rsidRPr="00DD1DFA" w:rsidRDefault="005D44AF" w:rsidP="005D44AF">
      <w:pPr>
        <w:spacing w:before="0" w:after="0"/>
        <w:jc w:val="right"/>
        <w:rPr>
          <w:rFonts w:eastAsia="Times New Roman"/>
          <w:iCs/>
          <w:noProof/>
          <w:sz w:val="20"/>
          <w:szCs w:val="20"/>
        </w:rPr>
      </w:pPr>
      <w:r w:rsidRPr="00DD1DFA">
        <w:rPr>
          <w:noProof/>
          <w:sz w:val="20"/>
          <w:szCs w:val="20"/>
        </w:rPr>
        <w:t>w mln EUR (do trzech miejsc po przecinku)</w:t>
      </w:r>
    </w:p>
    <w:tbl>
      <w:tblPr>
        <w:tblW w:w="15000" w:type="dxa"/>
        <w:jc w:val="center"/>
        <w:tblLook w:val="04A0" w:firstRow="1" w:lastRow="0" w:firstColumn="1" w:lastColumn="0" w:noHBand="0" w:noVBand="1"/>
      </w:tblPr>
      <w:tblGrid>
        <w:gridCol w:w="1874"/>
        <w:gridCol w:w="757"/>
        <w:gridCol w:w="487"/>
        <w:gridCol w:w="1060"/>
        <w:gridCol w:w="486"/>
        <w:gridCol w:w="1060"/>
        <w:gridCol w:w="486"/>
        <w:gridCol w:w="1060"/>
        <w:gridCol w:w="486"/>
        <w:gridCol w:w="1060"/>
        <w:gridCol w:w="486"/>
        <w:gridCol w:w="1060"/>
        <w:gridCol w:w="486"/>
        <w:gridCol w:w="1060"/>
        <w:gridCol w:w="486"/>
        <w:gridCol w:w="1060"/>
        <w:gridCol w:w="486"/>
        <w:gridCol w:w="1060"/>
      </w:tblGrid>
      <w:tr w:rsidR="005D44AF" w:rsidRPr="00DD1DFA" w14:paraId="0A80F20A" w14:textId="77777777" w:rsidTr="00380F0F">
        <w:trPr>
          <w:trHeight w:val="330"/>
          <w:jc w:val="center"/>
        </w:trPr>
        <w:tc>
          <w:tcPr>
            <w:tcW w:w="2632" w:type="dxa"/>
            <w:gridSpan w:val="2"/>
            <w:vMerge w:val="restart"/>
            <w:tcBorders>
              <w:top w:val="single" w:sz="4" w:space="0" w:color="auto"/>
              <w:left w:val="single" w:sz="4" w:space="0" w:color="auto"/>
              <w:right w:val="single" w:sz="4" w:space="0" w:color="auto"/>
            </w:tcBorders>
            <w:shd w:val="pct50" w:color="C0C0C0" w:fill="E2E2E2"/>
            <w:vAlign w:val="center"/>
            <w:hideMark/>
          </w:tcPr>
          <w:p w14:paraId="6A2237EC"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DZIAŁ 7</w:t>
            </w:r>
          </w:p>
          <w:p w14:paraId="3DC83B44"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noProof/>
                <w:color w:val="000000"/>
                <w:sz w:val="22"/>
              </w:rPr>
              <w:t>wieloletnich ram finansowych</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14:paraId="45967413"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2024</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14:paraId="37EFC49C"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2025</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14:paraId="045667FF"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2026</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14:paraId="01E05484"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2027</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14:paraId="16170C3F"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2028</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14:paraId="0D3D7A86"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2029</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14:paraId="0A92228D" w14:textId="77777777" w:rsidR="005D44AF" w:rsidRPr="00DD1DFA" w:rsidRDefault="005D44AF" w:rsidP="005D44AF">
            <w:pPr>
              <w:spacing w:before="0" w:after="0"/>
              <w:jc w:val="center"/>
              <w:rPr>
                <w:rFonts w:ascii="Arial Narrow" w:eastAsia="Times New Roman" w:hAnsi="Arial Narrow"/>
                <w:b/>
                <w:bCs/>
                <w:noProof/>
                <w:color w:val="0000FF"/>
                <w:sz w:val="20"/>
                <w:szCs w:val="20"/>
                <w:lang w:eastAsia="en-GB"/>
              </w:rPr>
            </w:pP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14:paraId="234433B8"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OGÓŁEM</w:t>
            </w:r>
          </w:p>
        </w:tc>
      </w:tr>
      <w:tr w:rsidR="005D44AF" w:rsidRPr="00DD1DFA" w14:paraId="61A28B08" w14:textId="77777777" w:rsidTr="00380F0F">
        <w:trPr>
          <w:trHeight w:val="660"/>
          <w:jc w:val="center"/>
        </w:trPr>
        <w:tc>
          <w:tcPr>
            <w:tcW w:w="2632" w:type="dxa"/>
            <w:gridSpan w:val="2"/>
            <w:vMerge/>
            <w:tcBorders>
              <w:left w:val="single" w:sz="4" w:space="0" w:color="auto"/>
              <w:bottom w:val="single" w:sz="4" w:space="0" w:color="auto"/>
              <w:right w:val="single" w:sz="4" w:space="0" w:color="auto"/>
            </w:tcBorders>
            <w:shd w:val="pct50" w:color="C0C0C0" w:fill="E2E2E2"/>
            <w:vAlign w:val="center"/>
            <w:hideMark/>
          </w:tcPr>
          <w:p w14:paraId="0FD21518" w14:textId="77777777" w:rsidR="005D44AF" w:rsidRPr="00DD1DFA" w:rsidRDefault="005D44AF" w:rsidP="005D44AF">
            <w:pPr>
              <w:spacing w:before="0" w:after="0"/>
              <w:jc w:val="center"/>
              <w:rPr>
                <w:rFonts w:ascii="Arial Narrow" w:eastAsia="Times New Roman" w:hAnsi="Arial Narrow"/>
                <w:noProof/>
                <w:color w:val="000000"/>
                <w:sz w:val="22"/>
                <w:lang w:eastAsia="en-GB"/>
              </w:rPr>
            </w:pPr>
          </w:p>
        </w:tc>
        <w:tc>
          <w:tcPr>
            <w:tcW w:w="483" w:type="dxa"/>
            <w:tcBorders>
              <w:top w:val="nil"/>
              <w:left w:val="nil"/>
              <w:bottom w:val="single" w:sz="4" w:space="0" w:color="auto"/>
              <w:right w:val="single" w:sz="4" w:space="0" w:color="auto"/>
            </w:tcBorders>
            <w:shd w:val="pct12" w:color="CCFFFF" w:fill="FCFFFF"/>
            <w:vAlign w:val="center"/>
            <w:hideMark/>
          </w:tcPr>
          <w:p w14:paraId="097FFAAF"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0DC0D190"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83" w:type="dxa"/>
            <w:tcBorders>
              <w:top w:val="nil"/>
              <w:left w:val="nil"/>
              <w:bottom w:val="single" w:sz="4" w:space="0" w:color="auto"/>
              <w:right w:val="single" w:sz="4" w:space="0" w:color="auto"/>
            </w:tcBorders>
            <w:shd w:val="pct12" w:color="CCFFFF" w:fill="FCFFFF"/>
            <w:vAlign w:val="center"/>
            <w:hideMark/>
          </w:tcPr>
          <w:p w14:paraId="39342774"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20DA5214"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83" w:type="dxa"/>
            <w:tcBorders>
              <w:top w:val="nil"/>
              <w:left w:val="nil"/>
              <w:bottom w:val="single" w:sz="4" w:space="0" w:color="auto"/>
              <w:right w:val="single" w:sz="4" w:space="0" w:color="auto"/>
            </w:tcBorders>
            <w:shd w:val="pct12" w:color="CCFFFF" w:fill="FCFFFF"/>
            <w:vAlign w:val="center"/>
            <w:hideMark/>
          </w:tcPr>
          <w:p w14:paraId="728B80EF"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6CDE4F73"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83" w:type="dxa"/>
            <w:tcBorders>
              <w:top w:val="nil"/>
              <w:left w:val="nil"/>
              <w:bottom w:val="single" w:sz="4" w:space="0" w:color="auto"/>
              <w:right w:val="single" w:sz="4" w:space="0" w:color="auto"/>
            </w:tcBorders>
            <w:shd w:val="pct12" w:color="CCFFFF" w:fill="FCFFFF"/>
            <w:vAlign w:val="center"/>
            <w:hideMark/>
          </w:tcPr>
          <w:p w14:paraId="279AEE15"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7DAC667B"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83" w:type="dxa"/>
            <w:tcBorders>
              <w:top w:val="nil"/>
              <w:left w:val="nil"/>
              <w:bottom w:val="single" w:sz="4" w:space="0" w:color="auto"/>
              <w:right w:val="single" w:sz="4" w:space="0" w:color="auto"/>
            </w:tcBorders>
            <w:shd w:val="pct12" w:color="CCFFFF" w:fill="FCFFFF"/>
            <w:vAlign w:val="center"/>
            <w:hideMark/>
          </w:tcPr>
          <w:p w14:paraId="59E46821"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2A7BA61D"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83" w:type="dxa"/>
            <w:tcBorders>
              <w:top w:val="nil"/>
              <w:left w:val="nil"/>
              <w:bottom w:val="single" w:sz="4" w:space="0" w:color="auto"/>
              <w:right w:val="single" w:sz="4" w:space="0" w:color="auto"/>
            </w:tcBorders>
            <w:shd w:val="pct12" w:color="CCFFFF" w:fill="FCFFFF"/>
            <w:vAlign w:val="center"/>
            <w:hideMark/>
          </w:tcPr>
          <w:p w14:paraId="64A05E21"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77480FA5"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83" w:type="dxa"/>
            <w:tcBorders>
              <w:top w:val="nil"/>
              <w:left w:val="nil"/>
              <w:bottom w:val="single" w:sz="4" w:space="0" w:color="auto"/>
              <w:right w:val="single" w:sz="4" w:space="0" w:color="auto"/>
            </w:tcBorders>
            <w:shd w:val="pct12" w:color="CCFFFF" w:fill="FCFFFF"/>
            <w:vAlign w:val="center"/>
            <w:hideMark/>
          </w:tcPr>
          <w:p w14:paraId="228D3038"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1D7F90D0"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83" w:type="dxa"/>
            <w:tcBorders>
              <w:top w:val="nil"/>
              <w:left w:val="nil"/>
              <w:bottom w:val="single" w:sz="4" w:space="0" w:color="auto"/>
              <w:right w:val="single" w:sz="4" w:space="0" w:color="auto"/>
            </w:tcBorders>
            <w:shd w:val="pct12" w:color="CCFFFF" w:fill="FCFFFF"/>
            <w:vAlign w:val="center"/>
            <w:hideMark/>
          </w:tcPr>
          <w:p w14:paraId="41E34571"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46EBDDA3"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r>
      <w:tr w:rsidR="005D44AF" w:rsidRPr="00DD1DFA" w14:paraId="66D64731" w14:textId="77777777" w:rsidTr="00380F0F">
        <w:trPr>
          <w:trHeight w:val="330"/>
          <w:jc w:val="center"/>
        </w:trPr>
        <w:tc>
          <w:tcPr>
            <w:tcW w:w="15000" w:type="dxa"/>
            <w:gridSpan w:val="18"/>
            <w:tcBorders>
              <w:top w:val="single" w:sz="4" w:space="0" w:color="auto"/>
              <w:left w:val="single" w:sz="4" w:space="0" w:color="auto"/>
              <w:bottom w:val="single" w:sz="4" w:space="0" w:color="auto"/>
              <w:right w:val="single" w:sz="4" w:space="0" w:color="auto"/>
            </w:tcBorders>
            <w:shd w:val="pct12" w:color="CCFFFF" w:fill="CCFFD0"/>
            <w:vAlign w:val="center"/>
            <w:hideMark/>
          </w:tcPr>
          <w:p w14:paraId="33BCA36C" w14:textId="3704CBA5"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b/>
                <w:noProof/>
                <w:color w:val="008000"/>
                <w:sz w:val="20"/>
                <w:szCs w:val="24"/>
              </w:rPr>
              <w:sym w:font="Wingdings" w:char="F09F"/>
            </w:r>
            <w:r w:rsidRPr="00DD1DFA">
              <w:rPr>
                <w:rFonts w:ascii="Arial Narrow" w:hAnsi="Arial Narrow"/>
                <w:b/>
                <w:noProof/>
                <w:color w:val="008000"/>
                <w:sz w:val="20"/>
                <w:szCs w:val="24"/>
              </w:rPr>
              <w:t xml:space="preserve"> </w:t>
            </w:r>
            <w:r w:rsidRPr="00DD1DFA">
              <w:rPr>
                <w:rFonts w:ascii="Arial Narrow" w:hAnsi="Arial Narrow"/>
                <w:b/>
                <w:noProof/>
                <w:color w:val="008000"/>
                <w:sz w:val="22"/>
                <w:szCs w:val="24"/>
              </w:rPr>
              <w:t>Stanowiska przewidziane</w:t>
            </w:r>
            <w:r w:rsidR="00DD1DFA" w:rsidRPr="00DD1DFA">
              <w:rPr>
                <w:rFonts w:ascii="Arial Narrow" w:hAnsi="Arial Narrow"/>
                <w:b/>
                <w:noProof/>
                <w:color w:val="008000"/>
                <w:sz w:val="22"/>
                <w:szCs w:val="24"/>
              </w:rPr>
              <w:t xml:space="preserve"> w</w:t>
            </w:r>
            <w:r w:rsidR="00DD1DFA">
              <w:rPr>
                <w:rFonts w:ascii="Arial Narrow" w:hAnsi="Arial Narrow"/>
                <w:b/>
                <w:noProof/>
                <w:color w:val="008000"/>
                <w:sz w:val="22"/>
                <w:szCs w:val="24"/>
              </w:rPr>
              <w:t> </w:t>
            </w:r>
            <w:r w:rsidR="00DD1DFA" w:rsidRPr="00DD1DFA">
              <w:rPr>
                <w:rFonts w:ascii="Arial Narrow" w:hAnsi="Arial Narrow"/>
                <w:b/>
                <w:noProof/>
                <w:color w:val="008000"/>
                <w:sz w:val="22"/>
                <w:szCs w:val="24"/>
              </w:rPr>
              <w:t>pla</w:t>
            </w:r>
            <w:r w:rsidRPr="00DD1DFA">
              <w:rPr>
                <w:rFonts w:ascii="Arial Narrow" w:hAnsi="Arial Narrow"/>
                <w:b/>
                <w:noProof/>
                <w:color w:val="008000"/>
                <w:sz w:val="22"/>
                <w:szCs w:val="24"/>
              </w:rPr>
              <w:t>nie zatrudnienia (stanowiska urzędników</w:t>
            </w:r>
            <w:r w:rsidR="00DD1DFA" w:rsidRPr="00DD1DFA">
              <w:rPr>
                <w:rFonts w:ascii="Arial Narrow" w:hAnsi="Arial Narrow"/>
                <w:b/>
                <w:noProof/>
                <w:color w:val="008000"/>
                <w:sz w:val="22"/>
                <w:szCs w:val="24"/>
              </w:rPr>
              <w:t xml:space="preserve"> i</w:t>
            </w:r>
            <w:r w:rsidR="00DD1DFA">
              <w:rPr>
                <w:rFonts w:ascii="Arial Narrow" w:hAnsi="Arial Narrow"/>
                <w:b/>
                <w:noProof/>
                <w:color w:val="008000"/>
                <w:sz w:val="22"/>
                <w:szCs w:val="24"/>
              </w:rPr>
              <w:t> </w:t>
            </w:r>
            <w:r w:rsidR="00DD1DFA" w:rsidRPr="00DD1DFA">
              <w:rPr>
                <w:rFonts w:ascii="Arial Narrow" w:hAnsi="Arial Narrow"/>
                <w:b/>
                <w:noProof/>
                <w:color w:val="008000"/>
                <w:sz w:val="22"/>
                <w:szCs w:val="24"/>
              </w:rPr>
              <w:t>pra</w:t>
            </w:r>
            <w:r w:rsidRPr="00DD1DFA">
              <w:rPr>
                <w:rFonts w:ascii="Arial Narrow" w:hAnsi="Arial Narrow"/>
                <w:b/>
                <w:noProof/>
                <w:color w:val="008000"/>
                <w:sz w:val="22"/>
                <w:szCs w:val="24"/>
              </w:rPr>
              <w:t>cowników zatrudnionych na czas określony)</w:t>
            </w:r>
          </w:p>
        </w:tc>
      </w:tr>
      <w:tr w:rsidR="005D44AF" w:rsidRPr="00DD1DFA" w14:paraId="593A9B0E" w14:textId="77777777" w:rsidTr="00380F0F">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14:paraId="4575FE4A" w14:textId="479D173C"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20 01 02 01 –</w:t>
            </w:r>
            <w:r w:rsidR="00DD1DFA" w:rsidRPr="00DD1DFA">
              <w:rPr>
                <w:rFonts w:ascii="Arial Narrow" w:hAnsi="Arial Narrow"/>
                <w:noProof/>
                <w:color w:val="000000"/>
                <w:sz w:val="20"/>
                <w:szCs w:val="20"/>
              </w:rPr>
              <w:t xml:space="preserve"> 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cen</w:t>
            </w:r>
            <w:r w:rsidRPr="00DD1DFA">
              <w:rPr>
                <w:rFonts w:ascii="Arial Narrow" w:hAnsi="Arial Narrow"/>
                <w:noProof/>
                <w:color w:val="000000"/>
                <w:sz w:val="20"/>
                <w:szCs w:val="20"/>
              </w:rPr>
              <w:t>trali</w:t>
            </w:r>
            <w:r w:rsidR="00DD1DFA" w:rsidRPr="00DD1DFA">
              <w:rPr>
                <w:rFonts w:ascii="Arial Narrow" w:hAnsi="Arial Narrow"/>
                <w:noProof/>
                <w:color w:val="000000"/>
                <w:sz w:val="20"/>
                <w:szCs w:val="20"/>
              </w:rPr>
              <w:t xml:space="preserve"> i</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biu</w:t>
            </w:r>
            <w:r w:rsidRPr="00DD1DFA">
              <w:rPr>
                <w:rFonts w:ascii="Arial Narrow" w:hAnsi="Arial Narrow"/>
                <w:noProof/>
                <w:color w:val="000000"/>
                <w:sz w:val="20"/>
                <w:szCs w:val="20"/>
              </w:rPr>
              <w:t>rach przedstawicielstw</w:t>
            </w:r>
          </w:p>
        </w:tc>
        <w:tc>
          <w:tcPr>
            <w:tcW w:w="757" w:type="dxa"/>
            <w:tcBorders>
              <w:top w:val="nil"/>
              <w:left w:val="nil"/>
              <w:bottom w:val="single" w:sz="4" w:space="0" w:color="auto"/>
              <w:right w:val="single" w:sz="4" w:space="0" w:color="auto"/>
            </w:tcBorders>
            <w:shd w:val="pct12" w:color="CCFFFF" w:fill="FCFFFF"/>
            <w:vAlign w:val="center"/>
            <w:hideMark/>
          </w:tcPr>
          <w:p w14:paraId="5AA92E67"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AD</w:t>
            </w:r>
          </w:p>
        </w:tc>
        <w:tc>
          <w:tcPr>
            <w:tcW w:w="483" w:type="dxa"/>
            <w:tcBorders>
              <w:top w:val="nil"/>
              <w:left w:val="nil"/>
              <w:bottom w:val="single" w:sz="4" w:space="0" w:color="auto"/>
              <w:right w:val="single" w:sz="4" w:space="0" w:color="auto"/>
            </w:tcBorders>
            <w:shd w:val="pct12" w:color="CCFFFF" w:fill="FCFFFF"/>
            <w:vAlign w:val="center"/>
            <w:hideMark/>
          </w:tcPr>
          <w:p w14:paraId="2766173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7</w:t>
            </w:r>
          </w:p>
        </w:tc>
        <w:tc>
          <w:tcPr>
            <w:tcW w:w="1063" w:type="dxa"/>
            <w:tcBorders>
              <w:top w:val="nil"/>
              <w:left w:val="nil"/>
              <w:bottom w:val="single" w:sz="4" w:space="0" w:color="auto"/>
              <w:right w:val="single" w:sz="4" w:space="0" w:color="auto"/>
            </w:tcBorders>
            <w:shd w:val="pct12" w:color="CCFFFF" w:fill="FCFFFF"/>
            <w:vAlign w:val="center"/>
            <w:hideMark/>
          </w:tcPr>
          <w:p w14:paraId="12962F4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w:t>
            </w:r>
          </w:p>
        </w:tc>
        <w:tc>
          <w:tcPr>
            <w:tcW w:w="483" w:type="dxa"/>
            <w:tcBorders>
              <w:top w:val="nil"/>
              <w:left w:val="nil"/>
              <w:bottom w:val="single" w:sz="4" w:space="0" w:color="auto"/>
              <w:right w:val="single" w:sz="4" w:space="0" w:color="auto"/>
            </w:tcBorders>
            <w:shd w:val="pct12" w:color="CCFFFF" w:fill="FCFFFF"/>
            <w:vAlign w:val="center"/>
            <w:hideMark/>
          </w:tcPr>
          <w:p w14:paraId="26A00EB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7</w:t>
            </w:r>
          </w:p>
        </w:tc>
        <w:tc>
          <w:tcPr>
            <w:tcW w:w="1063" w:type="dxa"/>
            <w:tcBorders>
              <w:top w:val="nil"/>
              <w:left w:val="nil"/>
              <w:bottom w:val="single" w:sz="4" w:space="0" w:color="auto"/>
              <w:right w:val="single" w:sz="4" w:space="0" w:color="auto"/>
            </w:tcBorders>
            <w:shd w:val="pct12" w:color="CCFFFF" w:fill="FCFFFF"/>
            <w:vAlign w:val="center"/>
            <w:hideMark/>
          </w:tcPr>
          <w:p w14:paraId="656108C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w:t>
            </w:r>
          </w:p>
        </w:tc>
        <w:tc>
          <w:tcPr>
            <w:tcW w:w="483" w:type="dxa"/>
            <w:tcBorders>
              <w:top w:val="nil"/>
              <w:left w:val="nil"/>
              <w:bottom w:val="single" w:sz="4" w:space="0" w:color="auto"/>
              <w:right w:val="single" w:sz="4" w:space="0" w:color="auto"/>
            </w:tcBorders>
            <w:shd w:val="pct12" w:color="CCFFFF" w:fill="FCFFFF"/>
            <w:vAlign w:val="center"/>
            <w:hideMark/>
          </w:tcPr>
          <w:p w14:paraId="569A77A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7</w:t>
            </w:r>
          </w:p>
        </w:tc>
        <w:tc>
          <w:tcPr>
            <w:tcW w:w="1063" w:type="dxa"/>
            <w:tcBorders>
              <w:top w:val="nil"/>
              <w:left w:val="nil"/>
              <w:bottom w:val="single" w:sz="4" w:space="0" w:color="auto"/>
              <w:right w:val="single" w:sz="4" w:space="0" w:color="auto"/>
            </w:tcBorders>
            <w:shd w:val="pct12" w:color="CCFFFF" w:fill="FCFFFF"/>
            <w:vAlign w:val="center"/>
            <w:hideMark/>
          </w:tcPr>
          <w:p w14:paraId="7EED5F2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w:t>
            </w:r>
          </w:p>
        </w:tc>
        <w:tc>
          <w:tcPr>
            <w:tcW w:w="483" w:type="dxa"/>
            <w:tcBorders>
              <w:top w:val="nil"/>
              <w:left w:val="nil"/>
              <w:bottom w:val="single" w:sz="4" w:space="0" w:color="auto"/>
              <w:right w:val="single" w:sz="4" w:space="0" w:color="auto"/>
            </w:tcBorders>
            <w:shd w:val="pct12" w:color="CCFFFF" w:fill="FCFFFF"/>
            <w:vAlign w:val="center"/>
            <w:hideMark/>
          </w:tcPr>
          <w:p w14:paraId="7368C71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6</w:t>
            </w:r>
          </w:p>
        </w:tc>
        <w:tc>
          <w:tcPr>
            <w:tcW w:w="1063" w:type="dxa"/>
            <w:tcBorders>
              <w:top w:val="nil"/>
              <w:left w:val="nil"/>
              <w:bottom w:val="single" w:sz="4" w:space="0" w:color="auto"/>
              <w:right w:val="single" w:sz="4" w:space="0" w:color="auto"/>
            </w:tcBorders>
            <w:shd w:val="pct12" w:color="CCFFFF" w:fill="FCFFFF"/>
            <w:vAlign w:val="center"/>
            <w:hideMark/>
          </w:tcPr>
          <w:p w14:paraId="15ABA34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0,942</w:t>
            </w:r>
          </w:p>
        </w:tc>
        <w:tc>
          <w:tcPr>
            <w:tcW w:w="483" w:type="dxa"/>
            <w:tcBorders>
              <w:top w:val="nil"/>
              <w:left w:val="nil"/>
              <w:bottom w:val="single" w:sz="4" w:space="0" w:color="auto"/>
              <w:right w:val="single" w:sz="4" w:space="0" w:color="auto"/>
            </w:tcBorders>
            <w:shd w:val="pct12" w:color="CCFFFF" w:fill="FCFFFF"/>
            <w:vAlign w:val="center"/>
            <w:hideMark/>
          </w:tcPr>
          <w:p w14:paraId="74A41C2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6</w:t>
            </w:r>
          </w:p>
        </w:tc>
        <w:tc>
          <w:tcPr>
            <w:tcW w:w="1063" w:type="dxa"/>
            <w:tcBorders>
              <w:top w:val="nil"/>
              <w:left w:val="nil"/>
              <w:bottom w:val="single" w:sz="4" w:space="0" w:color="auto"/>
              <w:right w:val="single" w:sz="4" w:space="0" w:color="auto"/>
            </w:tcBorders>
            <w:shd w:val="pct12" w:color="CCFFFF" w:fill="FCFFFF"/>
            <w:vAlign w:val="center"/>
            <w:hideMark/>
          </w:tcPr>
          <w:p w14:paraId="56DA09C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0,942</w:t>
            </w:r>
          </w:p>
        </w:tc>
        <w:tc>
          <w:tcPr>
            <w:tcW w:w="483" w:type="dxa"/>
            <w:tcBorders>
              <w:top w:val="nil"/>
              <w:left w:val="nil"/>
              <w:bottom w:val="single" w:sz="4" w:space="0" w:color="auto"/>
              <w:right w:val="single" w:sz="4" w:space="0" w:color="auto"/>
            </w:tcBorders>
            <w:shd w:val="pct12" w:color="CCFFFF" w:fill="FCFFFF"/>
            <w:vAlign w:val="center"/>
            <w:hideMark/>
          </w:tcPr>
          <w:p w14:paraId="05B69EF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4</w:t>
            </w:r>
          </w:p>
        </w:tc>
        <w:tc>
          <w:tcPr>
            <w:tcW w:w="1063" w:type="dxa"/>
            <w:tcBorders>
              <w:top w:val="nil"/>
              <w:left w:val="nil"/>
              <w:bottom w:val="single" w:sz="4" w:space="0" w:color="auto"/>
              <w:right w:val="single" w:sz="4" w:space="0" w:color="auto"/>
            </w:tcBorders>
            <w:shd w:val="pct12" w:color="CCFFFF" w:fill="FCFFFF"/>
            <w:vAlign w:val="center"/>
            <w:hideMark/>
          </w:tcPr>
          <w:p w14:paraId="49FD4AF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0,628</w:t>
            </w:r>
          </w:p>
        </w:tc>
        <w:tc>
          <w:tcPr>
            <w:tcW w:w="483" w:type="dxa"/>
            <w:tcBorders>
              <w:top w:val="nil"/>
              <w:left w:val="nil"/>
              <w:bottom w:val="single" w:sz="4" w:space="0" w:color="auto"/>
              <w:right w:val="single" w:sz="4" w:space="0" w:color="auto"/>
            </w:tcBorders>
            <w:shd w:val="pct12" w:color="CCFFFF" w:fill="FCFFFF"/>
            <w:vAlign w:val="center"/>
            <w:hideMark/>
          </w:tcPr>
          <w:p w14:paraId="15329CE9"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063" w:type="dxa"/>
            <w:tcBorders>
              <w:top w:val="nil"/>
              <w:left w:val="nil"/>
              <w:bottom w:val="single" w:sz="4" w:space="0" w:color="auto"/>
              <w:right w:val="single" w:sz="4" w:space="0" w:color="auto"/>
            </w:tcBorders>
            <w:shd w:val="pct12" w:color="CCFFFF" w:fill="FCFFFF"/>
            <w:vAlign w:val="center"/>
            <w:hideMark/>
          </w:tcPr>
          <w:p w14:paraId="51BA57AE"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483" w:type="dxa"/>
            <w:tcBorders>
              <w:top w:val="nil"/>
              <w:left w:val="nil"/>
              <w:bottom w:val="single" w:sz="4" w:space="0" w:color="auto"/>
              <w:right w:val="single" w:sz="4" w:space="0" w:color="auto"/>
            </w:tcBorders>
            <w:shd w:val="pct12" w:color="CCFFFF" w:fill="FCFFFF"/>
            <w:vAlign w:val="center"/>
            <w:hideMark/>
          </w:tcPr>
          <w:p w14:paraId="74C2A18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9BB806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5,809</w:t>
            </w:r>
          </w:p>
        </w:tc>
      </w:tr>
      <w:tr w:rsidR="005D44AF" w:rsidRPr="00DD1DFA" w14:paraId="156DCA30" w14:textId="77777777" w:rsidTr="00380F0F">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14:paraId="385B5089"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14:paraId="222D798E"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AST</w:t>
            </w:r>
          </w:p>
        </w:tc>
        <w:tc>
          <w:tcPr>
            <w:tcW w:w="483" w:type="dxa"/>
            <w:tcBorders>
              <w:top w:val="nil"/>
              <w:left w:val="nil"/>
              <w:bottom w:val="single" w:sz="4" w:space="0" w:color="auto"/>
              <w:right w:val="single" w:sz="4" w:space="0" w:color="auto"/>
            </w:tcBorders>
            <w:shd w:val="pct12" w:color="CCFFFF" w:fill="FCFFFF"/>
            <w:vAlign w:val="center"/>
            <w:hideMark/>
          </w:tcPr>
          <w:p w14:paraId="459CF1A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0EEC4C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2FF892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03D002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2F3C668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B3570D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0C373D0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E2DFE1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057A183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800D27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2973E8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F46A15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63A7D6A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8E294E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6777C37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89208F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332F8B41" w14:textId="77777777" w:rsidTr="00380F0F">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14:paraId="2FF2559A" w14:textId="204D7414"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20 01 02 03 –</w:t>
            </w:r>
            <w:r w:rsidR="00DD1DFA" w:rsidRPr="00DD1DFA">
              <w:rPr>
                <w:rFonts w:ascii="Arial Narrow" w:hAnsi="Arial Narrow"/>
                <w:noProof/>
                <w:color w:val="000000"/>
                <w:sz w:val="20"/>
                <w:szCs w:val="20"/>
              </w:rPr>
              <w:t xml:space="preserve"> 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del</w:t>
            </w:r>
            <w:r w:rsidRPr="00DD1DFA">
              <w:rPr>
                <w:rFonts w:ascii="Arial Narrow" w:hAnsi="Arial Narrow"/>
                <w:noProof/>
                <w:color w:val="000000"/>
                <w:sz w:val="20"/>
                <w:szCs w:val="20"/>
              </w:rPr>
              <w:t>egaturach Unii</w:t>
            </w:r>
          </w:p>
        </w:tc>
        <w:tc>
          <w:tcPr>
            <w:tcW w:w="757" w:type="dxa"/>
            <w:tcBorders>
              <w:top w:val="nil"/>
              <w:left w:val="nil"/>
              <w:bottom w:val="single" w:sz="4" w:space="0" w:color="auto"/>
              <w:right w:val="single" w:sz="4" w:space="0" w:color="auto"/>
            </w:tcBorders>
            <w:shd w:val="pct12" w:color="CCFFFF" w:fill="FCFFFF"/>
            <w:vAlign w:val="center"/>
            <w:hideMark/>
          </w:tcPr>
          <w:p w14:paraId="7ECAB754" w14:textId="77777777" w:rsidR="005D44AF" w:rsidRPr="00DD1DFA" w:rsidRDefault="005D44AF" w:rsidP="005D44AF">
            <w:pPr>
              <w:spacing w:before="0" w:after="0"/>
              <w:jc w:val="left"/>
              <w:rPr>
                <w:rFonts w:ascii="Arial Narrow" w:eastAsia="Times New Roman" w:hAnsi="Arial Narrow"/>
                <w:noProof/>
                <w:color w:val="000000"/>
                <w:sz w:val="18"/>
                <w:szCs w:val="18"/>
              </w:rPr>
            </w:pPr>
            <w:r w:rsidRPr="00DD1DFA">
              <w:rPr>
                <w:rFonts w:ascii="Arial Narrow" w:hAnsi="Arial Narrow"/>
                <w:noProof/>
                <w:color w:val="000000"/>
                <w:sz w:val="18"/>
                <w:szCs w:val="18"/>
              </w:rPr>
              <w:t xml:space="preserve">   AD</w:t>
            </w:r>
          </w:p>
        </w:tc>
        <w:tc>
          <w:tcPr>
            <w:tcW w:w="483" w:type="dxa"/>
            <w:tcBorders>
              <w:top w:val="nil"/>
              <w:left w:val="nil"/>
              <w:bottom w:val="single" w:sz="4" w:space="0" w:color="auto"/>
              <w:right w:val="single" w:sz="4" w:space="0" w:color="auto"/>
            </w:tcBorders>
            <w:shd w:val="pct12" w:color="CCFFFF" w:fill="FCFFFF"/>
            <w:vAlign w:val="center"/>
            <w:hideMark/>
          </w:tcPr>
          <w:p w14:paraId="41E80F2C"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E9AD5FC"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5101DEF"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6591731"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2DB8393"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A5370E5"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6E1F00DE"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6713245"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2FA25104"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10AD907"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8349B77"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53CE75E"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C84DCE5"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01B3A4A"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F97D2C4"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E7D97A5"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665DE34F" w14:textId="77777777" w:rsidTr="00380F0F">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14:paraId="41FE0F42"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14:paraId="4A9C3E3A"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AST</w:t>
            </w:r>
          </w:p>
        </w:tc>
        <w:tc>
          <w:tcPr>
            <w:tcW w:w="483" w:type="dxa"/>
            <w:tcBorders>
              <w:top w:val="nil"/>
              <w:left w:val="nil"/>
              <w:bottom w:val="single" w:sz="4" w:space="0" w:color="auto"/>
              <w:right w:val="single" w:sz="4" w:space="0" w:color="auto"/>
            </w:tcBorders>
            <w:shd w:val="pct12" w:color="CCFFFF" w:fill="FCFFFF"/>
            <w:vAlign w:val="center"/>
            <w:hideMark/>
          </w:tcPr>
          <w:p w14:paraId="670C1C7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6AC386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27FC8BF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E92D76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025D6AC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4D4F84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094696C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41394A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2E3BB42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379EC1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7631E9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099B12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32E937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CDB213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D95A8D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17B685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2E1F816C" w14:textId="77777777" w:rsidTr="00380F0F">
        <w:trPr>
          <w:trHeight w:val="300"/>
          <w:jc w:val="center"/>
        </w:trPr>
        <w:tc>
          <w:tcPr>
            <w:tcW w:w="15000" w:type="dxa"/>
            <w:gridSpan w:val="18"/>
            <w:tcBorders>
              <w:top w:val="single" w:sz="4" w:space="0" w:color="auto"/>
              <w:left w:val="single" w:sz="4" w:space="0" w:color="auto"/>
              <w:bottom w:val="single" w:sz="4" w:space="0" w:color="auto"/>
              <w:right w:val="single" w:sz="4" w:space="0" w:color="auto"/>
            </w:tcBorders>
            <w:shd w:val="pct12" w:color="CCFFFF" w:fill="FCFFA1"/>
            <w:vAlign w:val="center"/>
            <w:hideMark/>
          </w:tcPr>
          <w:p w14:paraId="3AE63F84"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b/>
                <w:noProof/>
                <w:color w:val="FF6600"/>
                <w:sz w:val="20"/>
                <w:szCs w:val="24"/>
              </w:rPr>
              <w:sym w:font="Wingdings" w:char="F09F"/>
            </w:r>
            <w:r w:rsidRPr="00DD1DFA">
              <w:rPr>
                <w:rFonts w:ascii="Arial Narrow" w:hAnsi="Arial Narrow"/>
                <w:b/>
                <w:noProof/>
                <w:color w:val="FF6600"/>
                <w:sz w:val="20"/>
                <w:szCs w:val="24"/>
              </w:rPr>
              <w:t xml:space="preserve"> </w:t>
            </w:r>
            <w:r w:rsidRPr="00DD1DFA">
              <w:rPr>
                <w:rFonts w:ascii="Arial Narrow" w:hAnsi="Arial Narrow"/>
                <w:b/>
                <w:noProof/>
                <w:color w:val="FF6600"/>
                <w:sz w:val="22"/>
                <w:szCs w:val="24"/>
              </w:rPr>
              <w:t>Personel zewnętrzny</w:t>
            </w:r>
            <w:r w:rsidRPr="00DD1DFA">
              <w:rPr>
                <w:rStyle w:val="Odwoanieprzypisudolnego"/>
                <w:noProof/>
              </w:rPr>
              <w:footnoteReference w:id="65"/>
            </w:r>
          </w:p>
        </w:tc>
      </w:tr>
      <w:tr w:rsidR="005D44AF" w:rsidRPr="00DD1DFA" w14:paraId="52231C0D" w14:textId="77777777" w:rsidTr="00380F0F">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14:paraId="09B4D73E" w14:textId="719DEDE7" w:rsidR="005D44AF" w:rsidRPr="00DD1DFA" w:rsidRDefault="005D44AF" w:rsidP="005D44AF">
            <w:pPr>
              <w:spacing w:before="0" w:after="0"/>
              <w:rPr>
                <w:rFonts w:ascii="Arial Narrow" w:eastAsia="Times New Roman" w:hAnsi="Arial Narrow"/>
                <w:noProof/>
                <w:color w:val="000000"/>
                <w:sz w:val="20"/>
                <w:szCs w:val="20"/>
              </w:rPr>
            </w:pPr>
            <w:r w:rsidRPr="00DD1DFA">
              <w:rPr>
                <w:rFonts w:ascii="Arial Narrow" w:hAnsi="Arial Narrow"/>
                <w:noProof/>
                <w:color w:val="000000"/>
                <w:sz w:val="20"/>
                <w:szCs w:val="20"/>
              </w:rPr>
              <w:t>20 02 01</w:t>
            </w:r>
            <w:r w:rsidR="00DD1DFA" w:rsidRPr="00DD1DFA">
              <w:rPr>
                <w:rFonts w:ascii="Arial Narrow" w:hAnsi="Arial Narrow"/>
                <w:noProof/>
                <w:color w:val="000000"/>
                <w:sz w:val="20"/>
                <w:szCs w:val="20"/>
              </w:rPr>
              <w:t xml:space="preserve"> i</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2</w:t>
            </w:r>
            <w:r w:rsidRPr="00DD1DFA">
              <w:rPr>
                <w:rFonts w:ascii="Arial Narrow" w:hAnsi="Arial Narrow"/>
                <w:noProof/>
                <w:color w:val="000000"/>
                <w:sz w:val="20"/>
                <w:szCs w:val="20"/>
              </w:rPr>
              <w:t>0 02 02 – personel zewnętrzny –</w:t>
            </w:r>
            <w:r w:rsidR="00DD1DFA" w:rsidRPr="00DD1DFA">
              <w:rPr>
                <w:rFonts w:ascii="Arial Narrow" w:hAnsi="Arial Narrow"/>
                <w:noProof/>
                <w:color w:val="000000"/>
                <w:sz w:val="20"/>
                <w:szCs w:val="20"/>
              </w:rPr>
              <w:t xml:space="preserve"> 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cen</w:t>
            </w:r>
            <w:r w:rsidRPr="00DD1DFA">
              <w:rPr>
                <w:rFonts w:ascii="Arial Narrow" w:hAnsi="Arial Narrow"/>
                <w:noProof/>
                <w:color w:val="000000"/>
                <w:sz w:val="20"/>
                <w:szCs w:val="20"/>
              </w:rPr>
              <w:t>trali</w:t>
            </w:r>
            <w:r w:rsidR="00DD1DFA" w:rsidRPr="00DD1DFA">
              <w:rPr>
                <w:rFonts w:ascii="Arial Narrow" w:hAnsi="Arial Narrow"/>
                <w:noProof/>
                <w:color w:val="000000"/>
                <w:sz w:val="20"/>
                <w:szCs w:val="20"/>
              </w:rPr>
              <w:t xml:space="preserve"> i</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biu</w:t>
            </w:r>
            <w:r w:rsidRPr="00DD1DFA">
              <w:rPr>
                <w:rFonts w:ascii="Arial Narrow" w:hAnsi="Arial Narrow"/>
                <w:noProof/>
                <w:color w:val="000000"/>
                <w:sz w:val="20"/>
                <w:szCs w:val="20"/>
              </w:rPr>
              <w:t>rach przedstawicielstw</w:t>
            </w:r>
          </w:p>
        </w:tc>
        <w:tc>
          <w:tcPr>
            <w:tcW w:w="757" w:type="dxa"/>
            <w:tcBorders>
              <w:top w:val="nil"/>
              <w:left w:val="nil"/>
              <w:bottom w:val="single" w:sz="4" w:space="0" w:color="auto"/>
              <w:right w:val="single" w:sz="4" w:space="0" w:color="auto"/>
            </w:tcBorders>
            <w:shd w:val="pct12" w:color="CCFFFF" w:fill="FCFFFF"/>
            <w:vAlign w:val="center"/>
            <w:hideMark/>
          </w:tcPr>
          <w:p w14:paraId="79B2122D"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CA</w:t>
            </w:r>
          </w:p>
        </w:tc>
        <w:tc>
          <w:tcPr>
            <w:tcW w:w="483" w:type="dxa"/>
            <w:tcBorders>
              <w:top w:val="nil"/>
              <w:left w:val="nil"/>
              <w:bottom w:val="single" w:sz="4" w:space="0" w:color="auto"/>
              <w:right w:val="single" w:sz="4" w:space="0" w:color="auto"/>
            </w:tcBorders>
            <w:shd w:val="pct12" w:color="CCFFFF" w:fill="FCFFFF"/>
            <w:vAlign w:val="center"/>
            <w:hideMark/>
          </w:tcPr>
          <w:p w14:paraId="3F70527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31789E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912160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5E3930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68BA1B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5C8029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6517054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F338DF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7DA875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586CE1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2F9C94F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50B3D9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B479C3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541685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94D84F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DF2AEA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7BAEC556" w14:textId="77777777" w:rsidTr="00380F0F">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14:paraId="27F80155"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14:paraId="7057CEDA"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SNE</w:t>
            </w:r>
          </w:p>
        </w:tc>
        <w:tc>
          <w:tcPr>
            <w:tcW w:w="483" w:type="dxa"/>
            <w:tcBorders>
              <w:top w:val="nil"/>
              <w:left w:val="nil"/>
              <w:bottom w:val="single" w:sz="4" w:space="0" w:color="auto"/>
              <w:right w:val="single" w:sz="4" w:space="0" w:color="auto"/>
            </w:tcBorders>
            <w:shd w:val="pct12" w:color="CCFFFF" w:fill="FCFFFF"/>
            <w:vAlign w:val="center"/>
            <w:hideMark/>
          </w:tcPr>
          <w:p w14:paraId="73A76B2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8C63E4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68505A3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DA31A1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252D0A8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BFA723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61FC0A7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D2A14F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27398E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7BEC1B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C199E6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DDEE65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B37099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977E75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7F27CE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CAF49C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61E16F08" w14:textId="77777777" w:rsidTr="00380F0F">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14:paraId="7AD57737"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14:paraId="6A4B664C"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INT</w:t>
            </w:r>
          </w:p>
        </w:tc>
        <w:tc>
          <w:tcPr>
            <w:tcW w:w="483" w:type="dxa"/>
            <w:tcBorders>
              <w:top w:val="nil"/>
              <w:left w:val="nil"/>
              <w:bottom w:val="single" w:sz="4" w:space="0" w:color="auto"/>
              <w:right w:val="single" w:sz="4" w:space="0" w:color="auto"/>
            </w:tcBorders>
            <w:shd w:val="pct12" w:color="CCFFFF" w:fill="FCFFFF"/>
            <w:vAlign w:val="center"/>
            <w:hideMark/>
          </w:tcPr>
          <w:p w14:paraId="69A0726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B52093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2537C85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80C764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122A47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90C29D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2AD26C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7B61AD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031069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3D7CB0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895313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E8D40F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C0198C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44FA0E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DDB984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C6CB82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53814161" w14:textId="77777777" w:rsidTr="00380F0F">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14:paraId="206D6EF5" w14:textId="42666729" w:rsidR="005D44AF" w:rsidRPr="00DD1DFA" w:rsidRDefault="005D44AF" w:rsidP="005D44AF">
            <w:pPr>
              <w:spacing w:before="0" w:after="0"/>
              <w:rPr>
                <w:rFonts w:ascii="Arial Narrow" w:eastAsia="Times New Roman" w:hAnsi="Arial Narrow"/>
                <w:noProof/>
                <w:color w:val="000000"/>
                <w:sz w:val="20"/>
                <w:szCs w:val="20"/>
              </w:rPr>
            </w:pPr>
            <w:r w:rsidRPr="00DD1DFA">
              <w:rPr>
                <w:rFonts w:ascii="Arial Narrow" w:hAnsi="Arial Narrow"/>
                <w:noProof/>
                <w:color w:val="000000"/>
                <w:sz w:val="20"/>
                <w:szCs w:val="20"/>
              </w:rPr>
              <w:t>20 02 03 – personel zewnętrzny –</w:t>
            </w:r>
            <w:r w:rsidR="00DD1DFA" w:rsidRPr="00DD1DFA">
              <w:rPr>
                <w:rFonts w:ascii="Arial Narrow" w:hAnsi="Arial Narrow"/>
                <w:noProof/>
                <w:color w:val="000000"/>
                <w:sz w:val="20"/>
                <w:szCs w:val="20"/>
              </w:rPr>
              <w:t xml:space="preserve"> 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del</w:t>
            </w:r>
            <w:r w:rsidRPr="00DD1DFA">
              <w:rPr>
                <w:rFonts w:ascii="Arial Narrow" w:hAnsi="Arial Narrow"/>
                <w:noProof/>
                <w:color w:val="000000"/>
                <w:sz w:val="20"/>
                <w:szCs w:val="20"/>
              </w:rPr>
              <w:t>egaturach Unii</w:t>
            </w:r>
          </w:p>
        </w:tc>
        <w:tc>
          <w:tcPr>
            <w:tcW w:w="757" w:type="dxa"/>
            <w:tcBorders>
              <w:top w:val="nil"/>
              <w:left w:val="nil"/>
              <w:bottom w:val="single" w:sz="4" w:space="0" w:color="auto"/>
              <w:right w:val="single" w:sz="4" w:space="0" w:color="auto"/>
            </w:tcBorders>
            <w:shd w:val="pct12" w:color="CCFFFF" w:fill="FCFFFF"/>
            <w:vAlign w:val="center"/>
            <w:hideMark/>
          </w:tcPr>
          <w:p w14:paraId="214679CF"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CA</w:t>
            </w:r>
          </w:p>
        </w:tc>
        <w:tc>
          <w:tcPr>
            <w:tcW w:w="483" w:type="dxa"/>
            <w:tcBorders>
              <w:top w:val="nil"/>
              <w:left w:val="nil"/>
              <w:bottom w:val="single" w:sz="4" w:space="0" w:color="auto"/>
              <w:right w:val="single" w:sz="4" w:space="0" w:color="auto"/>
            </w:tcBorders>
            <w:shd w:val="pct12" w:color="CCFFFF" w:fill="FCFFFF"/>
            <w:vAlign w:val="center"/>
            <w:hideMark/>
          </w:tcPr>
          <w:p w14:paraId="27BBB4A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70DEB7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C101A8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0D6EAD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FFBF14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F63187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7AE5C8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71FA17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381716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7E9225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5D8137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D6E9EB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7CC4D1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3B741E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8690C9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115FC6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5CF2C386" w14:textId="77777777" w:rsidTr="00380F0F">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14:paraId="20B5FC09"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14:paraId="009297ED"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 xml:space="preserve">LA </w:t>
            </w:r>
          </w:p>
        </w:tc>
        <w:tc>
          <w:tcPr>
            <w:tcW w:w="483" w:type="dxa"/>
            <w:tcBorders>
              <w:top w:val="nil"/>
              <w:left w:val="nil"/>
              <w:bottom w:val="single" w:sz="4" w:space="0" w:color="auto"/>
              <w:right w:val="single" w:sz="4" w:space="0" w:color="auto"/>
            </w:tcBorders>
            <w:shd w:val="pct12" w:color="CCFFFF" w:fill="FCFFFF"/>
            <w:vAlign w:val="center"/>
            <w:hideMark/>
          </w:tcPr>
          <w:p w14:paraId="12DB0A7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82DF10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585089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BA7D6D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60E98FE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B41972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E50D35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DC97E1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5F7E48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2068ED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0A1D33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B310FB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435C45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DBB038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A83CAB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D053C9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43FA74D2" w14:textId="77777777" w:rsidTr="00380F0F">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14:paraId="6843D4E0"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14:paraId="0D4A967B"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SNE</w:t>
            </w:r>
          </w:p>
        </w:tc>
        <w:tc>
          <w:tcPr>
            <w:tcW w:w="483" w:type="dxa"/>
            <w:tcBorders>
              <w:top w:val="nil"/>
              <w:left w:val="nil"/>
              <w:bottom w:val="single" w:sz="4" w:space="0" w:color="auto"/>
              <w:right w:val="single" w:sz="4" w:space="0" w:color="auto"/>
            </w:tcBorders>
            <w:shd w:val="pct12" w:color="CCFFFF" w:fill="FCFFFF"/>
            <w:vAlign w:val="center"/>
            <w:hideMark/>
          </w:tcPr>
          <w:p w14:paraId="017B9EE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E8B38C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E0D89E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8711C7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165EEDF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2DC98B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3DB78D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5B80AE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087135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8FCC44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4026D9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C335AF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9350A5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2DACBA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EC39EE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1B410F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41E93DC9" w14:textId="77777777" w:rsidTr="00380F0F">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14:paraId="7A606784"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14:paraId="5F701AE1"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INT</w:t>
            </w:r>
          </w:p>
        </w:tc>
        <w:tc>
          <w:tcPr>
            <w:tcW w:w="483" w:type="dxa"/>
            <w:tcBorders>
              <w:top w:val="nil"/>
              <w:left w:val="nil"/>
              <w:bottom w:val="single" w:sz="4" w:space="0" w:color="auto"/>
              <w:right w:val="single" w:sz="4" w:space="0" w:color="auto"/>
            </w:tcBorders>
            <w:shd w:val="pct12" w:color="CCFFFF" w:fill="FCFFFF"/>
            <w:vAlign w:val="center"/>
            <w:hideMark/>
          </w:tcPr>
          <w:p w14:paraId="6AC4012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C6E1A9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26FE639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83EE71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033BA9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B8A01E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877ED0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BCD3E3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BD9D7C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F37751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0D93A2A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3D3125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0374811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789C47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6B4228D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426DC9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4F9CC4BB" w14:textId="77777777" w:rsidTr="00380F0F">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14:paraId="2BF412F3"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757" w:type="dxa"/>
            <w:tcBorders>
              <w:top w:val="nil"/>
              <w:left w:val="nil"/>
              <w:bottom w:val="single" w:sz="4" w:space="0" w:color="auto"/>
              <w:right w:val="single" w:sz="4" w:space="0" w:color="auto"/>
            </w:tcBorders>
            <w:shd w:val="pct12" w:color="CCFFFF" w:fill="FCFFFF"/>
            <w:vAlign w:val="center"/>
            <w:hideMark/>
          </w:tcPr>
          <w:p w14:paraId="4D87C054"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JPD</w:t>
            </w:r>
          </w:p>
        </w:tc>
        <w:tc>
          <w:tcPr>
            <w:tcW w:w="483" w:type="dxa"/>
            <w:tcBorders>
              <w:top w:val="nil"/>
              <w:left w:val="nil"/>
              <w:bottom w:val="single" w:sz="4" w:space="0" w:color="auto"/>
              <w:right w:val="single" w:sz="4" w:space="0" w:color="auto"/>
            </w:tcBorders>
            <w:shd w:val="pct12" w:color="CCFFFF" w:fill="FCFFFF"/>
            <w:vAlign w:val="center"/>
            <w:hideMark/>
          </w:tcPr>
          <w:p w14:paraId="6BEA3E5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4676C8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EBC0CF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F49BB2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A9E21E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F86BD0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0F0EC55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4B5172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2464C1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DE22A8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885856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55AD75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905180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377872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6B88CF5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A8807B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5057ED79" w14:textId="77777777" w:rsidTr="00380F0F">
        <w:trPr>
          <w:trHeight w:val="300"/>
          <w:jc w:val="center"/>
        </w:trPr>
        <w:tc>
          <w:tcPr>
            <w:tcW w:w="1875" w:type="dxa"/>
            <w:tcBorders>
              <w:top w:val="nil"/>
              <w:left w:val="single" w:sz="4" w:space="0" w:color="auto"/>
              <w:bottom w:val="single" w:sz="4" w:space="0" w:color="auto"/>
              <w:right w:val="single" w:sz="4" w:space="0" w:color="auto"/>
            </w:tcBorders>
            <w:shd w:val="pct12" w:color="CCFFFF" w:fill="FCFFFF"/>
            <w:vAlign w:val="center"/>
            <w:hideMark/>
          </w:tcPr>
          <w:p w14:paraId="4C341E43" w14:textId="079673D5"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Inne linie budżetowe związane</w:t>
            </w:r>
            <w:r w:rsidR="00DD1DFA" w:rsidRPr="00DD1DFA">
              <w:rPr>
                <w:rFonts w:ascii="Arial Narrow" w:hAnsi="Arial Narrow"/>
                <w:noProof/>
                <w:color w:val="000000"/>
                <w:sz w:val="20"/>
                <w:szCs w:val="20"/>
              </w:rPr>
              <w:t xml:space="preserve"> z</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zas</w:t>
            </w:r>
            <w:r w:rsidRPr="00DD1DFA">
              <w:rPr>
                <w:rFonts w:ascii="Arial Narrow" w:hAnsi="Arial Narrow"/>
                <w:noProof/>
                <w:color w:val="000000"/>
                <w:sz w:val="20"/>
                <w:szCs w:val="20"/>
              </w:rPr>
              <w:t>obami ludzkimi (</w:t>
            </w:r>
            <w:r w:rsidRPr="00DD1DFA">
              <w:rPr>
                <w:rFonts w:ascii="Arial Narrow" w:hAnsi="Arial Narrow"/>
                <w:i/>
                <w:iCs/>
                <w:noProof/>
                <w:color w:val="000000"/>
                <w:sz w:val="20"/>
                <w:szCs w:val="20"/>
              </w:rPr>
              <w:t>proszę określić</w:t>
            </w:r>
            <w:r w:rsidRPr="00DD1DFA">
              <w:rPr>
                <w:rFonts w:ascii="Arial Narrow" w:hAnsi="Arial Narrow"/>
                <w:noProof/>
                <w:color w:val="000000"/>
                <w:sz w:val="20"/>
                <w:szCs w:val="20"/>
              </w:rPr>
              <w:t>)</w:t>
            </w:r>
          </w:p>
        </w:tc>
        <w:tc>
          <w:tcPr>
            <w:tcW w:w="757" w:type="dxa"/>
            <w:tcBorders>
              <w:top w:val="nil"/>
              <w:left w:val="nil"/>
              <w:bottom w:val="single" w:sz="4" w:space="0" w:color="auto"/>
              <w:right w:val="single" w:sz="4" w:space="0" w:color="auto"/>
            </w:tcBorders>
            <w:shd w:val="pct12" w:color="CCFFFF" w:fill="FCFFFF"/>
            <w:vAlign w:val="center"/>
            <w:hideMark/>
          </w:tcPr>
          <w:p w14:paraId="0679D280"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0A8D2A0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4922AD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682E50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698423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A30EC3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1E277F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7820CF8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DC5C8C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47B5562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2B830A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3F2E450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D1A6A9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29780F4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DEEEA5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83" w:type="dxa"/>
            <w:tcBorders>
              <w:top w:val="nil"/>
              <w:left w:val="nil"/>
              <w:bottom w:val="single" w:sz="4" w:space="0" w:color="auto"/>
              <w:right w:val="single" w:sz="4" w:space="0" w:color="auto"/>
            </w:tcBorders>
            <w:shd w:val="pct12" w:color="CCFFFF" w:fill="FCFFFF"/>
            <w:vAlign w:val="center"/>
            <w:hideMark/>
          </w:tcPr>
          <w:p w14:paraId="51A0D36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1DA576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4B0CFE3B" w14:textId="77777777" w:rsidTr="00380F0F">
        <w:trPr>
          <w:trHeight w:val="546"/>
          <w:jc w:val="center"/>
        </w:trPr>
        <w:tc>
          <w:tcPr>
            <w:tcW w:w="1875"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583E19BD"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Suma cząstkowa dotycząca HR – DZIAŁ 7</w:t>
            </w:r>
          </w:p>
        </w:tc>
        <w:tc>
          <w:tcPr>
            <w:tcW w:w="757"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616E5F3E"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 xml:space="preserve">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6248C9D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7</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1D73B0F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7A58E39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7</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3F2045B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541E5A5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7</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2B7D6B1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0581376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6</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493653A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0,942</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443468E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6</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29A9AFC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0,942</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6DC925C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4</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58BC38B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0,628</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47D96986"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7AB222BA"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1EEB2CB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3F20092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5,809</w:t>
            </w:r>
          </w:p>
        </w:tc>
      </w:tr>
    </w:tbl>
    <w:p w14:paraId="4C81F314" w14:textId="3227039D" w:rsidR="005D44AF" w:rsidRPr="00DD1DFA" w:rsidRDefault="005D44AF" w:rsidP="00D26B0E">
      <w:pPr>
        <w:spacing w:before="0" w:after="0"/>
        <w:ind w:left="-540" w:right="-694"/>
        <w:jc w:val="left"/>
        <w:rPr>
          <w:rFonts w:eastAsia="Times New Roman"/>
          <w:noProof/>
          <w:sz w:val="18"/>
          <w:szCs w:val="24"/>
        </w:rPr>
      </w:pPr>
      <w:r w:rsidRPr="00DD1DFA">
        <w:rPr>
          <w:noProof/>
          <w:sz w:val="18"/>
          <w:szCs w:val="24"/>
        </w:rPr>
        <w:t>Potrzeby</w:t>
      </w:r>
      <w:r w:rsidR="00DD1DFA" w:rsidRPr="00DD1DFA">
        <w:rPr>
          <w:noProof/>
          <w:sz w:val="18"/>
          <w:szCs w:val="24"/>
        </w:rPr>
        <w:t xml:space="preserve"> w</w:t>
      </w:r>
      <w:r w:rsidR="00DD1DFA">
        <w:rPr>
          <w:noProof/>
          <w:sz w:val="18"/>
          <w:szCs w:val="24"/>
        </w:rPr>
        <w:t> </w:t>
      </w:r>
      <w:r w:rsidR="00DD1DFA" w:rsidRPr="00DD1DFA">
        <w:rPr>
          <w:noProof/>
          <w:sz w:val="18"/>
          <w:szCs w:val="24"/>
        </w:rPr>
        <w:t>zak</w:t>
      </w:r>
      <w:r w:rsidRPr="00DD1DFA">
        <w:rPr>
          <w:noProof/>
          <w:sz w:val="18"/>
          <w:szCs w:val="24"/>
        </w:rPr>
        <w:t>resie zasobów ludzkich zostaną pokryte</w:t>
      </w:r>
      <w:r w:rsidR="00DD1DFA" w:rsidRPr="00DD1DFA">
        <w:rPr>
          <w:noProof/>
          <w:sz w:val="18"/>
          <w:szCs w:val="24"/>
        </w:rPr>
        <w:t xml:space="preserve"> z</w:t>
      </w:r>
      <w:r w:rsidR="00DD1DFA">
        <w:rPr>
          <w:noProof/>
          <w:sz w:val="18"/>
          <w:szCs w:val="24"/>
        </w:rPr>
        <w:t> </w:t>
      </w:r>
      <w:r w:rsidR="00DD1DFA" w:rsidRPr="00DD1DFA">
        <w:rPr>
          <w:noProof/>
          <w:sz w:val="18"/>
          <w:szCs w:val="24"/>
        </w:rPr>
        <w:t>zas</w:t>
      </w:r>
      <w:r w:rsidRPr="00DD1DFA">
        <w:rPr>
          <w:noProof/>
          <w:sz w:val="18"/>
          <w:szCs w:val="24"/>
        </w:rPr>
        <w:t>obów DG już przydzielonych na zarządzanie tym działaniem lub przesuniętych</w:t>
      </w:r>
      <w:r w:rsidR="00DD1DFA" w:rsidRPr="00DD1DFA">
        <w:rPr>
          <w:noProof/>
          <w:sz w:val="18"/>
          <w:szCs w:val="24"/>
        </w:rPr>
        <w:t xml:space="preserve"> w</w:t>
      </w:r>
      <w:r w:rsidR="00DD1DFA">
        <w:rPr>
          <w:noProof/>
          <w:sz w:val="18"/>
          <w:szCs w:val="24"/>
        </w:rPr>
        <w:t> </w:t>
      </w:r>
      <w:r w:rsidR="00DD1DFA" w:rsidRPr="00DD1DFA">
        <w:rPr>
          <w:noProof/>
          <w:sz w:val="18"/>
          <w:szCs w:val="24"/>
        </w:rPr>
        <w:t>ram</w:t>
      </w:r>
      <w:r w:rsidRPr="00DD1DFA">
        <w:rPr>
          <w:noProof/>
          <w:sz w:val="18"/>
          <w:szCs w:val="24"/>
        </w:rPr>
        <w:t>ach dyrekcji generalnej, uzupełnionych</w:t>
      </w:r>
      <w:r w:rsidR="00DD1DFA" w:rsidRPr="00DD1DFA">
        <w:rPr>
          <w:noProof/>
          <w:sz w:val="18"/>
          <w:szCs w:val="24"/>
        </w:rPr>
        <w:t xml:space="preserve"> w</w:t>
      </w:r>
      <w:r w:rsidR="00DD1DFA">
        <w:rPr>
          <w:noProof/>
          <w:sz w:val="18"/>
          <w:szCs w:val="24"/>
        </w:rPr>
        <w:t> </w:t>
      </w:r>
      <w:r w:rsidR="00DD1DFA" w:rsidRPr="00DD1DFA">
        <w:rPr>
          <w:noProof/>
          <w:sz w:val="18"/>
          <w:szCs w:val="24"/>
        </w:rPr>
        <w:t>raz</w:t>
      </w:r>
      <w:r w:rsidRPr="00DD1DFA">
        <w:rPr>
          <w:noProof/>
          <w:sz w:val="18"/>
          <w:szCs w:val="24"/>
        </w:rPr>
        <w:t>ie potrzeby wszelkimi dodatkowymi zasobami, które mogą zostać przydzielone zarządzającej dyrekcji generalnej</w:t>
      </w:r>
      <w:r w:rsidR="00DD1DFA" w:rsidRPr="00DD1DFA">
        <w:rPr>
          <w:noProof/>
          <w:sz w:val="18"/>
          <w:szCs w:val="24"/>
        </w:rPr>
        <w:t xml:space="preserve"> w</w:t>
      </w:r>
      <w:r w:rsidR="00DD1DFA">
        <w:rPr>
          <w:noProof/>
          <w:sz w:val="18"/>
          <w:szCs w:val="24"/>
        </w:rPr>
        <w:t> </w:t>
      </w:r>
      <w:r w:rsidR="00DD1DFA" w:rsidRPr="00DD1DFA">
        <w:rPr>
          <w:noProof/>
          <w:sz w:val="18"/>
          <w:szCs w:val="24"/>
        </w:rPr>
        <w:t>ram</w:t>
      </w:r>
      <w:r w:rsidRPr="00DD1DFA">
        <w:rPr>
          <w:noProof/>
          <w:sz w:val="18"/>
          <w:szCs w:val="24"/>
        </w:rPr>
        <w:t>ach procedury rocznego przydziału środków oraz</w:t>
      </w:r>
      <w:r w:rsidR="00DD1DFA" w:rsidRPr="00DD1DFA">
        <w:rPr>
          <w:noProof/>
          <w:sz w:val="18"/>
          <w:szCs w:val="24"/>
        </w:rPr>
        <w:t xml:space="preserve"> w</w:t>
      </w:r>
      <w:r w:rsidR="00DD1DFA">
        <w:rPr>
          <w:noProof/>
          <w:sz w:val="18"/>
          <w:szCs w:val="24"/>
        </w:rPr>
        <w:t> </w:t>
      </w:r>
      <w:r w:rsidR="00DD1DFA" w:rsidRPr="00DD1DFA">
        <w:rPr>
          <w:noProof/>
          <w:sz w:val="18"/>
          <w:szCs w:val="24"/>
        </w:rPr>
        <w:t>świ</w:t>
      </w:r>
      <w:r w:rsidRPr="00DD1DFA">
        <w:rPr>
          <w:noProof/>
          <w:sz w:val="18"/>
          <w:szCs w:val="24"/>
        </w:rPr>
        <w:t>etle istniejących ograniczeń budżetowych.</w:t>
      </w:r>
    </w:p>
    <w:p w14:paraId="30571158" w14:textId="77777777" w:rsidR="005D44AF" w:rsidRPr="00DD1DFA" w:rsidDel="00597C1E" w:rsidRDefault="005D44AF" w:rsidP="004040F6">
      <w:pPr>
        <w:spacing w:before="0" w:after="0"/>
        <w:ind w:right="-694"/>
        <w:jc w:val="left"/>
        <w:rPr>
          <w:rFonts w:ascii="Arial Narrow" w:eastAsia="Times New Roman" w:hAnsi="Arial Narrow"/>
          <w:iCs/>
          <w:noProof/>
          <w:sz w:val="6"/>
          <w:szCs w:val="6"/>
          <w:lang w:eastAsia="en-GB"/>
        </w:rPr>
      </w:pPr>
    </w:p>
    <w:tbl>
      <w:tblPr>
        <w:tblW w:w="15210" w:type="dxa"/>
        <w:jc w:val="center"/>
        <w:tblLook w:val="04A0" w:firstRow="1" w:lastRow="0" w:firstColumn="1" w:lastColumn="0" w:noHBand="0" w:noVBand="1"/>
      </w:tblPr>
      <w:tblGrid>
        <w:gridCol w:w="1252"/>
        <w:gridCol w:w="1208"/>
        <w:gridCol w:w="528"/>
        <w:gridCol w:w="486"/>
        <w:gridCol w:w="1042"/>
        <w:gridCol w:w="486"/>
        <w:gridCol w:w="1042"/>
        <w:gridCol w:w="486"/>
        <w:gridCol w:w="1042"/>
        <w:gridCol w:w="486"/>
        <w:gridCol w:w="1042"/>
        <w:gridCol w:w="486"/>
        <w:gridCol w:w="1042"/>
        <w:gridCol w:w="486"/>
        <w:gridCol w:w="1042"/>
        <w:gridCol w:w="486"/>
        <w:gridCol w:w="1040"/>
        <w:gridCol w:w="486"/>
        <w:gridCol w:w="1042"/>
      </w:tblGrid>
      <w:tr w:rsidR="005D44AF" w:rsidRPr="00DD1DFA" w14:paraId="1FB7F4C1" w14:textId="77777777" w:rsidTr="00380F0F">
        <w:trPr>
          <w:trHeight w:val="330"/>
          <w:jc w:val="center"/>
        </w:trPr>
        <w:tc>
          <w:tcPr>
            <w:tcW w:w="2994" w:type="dxa"/>
            <w:gridSpan w:val="3"/>
            <w:vMerge w:val="restart"/>
            <w:tcBorders>
              <w:top w:val="single" w:sz="4" w:space="0" w:color="auto"/>
              <w:left w:val="single" w:sz="4" w:space="0" w:color="auto"/>
              <w:right w:val="single" w:sz="4" w:space="0" w:color="auto"/>
            </w:tcBorders>
            <w:shd w:val="pct50" w:color="C0C0C0" w:fill="E2E2E2"/>
            <w:vAlign w:val="center"/>
            <w:hideMark/>
          </w:tcPr>
          <w:p w14:paraId="174136F6"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Poza DZIAŁEM 7</w:t>
            </w:r>
          </w:p>
          <w:p w14:paraId="3BE6349D"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noProof/>
                <w:color w:val="000000"/>
                <w:sz w:val="22"/>
              </w:rPr>
              <w:t>wieloletnich ram finansowych</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14:paraId="097D3C30"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2024</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14:paraId="247AA60D"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2025</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14:paraId="1041056F"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2026</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14:paraId="297A3C75"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2027</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14:paraId="516E12C5"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2028</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14:paraId="06D2E73C"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2029</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14:paraId="63FDB034" w14:textId="77777777" w:rsidR="005D44AF" w:rsidRPr="00DD1DFA" w:rsidRDefault="005D44AF" w:rsidP="005D44AF">
            <w:pPr>
              <w:spacing w:before="0" w:after="0"/>
              <w:jc w:val="center"/>
              <w:rPr>
                <w:rFonts w:ascii="Arial Narrow" w:eastAsia="Times New Roman" w:hAnsi="Arial Narrow"/>
                <w:b/>
                <w:bCs/>
                <w:noProof/>
                <w:color w:val="0000FF"/>
                <w:sz w:val="20"/>
                <w:szCs w:val="20"/>
                <w:lang w:eastAsia="en-GB"/>
              </w:rPr>
            </w:pP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14:paraId="165D98B4"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OGÓŁEM</w:t>
            </w:r>
          </w:p>
        </w:tc>
      </w:tr>
      <w:tr w:rsidR="005D44AF" w:rsidRPr="00DD1DFA" w14:paraId="21F76C8B" w14:textId="77777777" w:rsidTr="00380F0F">
        <w:trPr>
          <w:trHeight w:val="510"/>
          <w:jc w:val="center"/>
        </w:trPr>
        <w:tc>
          <w:tcPr>
            <w:tcW w:w="2994" w:type="dxa"/>
            <w:gridSpan w:val="3"/>
            <w:vMerge/>
            <w:tcBorders>
              <w:left w:val="single" w:sz="4" w:space="0" w:color="auto"/>
              <w:bottom w:val="single" w:sz="4" w:space="0" w:color="auto"/>
              <w:right w:val="single" w:sz="4" w:space="0" w:color="auto"/>
            </w:tcBorders>
            <w:shd w:val="pct50" w:color="C0C0C0" w:fill="E2E2E2"/>
            <w:vAlign w:val="center"/>
            <w:hideMark/>
          </w:tcPr>
          <w:p w14:paraId="6F354EE7" w14:textId="77777777" w:rsidR="005D44AF" w:rsidRPr="00DD1DFA" w:rsidRDefault="005D44AF" w:rsidP="005D44AF">
            <w:pPr>
              <w:spacing w:before="0" w:after="0"/>
              <w:jc w:val="center"/>
              <w:rPr>
                <w:rFonts w:ascii="Arial Narrow" w:eastAsia="Times New Roman" w:hAnsi="Arial Narrow"/>
                <w:noProof/>
                <w:color w:val="000000"/>
                <w:sz w:val="22"/>
                <w:lang w:eastAsia="en-GB"/>
              </w:rPr>
            </w:pPr>
          </w:p>
        </w:tc>
        <w:tc>
          <w:tcPr>
            <w:tcW w:w="464" w:type="dxa"/>
            <w:tcBorders>
              <w:top w:val="nil"/>
              <w:left w:val="nil"/>
              <w:bottom w:val="single" w:sz="4" w:space="0" w:color="auto"/>
              <w:right w:val="single" w:sz="4" w:space="0" w:color="auto"/>
            </w:tcBorders>
            <w:shd w:val="pct12" w:color="CCFFFF" w:fill="FCFFFF"/>
            <w:vAlign w:val="center"/>
            <w:hideMark/>
          </w:tcPr>
          <w:p w14:paraId="6B20D5FF"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65BE8EFF"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64" w:type="dxa"/>
            <w:tcBorders>
              <w:top w:val="nil"/>
              <w:left w:val="nil"/>
              <w:bottom w:val="single" w:sz="4" w:space="0" w:color="auto"/>
              <w:right w:val="single" w:sz="4" w:space="0" w:color="auto"/>
            </w:tcBorders>
            <w:shd w:val="pct12" w:color="CCFFFF" w:fill="FCFFFF"/>
            <w:vAlign w:val="center"/>
            <w:hideMark/>
          </w:tcPr>
          <w:p w14:paraId="5A80B41D"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168A9075"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64" w:type="dxa"/>
            <w:tcBorders>
              <w:top w:val="nil"/>
              <w:left w:val="nil"/>
              <w:bottom w:val="single" w:sz="4" w:space="0" w:color="auto"/>
              <w:right w:val="single" w:sz="4" w:space="0" w:color="auto"/>
            </w:tcBorders>
            <w:shd w:val="pct12" w:color="CCFFFF" w:fill="FCFFFF"/>
            <w:vAlign w:val="center"/>
            <w:hideMark/>
          </w:tcPr>
          <w:p w14:paraId="5CD49CC3"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638ED0E2"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64" w:type="dxa"/>
            <w:tcBorders>
              <w:top w:val="nil"/>
              <w:left w:val="nil"/>
              <w:bottom w:val="single" w:sz="4" w:space="0" w:color="auto"/>
              <w:right w:val="single" w:sz="4" w:space="0" w:color="auto"/>
            </w:tcBorders>
            <w:shd w:val="pct12" w:color="CCFFFF" w:fill="FCFFFF"/>
            <w:vAlign w:val="center"/>
            <w:hideMark/>
          </w:tcPr>
          <w:p w14:paraId="78F06B74"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3A573CEC"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64" w:type="dxa"/>
            <w:tcBorders>
              <w:top w:val="nil"/>
              <w:left w:val="nil"/>
              <w:bottom w:val="single" w:sz="4" w:space="0" w:color="auto"/>
              <w:right w:val="single" w:sz="4" w:space="0" w:color="auto"/>
            </w:tcBorders>
            <w:shd w:val="pct12" w:color="CCFFFF" w:fill="FCFFFF"/>
            <w:vAlign w:val="center"/>
            <w:hideMark/>
          </w:tcPr>
          <w:p w14:paraId="3FC90645"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1E026B6C"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64" w:type="dxa"/>
            <w:tcBorders>
              <w:top w:val="nil"/>
              <w:left w:val="nil"/>
              <w:bottom w:val="single" w:sz="4" w:space="0" w:color="auto"/>
              <w:right w:val="single" w:sz="4" w:space="0" w:color="auto"/>
            </w:tcBorders>
            <w:shd w:val="pct12" w:color="CCFFFF" w:fill="FCFFFF"/>
            <w:vAlign w:val="center"/>
            <w:hideMark/>
          </w:tcPr>
          <w:p w14:paraId="5DDFC65B"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6CC96CC5"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64" w:type="dxa"/>
            <w:tcBorders>
              <w:top w:val="nil"/>
              <w:left w:val="nil"/>
              <w:bottom w:val="single" w:sz="4" w:space="0" w:color="auto"/>
              <w:right w:val="single" w:sz="4" w:space="0" w:color="auto"/>
            </w:tcBorders>
            <w:shd w:val="pct12" w:color="CCFFFF" w:fill="FCFFFF"/>
            <w:vAlign w:val="center"/>
            <w:hideMark/>
          </w:tcPr>
          <w:p w14:paraId="065EA7FF"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785FA0CC"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c>
          <w:tcPr>
            <w:tcW w:w="464" w:type="dxa"/>
            <w:tcBorders>
              <w:top w:val="nil"/>
              <w:left w:val="nil"/>
              <w:bottom w:val="single" w:sz="4" w:space="0" w:color="auto"/>
              <w:right w:val="single" w:sz="4" w:space="0" w:color="auto"/>
            </w:tcBorders>
            <w:shd w:val="pct12" w:color="CCFFFF" w:fill="FCFFFF"/>
            <w:vAlign w:val="center"/>
            <w:hideMark/>
          </w:tcPr>
          <w:p w14:paraId="07A8B709"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EPC</w:t>
            </w:r>
          </w:p>
        </w:tc>
        <w:tc>
          <w:tcPr>
            <w:tcW w:w="1063" w:type="dxa"/>
            <w:tcBorders>
              <w:top w:val="nil"/>
              <w:left w:val="nil"/>
              <w:bottom w:val="single" w:sz="4" w:space="0" w:color="auto"/>
              <w:right w:val="single" w:sz="4" w:space="0" w:color="auto"/>
            </w:tcBorders>
            <w:shd w:val="pct12" w:color="CCFFFF" w:fill="FCFFFF"/>
            <w:vAlign w:val="center"/>
            <w:hideMark/>
          </w:tcPr>
          <w:p w14:paraId="6E8290BC" w14:textId="77777777" w:rsidR="005D44AF" w:rsidRPr="00DD1DFA" w:rsidRDefault="005D44AF" w:rsidP="005D44AF">
            <w:pPr>
              <w:spacing w:before="0" w:after="0"/>
              <w:jc w:val="center"/>
              <w:rPr>
                <w:rFonts w:ascii="Arial Narrow" w:eastAsia="Times New Roman" w:hAnsi="Arial Narrow"/>
                <w:noProof/>
                <w:color w:val="000000"/>
                <w:sz w:val="16"/>
                <w:szCs w:val="16"/>
              </w:rPr>
            </w:pPr>
            <w:r w:rsidRPr="00DD1DFA">
              <w:rPr>
                <w:rFonts w:ascii="Arial Narrow" w:hAnsi="Arial Narrow"/>
                <w:noProof/>
                <w:color w:val="000000"/>
                <w:sz w:val="16"/>
                <w:szCs w:val="16"/>
              </w:rPr>
              <w:t>Środki</w:t>
            </w:r>
          </w:p>
        </w:tc>
      </w:tr>
      <w:tr w:rsidR="005D44AF" w:rsidRPr="00DD1DFA" w14:paraId="5AFF7267" w14:textId="77777777" w:rsidTr="00380F0F">
        <w:trPr>
          <w:trHeight w:val="300"/>
          <w:jc w:val="center"/>
        </w:trPr>
        <w:tc>
          <w:tcPr>
            <w:tcW w:w="15210" w:type="dxa"/>
            <w:gridSpan w:val="19"/>
            <w:tcBorders>
              <w:top w:val="single" w:sz="4" w:space="0" w:color="auto"/>
              <w:left w:val="single" w:sz="4" w:space="0" w:color="auto"/>
              <w:bottom w:val="single" w:sz="4" w:space="0" w:color="auto"/>
              <w:right w:val="single" w:sz="4" w:space="0" w:color="auto"/>
            </w:tcBorders>
            <w:shd w:val="pct12" w:color="CCFFFF" w:fill="CCFFD0"/>
            <w:vAlign w:val="center"/>
            <w:hideMark/>
          </w:tcPr>
          <w:p w14:paraId="2C0BC7DF" w14:textId="11100D51" w:rsidR="005D44AF" w:rsidRPr="00DD1DFA" w:rsidRDefault="005D44AF" w:rsidP="005D44AF">
            <w:pPr>
              <w:spacing w:before="0" w:after="0"/>
              <w:jc w:val="left"/>
              <w:rPr>
                <w:rFonts w:ascii="Wingdings" w:eastAsia="Times New Roman" w:hAnsi="Wingdings"/>
                <w:b/>
                <w:bCs/>
                <w:noProof/>
                <w:color w:val="008000"/>
                <w:sz w:val="20"/>
                <w:szCs w:val="20"/>
              </w:rPr>
            </w:pPr>
            <w:r w:rsidRPr="00DD1DFA">
              <w:rPr>
                <w:rFonts w:ascii="Arial Narrow" w:hAnsi="Arial Narrow"/>
                <w:b/>
                <w:noProof/>
                <w:color w:val="008000"/>
                <w:sz w:val="20"/>
                <w:szCs w:val="24"/>
              </w:rPr>
              <w:sym w:font="Wingdings" w:char="F09F"/>
            </w:r>
            <w:r w:rsidRPr="00DD1DFA">
              <w:rPr>
                <w:rFonts w:ascii="Arial Narrow" w:hAnsi="Arial Narrow"/>
                <w:b/>
                <w:noProof/>
                <w:color w:val="008000"/>
                <w:sz w:val="20"/>
                <w:szCs w:val="24"/>
              </w:rPr>
              <w:t xml:space="preserve"> </w:t>
            </w:r>
            <w:r w:rsidRPr="00DD1DFA">
              <w:rPr>
                <w:rFonts w:ascii="Arial Narrow" w:hAnsi="Arial Narrow"/>
                <w:b/>
                <w:noProof/>
                <w:color w:val="008000"/>
                <w:sz w:val="22"/>
                <w:szCs w:val="24"/>
              </w:rPr>
              <w:t>Stanowiska przewidziane</w:t>
            </w:r>
            <w:r w:rsidR="00DD1DFA" w:rsidRPr="00DD1DFA">
              <w:rPr>
                <w:rFonts w:ascii="Arial Narrow" w:hAnsi="Arial Narrow"/>
                <w:b/>
                <w:noProof/>
                <w:color w:val="008000"/>
                <w:sz w:val="22"/>
                <w:szCs w:val="24"/>
              </w:rPr>
              <w:t xml:space="preserve"> w</w:t>
            </w:r>
            <w:r w:rsidR="00DD1DFA">
              <w:rPr>
                <w:rFonts w:ascii="Arial Narrow" w:hAnsi="Arial Narrow"/>
                <w:b/>
                <w:noProof/>
                <w:color w:val="008000"/>
                <w:sz w:val="22"/>
                <w:szCs w:val="24"/>
              </w:rPr>
              <w:t> </w:t>
            </w:r>
            <w:r w:rsidR="00DD1DFA" w:rsidRPr="00DD1DFA">
              <w:rPr>
                <w:rFonts w:ascii="Arial Narrow" w:hAnsi="Arial Narrow"/>
                <w:b/>
                <w:noProof/>
                <w:color w:val="008000"/>
                <w:sz w:val="22"/>
                <w:szCs w:val="24"/>
              </w:rPr>
              <w:t>pla</w:t>
            </w:r>
            <w:r w:rsidRPr="00DD1DFA">
              <w:rPr>
                <w:rFonts w:ascii="Arial Narrow" w:hAnsi="Arial Narrow"/>
                <w:b/>
                <w:noProof/>
                <w:color w:val="008000"/>
                <w:sz w:val="22"/>
                <w:szCs w:val="24"/>
              </w:rPr>
              <w:t>nie zatrudnienia (stanowiska urzędników</w:t>
            </w:r>
            <w:r w:rsidR="00DD1DFA" w:rsidRPr="00DD1DFA">
              <w:rPr>
                <w:rFonts w:ascii="Arial Narrow" w:hAnsi="Arial Narrow"/>
                <w:b/>
                <w:noProof/>
                <w:color w:val="008000"/>
                <w:sz w:val="22"/>
                <w:szCs w:val="24"/>
              </w:rPr>
              <w:t xml:space="preserve"> i</w:t>
            </w:r>
            <w:r w:rsidR="00DD1DFA">
              <w:rPr>
                <w:rFonts w:ascii="Arial Narrow" w:hAnsi="Arial Narrow"/>
                <w:b/>
                <w:noProof/>
                <w:color w:val="008000"/>
                <w:sz w:val="22"/>
                <w:szCs w:val="24"/>
              </w:rPr>
              <w:t> </w:t>
            </w:r>
            <w:r w:rsidR="00DD1DFA" w:rsidRPr="00DD1DFA">
              <w:rPr>
                <w:rFonts w:ascii="Arial Narrow" w:hAnsi="Arial Narrow"/>
                <w:b/>
                <w:noProof/>
                <w:color w:val="008000"/>
                <w:sz w:val="22"/>
                <w:szCs w:val="24"/>
              </w:rPr>
              <w:t>pra</w:t>
            </w:r>
            <w:r w:rsidRPr="00DD1DFA">
              <w:rPr>
                <w:rFonts w:ascii="Arial Narrow" w:hAnsi="Arial Narrow"/>
                <w:b/>
                <w:noProof/>
                <w:color w:val="008000"/>
                <w:sz w:val="22"/>
                <w:szCs w:val="24"/>
              </w:rPr>
              <w:t>cowników zatrudnionych na czas określony)</w:t>
            </w:r>
          </w:p>
        </w:tc>
      </w:tr>
      <w:tr w:rsidR="005D44AF" w:rsidRPr="00DD1DFA" w14:paraId="5BCDF57D" w14:textId="77777777" w:rsidTr="00380F0F">
        <w:trPr>
          <w:trHeight w:val="300"/>
          <w:jc w:val="center"/>
        </w:trPr>
        <w:tc>
          <w:tcPr>
            <w:tcW w:w="2466" w:type="dxa"/>
            <w:gridSpan w:val="2"/>
            <w:vMerge w:val="restart"/>
            <w:tcBorders>
              <w:top w:val="single" w:sz="4" w:space="0" w:color="auto"/>
              <w:left w:val="single" w:sz="4" w:space="0" w:color="auto"/>
              <w:bottom w:val="single" w:sz="4" w:space="0" w:color="auto"/>
              <w:right w:val="single" w:sz="4" w:space="0" w:color="auto"/>
            </w:tcBorders>
            <w:shd w:val="pct12" w:color="CCFFFF" w:fill="FCFFFF"/>
            <w:vAlign w:val="center"/>
            <w:hideMark/>
          </w:tcPr>
          <w:p w14:paraId="14D4C2B2" w14:textId="77777777" w:rsidR="005D44AF" w:rsidRPr="00DD1DFA" w:rsidRDefault="005D44AF" w:rsidP="005D44AF">
            <w:pPr>
              <w:spacing w:before="0" w:after="0"/>
              <w:rPr>
                <w:rFonts w:ascii="Arial Narrow" w:eastAsia="Times New Roman" w:hAnsi="Arial Narrow"/>
                <w:noProof/>
                <w:color w:val="000000"/>
                <w:sz w:val="20"/>
                <w:szCs w:val="20"/>
              </w:rPr>
            </w:pPr>
            <w:r w:rsidRPr="00DD1DFA">
              <w:rPr>
                <w:rFonts w:ascii="Arial Narrow" w:hAnsi="Arial Narrow"/>
                <w:noProof/>
                <w:color w:val="000000"/>
                <w:sz w:val="20"/>
                <w:szCs w:val="20"/>
              </w:rPr>
              <w:t>01 01 01 01 pośrednie badania naukowe</w:t>
            </w:r>
            <w:r w:rsidRPr="00DD1DFA">
              <w:rPr>
                <w:rStyle w:val="Odwoanieprzypisudolnego"/>
                <w:noProof/>
              </w:rPr>
              <w:footnoteReference w:id="66"/>
            </w:r>
          </w:p>
          <w:p w14:paraId="413DE202" w14:textId="77777777" w:rsidR="005D44AF" w:rsidRPr="00DD1DFA" w:rsidRDefault="005D44AF" w:rsidP="005D44AF">
            <w:pPr>
              <w:spacing w:before="0" w:after="0"/>
              <w:rPr>
                <w:rFonts w:ascii="Arial Narrow" w:eastAsia="Times New Roman" w:hAnsi="Arial Narrow"/>
                <w:noProof/>
                <w:color w:val="000000"/>
                <w:sz w:val="20"/>
                <w:szCs w:val="20"/>
              </w:rPr>
            </w:pPr>
            <w:r w:rsidRPr="00DD1DFA">
              <w:rPr>
                <w:rFonts w:ascii="Arial Narrow" w:hAnsi="Arial Narrow"/>
                <w:noProof/>
                <w:color w:val="000000"/>
                <w:sz w:val="20"/>
                <w:szCs w:val="20"/>
              </w:rPr>
              <w:t>01 01 01 11 bezpośrednie badania naukowe</w:t>
            </w:r>
          </w:p>
          <w:p w14:paraId="7E143B2B" w14:textId="77777777" w:rsidR="005D44AF" w:rsidRPr="00DD1DFA" w:rsidRDefault="005D44AF" w:rsidP="005D44AF">
            <w:pPr>
              <w:spacing w:before="0" w:after="0"/>
              <w:rPr>
                <w:rFonts w:ascii="Arial Narrow" w:eastAsia="Times New Roman" w:hAnsi="Arial Narrow"/>
                <w:noProof/>
                <w:color w:val="000000"/>
                <w:sz w:val="20"/>
                <w:szCs w:val="20"/>
              </w:rPr>
            </w:pPr>
            <w:r w:rsidRPr="00DD1DFA">
              <w:rPr>
                <w:rFonts w:ascii="Arial Narrow" w:hAnsi="Arial Narrow"/>
                <w:noProof/>
                <w:color w:val="000000"/>
                <w:sz w:val="20"/>
                <w:szCs w:val="20"/>
              </w:rPr>
              <w:t>Inne (proszę rozwinąć swoją odpowiedź)</w:t>
            </w:r>
          </w:p>
        </w:tc>
        <w:tc>
          <w:tcPr>
            <w:tcW w:w="528" w:type="dxa"/>
            <w:tcBorders>
              <w:top w:val="nil"/>
              <w:left w:val="nil"/>
              <w:bottom w:val="single" w:sz="4" w:space="0" w:color="auto"/>
              <w:right w:val="single" w:sz="4" w:space="0" w:color="auto"/>
            </w:tcBorders>
            <w:shd w:val="pct12" w:color="CCFFFF" w:fill="FCFFFF"/>
            <w:vAlign w:val="center"/>
            <w:hideMark/>
          </w:tcPr>
          <w:p w14:paraId="692ED5A8"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AD</w:t>
            </w:r>
          </w:p>
        </w:tc>
        <w:tc>
          <w:tcPr>
            <w:tcW w:w="464" w:type="dxa"/>
            <w:tcBorders>
              <w:top w:val="nil"/>
              <w:left w:val="nil"/>
              <w:bottom w:val="single" w:sz="4" w:space="0" w:color="auto"/>
              <w:right w:val="single" w:sz="4" w:space="0" w:color="auto"/>
            </w:tcBorders>
            <w:shd w:val="pct12" w:color="CCFFFF" w:fill="FCFFFF"/>
            <w:vAlign w:val="center"/>
            <w:hideMark/>
          </w:tcPr>
          <w:p w14:paraId="44C783B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515F79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26C79D4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2EA066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7703CA0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76A1BA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CB396A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0A68AD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029006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000F59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FD96B1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2EEC3D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7CDB476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34EF46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70350C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53E22E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7688BC1C" w14:textId="77777777" w:rsidTr="00380F0F">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14:paraId="074F977D"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14:paraId="137354C1"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AST</w:t>
            </w:r>
          </w:p>
        </w:tc>
        <w:tc>
          <w:tcPr>
            <w:tcW w:w="464" w:type="dxa"/>
            <w:tcBorders>
              <w:top w:val="nil"/>
              <w:left w:val="nil"/>
              <w:bottom w:val="single" w:sz="4" w:space="0" w:color="auto"/>
              <w:right w:val="single" w:sz="4" w:space="0" w:color="auto"/>
            </w:tcBorders>
            <w:shd w:val="pct12" w:color="CCFFFF" w:fill="FCFFFF"/>
            <w:vAlign w:val="center"/>
            <w:hideMark/>
          </w:tcPr>
          <w:p w14:paraId="4A87286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E25214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179727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B27F28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68FF59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BCD85C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6933BE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96CECD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2C8017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DEC7BD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457792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AD0117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B3B71A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282EE2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3F71EA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A5F569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42EB9D48" w14:textId="77777777" w:rsidTr="00380F0F">
        <w:trPr>
          <w:trHeight w:val="300"/>
          <w:jc w:val="center"/>
        </w:trPr>
        <w:tc>
          <w:tcPr>
            <w:tcW w:w="15210" w:type="dxa"/>
            <w:gridSpan w:val="19"/>
            <w:tcBorders>
              <w:top w:val="single" w:sz="4" w:space="0" w:color="auto"/>
              <w:left w:val="single" w:sz="4" w:space="0" w:color="auto"/>
              <w:bottom w:val="single" w:sz="4" w:space="0" w:color="auto"/>
              <w:right w:val="single" w:sz="4" w:space="0" w:color="auto"/>
            </w:tcBorders>
            <w:shd w:val="pct12" w:color="CCFFFF" w:fill="FCFFA1"/>
            <w:vAlign w:val="center"/>
            <w:hideMark/>
          </w:tcPr>
          <w:p w14:paraId="76A56A4A" w14:textId="77777777" w:rsidR="005D44AF" w:rsidRPr="00DD1DFA" w:rsidRDefault="005D44AF" w:rsidP="005D44AF">
            <w:pPr>
              <w:spacing w:before="0" w:after="0"/>
              <w:jc w:val="left"/>
              <w:rPr>
                <w:rFonts w:ascii="Calibri" w:eastAsia="Times New Roman" w:hAnsi="Calibri"/>
                <w:noProof/>
                <w:color w:val="0000FF"/>
                <w:sz w:val="22"/>
                <w:u w:val="single"/>
              </w:rPr>
            </w:pPr>
            <w:r w:rsidRPr="00DD1DFA">
              <w:rPr>
                <w:rFonts w:ascii="Arial Narrow" w:hAnsi="Arial Narrow"/>
                <w:b/>
                <w:noProof/>
                <w:color w:val="FF6600"/>
                <w:sz w:val="20"/>
                <w:szCs w:val="24"/>
              </w:rPr>
              <w:sym w:font="Wingdings" w:char="F09F"/>
            </w:r>
            <w:r w:rsidRPr="00DD1DFA">
              <w:rPr>
                <w:rFonts w:ascii="Arial Narrow" w:hAnsi="Arial Narrow"/>
                <w:b/>
                <w:noProof/>
                <w:color w:val="FF6600"/>
                <w:sz w:val="20"/>
                <w:szCs w:val="24"/>
              </w:rPr>
              <w:t xml:space="preserve"> </w:t>
            </w:r>
            <w:r w:rsidRPr="00DD1DFA">
              <w:rPr>
                <w:rFonts w:ascii="Arial Narrow" w:hAnsi="Arial Narrow"/>
                <w:b/>
                <w:noProof/>
                <w:color w:val="FF6600"/>
                <w:sz w:val="22"/>
                <w:szCs w:val="24"/>
              </w:rPr>
              <w:t>Personel zewnętrzny</w:t>
            </w:r>
            <w:r w:rsidRPr="00DD1DFA">
              <w:rPr>
                <w:rStyle w:val="Odwoanieprzypisudolnego"/>
                <w:noProof/>
              </w:rPr>
              <w:footnoteReference w:id="67"/>
            </w:r>
          </w:p>
        </w:tc>
      </w:tr>
      <w:tr w:rsidR="005D44AF" w:rsidRPr="00DD1DFA" w14:paraId="41B21E6D" w14:textId="77777777" w:rsidTr="00380F0F">
        <w:trPr>
          <w:trHeight w:val="300"/>
          <w:jc w:val="center"/>
        </w:trPr>
        <w:tc>
          <w:tcPr>
            <w:tcW w:w="1256" w:type="dxa"/>
            <w:vMerge w:val="restart"/>
            <w:tcBorders>
              <w:top w:val="nil"/>
              <w:left w:val="single" w:sz="4" w:space="0" w:color="auto"/>
              <w:bottom w:val="single" w:sz="4" w:space="0" w:color="auto"/>
              <w:right w:val="single" w:sz="4" w:space="0" w:color="auto"/>
            </w:tcBorders>
            <w:shd w:val="pct12" w:color="CCFFFF" w:fill="FCFFFF"/>
            <w:vAlign w:val="center"/>
            <w:hideMark/>
          </w:tcPr>
          <w:p w14:paraId="63FDAB7F" w14:textId="0E997B05" w:rsidR="005D44AF" w:rsidRPr="00DD1DFA" w:rsidRDefault="005D44AF" w:rsidP="005D44AF">
            <w:pPr>
              <w:spacing w:before="0" w:after="0"/>
              <w:rPr>
                <w:rFonts w:ascii="Arial Narrow" w:eastAsia="Times New Roman" w:hAnsi="Arial Narrow"/>
                <w:noProof/>
                <w:color w:val="000000"/>
                <w:sz w:val="20"/>
                <w:szCs w:val="20"/>
              </w:rPr>
            </w:pPr>
            <w:r w:rsidRPr="00DD1DFA">
              <w:rPr>
                <w:rFonts w:ascii="Arial Narrow" w:hAnsi="Arial Narrow"/>
                <w:noProof/>
                <w:color w:val="000000"/>
                <w:sz w:val="20"/>
                <w:szCs w:val="20"/>
              </w:rPr>
              <w:t>Personel zewnętrzny</w:t>
            </w:r>
            <w:r w:rsidR="00DD1DFA" w:rsidRPr="00DD1DFA">
              <w:rPr>
                <w:rFonts w:ascii="Arial Narrow" w:hAnsi="Arial Narrow"/>
                <w:noProof/>
                <w:color w:val="000000"/>
                <w:sz w:val="20"/>
                <w:szCs w:val="20"/>
              </w:rPr>
              <w:t xml:space="preserve"> 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ram</w:t>
            </w:r>
            <w:r w:rsidRPr="00DD1DFA">
              <w:rPr>
                <w:rFonts w:ascii="Arial Narrow" w:hAnsi="Arial Narrow"/>
                <w:noProof/>
                <w:color w:val="000000"/>
                <w:sz w:val="20"/>
                <w:szCs w:val="20"/>
              </w:rPr>
              <w:t>ach środków operacyjnych (dawne linie „BA”).</w:t>
            </w:r>
          </w:p>
        </w:tc>
        <w:tc>
          <w:tcPr>
            <w:tcW w:w="1210" w:type="dxa"/>
            <w:vMerge w:val="restart"/>
            <w:tcBorders>
              <w:top w:val="nil"/>
              <w:left w:val="single" w:sz="4" w:space="0" w:color="auto"/>
              <w:bottom w:val="single" w:sz="4" w:space="0" w:color="auto"/>
              <w:right w:val="single" w:sz="4" w:space="0" w:color="auto"/>
            </w:tcBorders>
            <w:shd w:val="pct12" w:color="CCFFFF" w:fill="FCFFFF"/>
            <w:vAlign w:val="center"/>
            <w:hideMark/>
          </w:tcPr>
          <w:p w14:paraId="15A906E6" w14:textId="3F94C93B"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w:t>
            </w:r>
            <w:r w:rsidR="00DD1DFA" w:rsidRPr="00DD1DFA">
              <w:rPr>
                <w:rFonts w:ascii="Arial Narrow" w:hAnsi="Arial Narrow"/>
                <w:noProof/>
                <w:color w:val="000000"/>
                <w:sz w:val="20"/>
                <w:szCs w:val="20"/>
              </w:rPr>
              <w:t xml:space="preserve"> 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cen</w:t>
            </w:r>
            <w:r w:rsidRPr="00DD1DFA">
              <w:rPr>
                <w:rFonts w:ascii="Arial Narrow" w:hAnsi="Arial Narrow"/>
                <w:noProof/>
                <w:color w:val="000000"/>
                <w:sz w:val="20"/>
                <w:szCs w:val="20"/>
              </w:rPr>
              <w:t>trali</w:t>
            </w:r>
          </w:p>
        </w:tc>
        <w:tc>
          <w:tcPr>
            <w:tcW w:w="528" w:type="dxa"/>
            <w:tcBorders>
              <w:top w:val="nil"/>
              <w:left w:val="nil"/>
              <w:bottom w:val="single" w:sz="4" w:space="0" w:color="auto"/>
              <w:right w:val="single" w:sz="4" w:space="0" w:color="auto"/>
            </w:tcBorders>
            <w:shd w:val="pct12" w:color="CCFFFF" w:fill="FCFFFF"/>
            <w:vAlign w:val="center"/>
            <w:hideMark/>
          </w:tcPr>
          <w:p w14:paraId="107A5E47"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CA</w:t>
            </w:r>
          </w:p>
        </w:tc>
        <w:tc>
          <w:tcPr>
            <w:tcW w:w="464" w:type="dxa"/>
            <w:tcBorders>
              <w:top w:val="nil"/>
              <w:left w:val="nil"/>
              <w:bottom w:val="single" w:sz="4" w:space="0" w:color="auto"/>
              <w:right w:val="single" w:sz="4" w:space="0" w:color="auto"/>
            </w:tcBorders>
            <w:shd w:val="pct12" w:color="CCFFFF" w:fill="FCFFFF"/>
            <w:vAlign w:val="center"/>
            <w:hideMark/>
          </w:tcPr>
          <w:p w14:paraId="417F908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5D8508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69526F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3041A1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F688CD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8F0C4D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7BC52A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EBCD0A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C9E532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0E955A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2891C3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10BB3A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8F819C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102011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4F1D89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D0E893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3A580633" w14:textId="77777777" w:rsidTr="00380F0F">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14:paraId="69461E93"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14:paraId="420FEB95"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14:paraId="77CD8878"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SNE</w:t>
            </w:r>
          </w:p>
        </w:tc>
        <w:tc>
          <w:tcPr>
            <w:tcW w:w="464" w:type="dxa"/>
            <w:tcBorders>
              <w:top w:val="nil"/>
              <w:left w:val="nil"/>
              <w:bottom w:val="single" w:sz="4" w:space="0" w:color="auto"/>
              <w:right w:val="single" w:sz="4" w:space="0" w:color="auto"/>
            </w:tcBorders>
            <w:shd w:val="pct12" w:color="CCFFFF" w:fill="FCFFFF"/>
            <w:vAlign w:val="center"/>
            <w:hideMark/>
          </w:tcPr>
          <w:p w14:paraId="22F95F8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3D2824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DDDB00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CB686C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15E889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2ABF1E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96D442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FDD50F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87896D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53F47B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7AF054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0697D6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9FDD79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A45055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4EA9EA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7D4D0B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04FD57F1" w14:textId="77777777" w:rsidTr="00380F0F">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14:paraId="5DF2A6F8"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14:paraId="40FC6D22"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14:paraId="2EF3808D"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INT</w:t>
            </w:r>
          </w:p>
        </w:tc>
        <w:tc>
          <w:tcPr>
            <w:tcW w:w="464" w:type="dxa"/>
            <w:tcBorders>
              <w:top w:val="nil"/>
              <w:left w:val="nil"/>
              <w:bottom w:val="single" w:sz="4" w:space="0" w:color="auto"/>
              <w:right w:val="single" w:sz="4" w:space="0" w:color="auto"/>
            </w:tcBorders>
            <w:shd w:val="pct12" w:color="CCFFFF" w:fill="FCFFFF"/>
            <w:vAlign w:val="center"/>
            <w:hideMark/>
          </w:tcPr>
          <w:p w14:paraId="4E977AD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45046E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6BBBEC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B92324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2A0B0A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9A5DA1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2AACCC5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2282EF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A9DF81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943861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E7AE96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C5818B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AB8DC4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0E85C4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D27DAC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D00710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43CF3984" w14:textId="77777777" w:rsidTr="00380F0F">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14:paraId="06235AB9"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1210" w:type="dxa"/>
            <w:vMerge w:val="restart"/>
            <w:tcBorders>
              <w:top w:val="nil"/>
              <w:left w:val="single" w:sz="4" w:space="0" w:color="auto"/>
              <w:bottom w:val="single" w:sz="4" w:space="0" w:color="auto"/>
              <w:right w:val="single" w:sz="4" w:space="0" w:color="auto"/>
            </w:tcBorders>
            <w:shd w:val="pct12" w:color="CCFFFF" w:fill="FCFFFF"/>
            <w:vAlign w:val="center"/>
            <w:hideMark/>
          </w:tcPr>
          <w:p w14:paraId="155C1818"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 W delegaturach Unii</w:t>
            </w:r>
          </w:p>
        </w:tc>
        <w:tc>
          <w:tcPr>
            <w:tcW w:w="528" w:type="dxa"/>
            <w:tcBorders>
              <w:top w:val="nil"/>
              <w:left w:val="nil"/>
              <w:bottom w:val="single" w:sz="4" w:space="0" w:color="auto"/>
              <w:right w:val="single" w:sz="4" w:space="0" w:color="auto"/>
            </w:tcBorders>
            <w:shd w:val="pct12" w:color="CCFFFF" w:fill="FCFFFF"/>
            <w:vAlign w:val="center"/>
            <w:hideMark/>
          </w:tcPr>
          <w:p w14:paraId="0914FCA1"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CA</w:t>
            </w:r>
          </w:p>
        </w:tc>
        <w:tc>
          <w:tcPr>
            <w:tcW w:w="464" w:type="dxa"/>
            <w:tcBorders>
              <w:top w:val="nil"/>
              <w:left w:val="nil"/>
              <w:bottom w:val="single" w:sz="4" w:space="0" w:color="auto"/>
              <w:right w:val="single" w:sz="4" w:space="0" w:color="auto"/>
            </w:tcBorders>
            <w:shd w:val="pct12" w:color="CCFFFF" w:fill="FCFFFF"/>
            <w:vAlign w:val="center"/>
            <w:hideMark/>
          </w:tcPr>
          <w:p w14:paraId="052C70E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4F3FB2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EF7BC1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0F7E14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08929E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919014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F528E0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D208EB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750F13C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E77E18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8142FF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981FA5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A6DB7F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E3863C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4581D8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371E79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44B65365" w14:textId="77777777" w:rsidTr="00380F0F">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14:paraId="7FDE61BA"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14:paraId="1158288A"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14:paraId="7E17F54B"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 xml:space="preserve">LA </w:t>
            </w:r>
          </w:p>
        </w:tc>
        <w:tc>
          <w:tcPr>
            <w:tcW w:w="464" w:type="dxa"/>
            <w:tcBorders>
              <w:top w:val="nil"/>
              <w:left w:val="nil"/>
              <w:bottom w:val="single" w:sz="4" w:space="0" w:color="auto"/>
              <w:right w:val="single" w:sz="4" w:space="0" w:color="auto"/>
            </w:tcBorders>
            <w:shd w:val="pct12" w:color="CCFFFF" w:fill="FCFFFF"/>
            <w:vAlign w:val="center"/>
            <w:hideMark/>
          </w:tcPr>
          <w:p w14:paraId="782A432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85FAB7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9414B1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8EABC4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20459A2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936AF8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1F8386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A981B3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858BA0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EE4E54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E3D772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710747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7D50277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707935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8AD566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CD7FA9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43C7A373" w14:textId="77777777" w:rsidTr="00380F0F">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14:paraId="21AA14EC"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14:paraId="14F1634D"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14:paraId="0B7B31FB"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SNE</w:t>
            </w:r>
          </w:p>
        </w:tc>
        <w:tc>
          <w:tcPr>
            <w:tcW w:w="464" w:type="dxa"/>
            <w:tcBorders>
              <w:top w:val="nil"/>
              <w:left w:val="nil"/>
              <w:bottom w:val="single" w:sz="4" w:space="0" w:color="auto"/>
              <w:right w:val="single" w:sz="4" w:space="0" w:color="auto"/>
            </w:tcBorders>
            <w:shd w:val="pct12" w:color="CCFFFF" w:fill="FCFFFF"/>
            <w:vAlign w:val="center"/>
            <w:hideMark/>
          </w:tcPr>
          <w:p w14:paraId="103915B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902FBC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281C32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728A27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7CEE376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9D1534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E7475E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4DAFD3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0314E4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E95843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8FEEEB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718415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8905BA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51A2CA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2830DC7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5867F1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1FA4A84D" w14:textId="77777777" w:rsidTr="00380F0F">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14:paraId="5CD64EDD"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14:paraId="249C5731"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14:paraId="1CC9C3A7"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INT</w:t>
            </w:r>
          </w:p>
        </w:tc>
        <w:tc>
          <w:tcPr>
            <w:tcW w:w="464" w:type="dxa"/>
            <w:tcBorders>
              <w:top w:val="nil"/>
              <w:left w:val="nil"/>
              <w:bottom w:val="single" w:sz="4" w:space="0" w:color="auto"/>
              <w:right w:val="single" w:sz="4" w:space="0" w:color="auto"/>
            </w:tcBorders>
            <w:shd w:val="pct12" w:color="CCFFFF" w:fill="FCFFFF"/>
            <w:vAlign w:val="center"/>
            <w:hideMark/>
          </w:tcPr>
          <w:p w14:paraId="036390C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DB5AAC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D64C27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D85684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1FF7C1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14731E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35143D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FA40A9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337E06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1A8D88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2587E90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A042CB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D33C9D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6D2E56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3B8091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640D12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518397BA" w14:textId="77777777" w:rsidTr="00380F0F">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14:paraId="0AD9515E"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1210" w:type="dxa"/>
            <w:vMerge/>
            <w:tcBorders>
              <w:top w:val="nil"/>
              <w:left w:val="single" w:sz="4" w:space="0" w:color="auto"/>
              <w:bottom w:val="single" w:sz="4" w:space="0" w:color="auto"/>
              <w:right w:val="single" w:sz="4" w:space="0" w:color="auto"/>
            </w:tcBorders>
            <w:vAlign w:val="center"/>
            <w:hideMark/>
          </w:tcPr>
          <w:p w14:paraId="4E1329E3"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14:paraId="503ABFC8"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JPD</w:t>
            </w:r>
          </w:p>
        </w:tc>
        <w:tc>
          <w:tcPr>
            <w:tcW w:w="464" w:type="dxa"/>
            <w:tcBorders>
              <w:top w:val="nil"/>
              <w:left w:val="nil"/>
              <w:bottom w:val="single" w:sz="4" w:space="0" w:color="auto"/>
              <w:right w:val="single" w:sz="4" w:space="0" w:color="auto"/>
            </w:tcBorders>
            <w:shd w:val="pct12" w:color="CCFFFF" w:fill="FCFFFF"/>
            <w:vAlign w:val="center"/>
            <w:hideMark/>
          </w:tcPr>
          <w:p w14:paraId="78DC3F1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46D0A4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62F42B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E2058C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9FA976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D8ED41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7B6B140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5EC27A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FBB480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EC629A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337C21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D1E5DA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0FA987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8B8202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AB670A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40C938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4B399552" w14:textId="77777777" w:rsidTr="00380F0F">
        <w:trPr>
          <w:trHeight w:val="300"/>
          <w:jc w:val="center"/>
        </w:trPr>
        <w:tc>
          <w:tcPr>
            <w:tcW w:w="2466" w:type="dxa"/>
            <w:gridSpan w:val="2"/>
            <w:vMerge w:val="restart"/>
            <w:tcBorders>
              <w:top w:val="single" w:sz="4" w:space="0" w:color="auto"/>
              <w:left w:val="single" w:sz="4" w:space="0" w:color="auto"/>
              <w:bottom w:val="single" w:sz="4" w:space="0" w:color="auto"/>
              <w:right w:val="single" w:sz="4" w:space="0" w:color="auto"/>
            </w:tcBorders>
            <w:shd w:val="pct12" w:color="CCFFFF" w:fill="FCFFFF"/>
            <w:vAlign w:val="center"/>
            <w:hideMark/>
          </w:tcPr>
          <w:p w14:paraId="40608892"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01 01 01 02 pośrednie badania naukowe</w:t>
            </w:r>
          </w:p>
          <w:p w14:paraId="52642640"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01 01 01 12 bezpośrednie badania naukowe</w:t>
            </w:r>
          </w:p>
          <w:p w14:paraId="671C3D97"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Inne (proszę rozwinąć swoją odpowiedź)</w:t>
            </w:r>
            <w:r w:rsidRPr="00DD1DFA">
              <w:rPr>
                <w:rStyle w:val="Odwoanieprzypisudolnego"/>
                <w:noProof/>
              </w:rPr>
              <w:footnoteReference w:id="68"/>
            </w:r>
          </w:p>
        </w:tc>
        <w:tc>
          <w:tcPr>
            <w:tcW w:w="528" w:type="dxa"/>
            <w:tcBorders>
              <w:top w:val="nil"/>
              <w:left w:val="nil"/>
              <w:bottom w:val="single" w:sz="4" w:space="0" w:color="auto"/>
              <w:right w:val="single" w:sz="4" w:space="0" w:color="auto"/>
            </w:tcBorders>
            <w:shd w:val="pct12" w:color="CCFFFF" w:fill="FCFFFF"/>
            <w:vAlign w:val="center"/>
            <w:hideMark/>
          </w:tcPr>
          <w:p w14:paraId="4173A99D"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CA</w:t>
            </w:r>
          </w:p>
        </w:tc>
        <w:tc>
          <w:tcPr>
            <w:tcW w:w="464" w:type="dxa"/>
            <w:tcBorders>
              <w:top w:val="nil"/>
              <w:left w:val="nil"/>
              <w:bottom w:val="single" w:sz="4" w:space="0" w:color="auto"/>
              <w:right w:val="single" w:sz="4" w:space="0" w:color="auto"/>
            </w:tcBorders>
            <w:shd w:val="pct12" w:color="CCFFFF" w:fill="FCFFFF"/>
            <w:vAlign w:val="center"/>
            <w:hideMark/>
          </w:tcPr>
          <w:p w14:paraId="0D3ECB1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D032AF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D953E1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17C072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2E2BDE6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3FFF0D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CC6E5E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56FD16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DC10C4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2019C1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2CD3DE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6CD695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714F20F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3AFC4C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91D9AB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FC4C80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5C9A3F41" w14:textId="77777777" w:rsidTr="00380F0F">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14:paraId="7B224526"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14:paraId="6CC3C541"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SNE</w:t>
            </w:r>
          </w:p>
        </w:tc>
        <w:tc>
          <w:tcPr>
            <w:tcW w:w="464" w:type="dxa"/>
            <w:tcBorders>
              <w:top w:val="nil"/>
              <w:left w:val="nil"/>
              <w:bottom w:val="single" w:sz="4" w:space="0" w:color="auto"/>
              <w:right w:val="single" w:sz="4" w:space="0" w:color="auto"/>
            </w:tcBorders>
            <w:shd w:val="pct12" w:color="CCFFFF" w:fill="FCFFFF"/>
            <w:vAlign w:val="center"/>
            <w:hideMark/>
          </w:tcPr>
          <w:p w14:paraId="2D73319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7426C1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A3A4A7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948487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511F49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CE2527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183D11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8F847A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7E0A5C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044CFA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2ADE5BD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2F76D0E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7C3805E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C484C2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C9E8C7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980C88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5D090512" w14:textId="77777777" w:rsidTr="00380F0F">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14:paraId="24799AD3" w14:textId="77777777" w:rsidR="005D44AF" w:rsidRPr="00DD1DFA" w:rsidRDefault="005D44AF" w:rsidP="005D44AF">
            <w:pPr>
              <w:spacing w:before="0" w:after="0"/>
              <w:jc w:val="left"/>
              <w:rPr>
                <w:rFonts w:ascii="Arial Narrow" w:eastAsia="Times New Roman" w:hAnsi="Arial Narrow"/>
                <w:noProof/>
                <w:color w:val="000000"/>
                <w:sz w:val="20"/>
                <w:szCs w:val="20"/>
                <w:lang w:eastAsia="en-GB"/>
              </w:rPr>
            </w:pPr>
          </w:p>
        </w:tc>
        <w:tc>
          <w:tcPr>
            <w:tcW w:w="528" w:type="dxa"/>
            <w:tcBorders>
              <w:top w:val="nil"/>
              <w:left w:val="nil"/>
              <w:bottom w:val="single" w:sz="4" w:space="0" w:color="auto"/>
              <w:right w:val="single" w:sz="4" w:space="0" w:color="auto"/>
            </w:tcBorders>
            <w:shd w:val="pct12" w:color="CCFFFF" w:fill="FCFFFF"/>
            <w:vAlign w:val="center"/>
            <w:hideMark/>
          </w:tcPr>
          <w:p w14:paraId="68354DF1"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INT</w:t>
            </w:r>
          </w:p>
        </w:tc>
        <w:tc>
          <w:tcPr>
            <w:tcW w:w="464" w:type="dxa"/>
            <w:tcBorders>
              <w:top w:val="nil"/>
              <w:left w:val="nil"/>
              <w:bottom w:val="single" w:sz="4" w:space="0" w:color="auto"/>
              <w:right w:val="single" w:sz="4" w:space="0" w:color="auto"/>
            </w:tcBorders>
            <w:shd w:val="pct12" w:color="CCFFFF" w:fill="FCFFFF"/>
            <w:vAlign w:val="center"/>
            <w:hideMark/>
          </w:tcPr>
          <w:p w14:paraId="5FFC06B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29A977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FB162C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32869F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076804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D24D3B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8DA700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F090CB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6938D31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44061B2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94D6BA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A28E65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E19D30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FC08BB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18BC570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0C636AE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26069B3E" w14:textId="77777777" w:rsidTr="00380F0F">
        <w:trPr>
          <w:trHeight w:val="870"/>
          <w:jc w:val="center"/>
        </w:trPr>
        <w:tc>
          <w:tcPr>
            <w:tcW w:w="2466" w:type="dxa"/>
            <w:gridSpan w:val="2"/>
            <w:tcBorders>
              <w:top w:val="single" w:sz="4" w:space="0" w:color="auto"/>
              <w:left w:val="single" w:sz="4" w:space="0" w:color="auto"/>
              <w:bottom w:val="single" w:sz="4" w:space="0" w:color="auto"/>
              <w:right w:val="single" w:sz="4" w:space="0" w:color="auto"/>
            </w:tcBorders>
            <w:shd w:val="pct12" w:color="CCFFFF" w:fill="FCFFFF"/>
            <w:vAlign w:val="center"/>
            <w:hideMark/>
          </w:tcPr>
          <w:p w14:paraId="3E14659F"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Inne linie budżetowe związane z HR (</w:t>
            </w:r>
            <w:r w:rsidRPr="00DD1DFA">
              <w:rPr>
                <w:rFonts w:ascii="Arial Narrow" w:hAnsi="Arial Narrow"/>
                <w:i/>
                <w:iCs/>
                <w:noProof/>
                <w:color w:val="000000"/>
                <w:sz w:val="20"/>
                <w:szCs w:val="20"/>
              </w:rPr>
              <w:t>proszę określić</w:t>
            </w:r>
            <w:r w:rsidRPr="00DD1DFA">
              <w:rPr>
                <w:rFonts w:ascii="Arial Narrow" w:hAnsi="Arial Narrow"/>
                <w:noProof/>
                <w:color w:val="000000"/>
                <w:sz w:val="20"/>
                <w:szCs w:val="20"/>
              </w:rPr>
              <w:t>)</w:t>
            </w:r>
          </w:p>
        </w:tc>
        <w:tc>
          <w:tcPr>
            <w:tcW w:w="528" w:type="dxa"/>
            <w:tcBorders>
              <w:top w:val="nil"/>
              <w:left w:val="nil"/>
              <w:bottom w:val="single" w:sz="4" w:space="0" w:color="auto"/>
              <w:right w:val="single" w:sz="4" w:space="0" w:color="auto"/>
            </w:tcBorders>
            <w:shd w:val="pct12" w:color="CCFFFF" w:fill="FCFFFF"/>
            <w:vAlign w:val="center"/>
            <w:hideMark/>
          </w:tcPr>
          <w:p w14:paraId="2F8B55B0"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0F62FB0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63444CC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E431C7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7FA8638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79FE87B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4A912F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5549F42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1127AB1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9DBA36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A180DD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47D7DB2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EFE5BA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F0EE74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39CAEE2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nil"/>
              <w:left w:val="nil"/>
              <w:bottom w:val="single" w:sz="4" w:space="0" w:color="auto"/>
              <w:right w:val="single" w:sz="4" w:space="0" w:color="auto"/>
            </w:tcBorders>
            <w:shd w:val="pct12" w:color="CCFFFF" w:fill="FCFFFF"/>
            <w:vAlign w:val="center"/>
            <w:hideMark/>
          </w:tcPr>
          <w:p w14:paraId="391E13F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nil"/>
              <w:left w:val="nil"/>
              <w:bottom w:val="single" w:sz="4" w:space="0" w:color="auto"/>
              <w:right w:val="single" w:sz="4" w:space="0" w:color="auto"/>
            </w:tcBorders>
            <w:shd w:val="pct12" w:color="CCFFFF" w:fill="FCFFFF"/>
            <w:vAlign w:val="center"/>
            <w:hideMark/>
          </w:tcPr>
          <w:p w14:paraId="51F102D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533446CB" w14:textId="77777777" w:rsidTr="00380F0F">
        <w:trPr>
          <w:trHeight w:val="546"/>
          <w:jc w:val="center"/>
        </w:trPr>
        <w:tc>
          <w:tcPr>
            <w:tcW w:w="2466" w:type="dxa"/>
            <w:gridSpan w:val="2"/>
            <w:tcBorders>
              <w:top w:val="single" w:sz="4" w:space="0" w:color="auto"/>
              <w:left w:val="single" w:sz="4" w:space="0" w:color="auto"/>
              <w:bottom w:val="single" w:sz="4" w:space="0" w:color="auto"/>
              <w:right w:val="single" w:sz="4" w:space="0" w:color="auto"/>
            </w:tcBorders>
            <w:shd w:val="pct12" w:color="CCFFFF" w:fill="FCFFFF"/>
            <w:vAlign w:val="center"/>
            <w:hideMark/>
          </w:tcPr>
          <w:p w14:paraId="667E68A5" w14:textId="660A076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Suma cząstkowa związana</w:t>
            </w:r>
            <w:r w:rsidR="00DD1DFA" w:rsidRPr="00DD1DFA">
              <w:rPr>
                <w:rFonts w:ascii="Arial Narrow" w:hAnsi="Arial Narrow"/>
                <w:b/>
                <w:bCs/>
                <w:noProof/>
                <w:color w:val="000000"/>
                <w:sz w:val="22"/>
              </w:rPr>
              <w:t xml:space="preserve"> z</w:t>
            </w:r>
            <w:r w:rsidR="00DD1DFA">
              <w:rPr>
                <w:rFonts w:ascii="Arial Narrow" w:hAnsi="Arial Narrow"/>
                <w:b/>
                <w:bCs/>
                <w:noProof/>
                <w:color w:val="000000"/>
                <w:sz w:val="22"/>
              </w:rPr>
              <w:t> </w:t>
            </w:r>
            <w:r w:rsidR="00DD1DFA" w:rsidRPr="00DD1DFA">
              <w:rPr>
                <w:rFonts w:ascii="Arial Narrow" w:hAnsi="Arial Narrow"/>
                <w:b/>
                <w:bCs/>
                <w:noProof/>
                <w:color w:val="000000"/>
                <w:sz w:val="22"/>
              </w:rPr>
              <w:t>zas</w:t>
            </w:r>
            <w:r w:rsidRPr="00DD1DFA">
              <w:rPr>
                <w:rFonts w:ascii="Arial Narrow" w:hAnsi="Arial Narrow"/>
                <w:b/>
                <w:bCs/>
                <w:noProof/>
                <w:color w:val="000000"/>
                <w:sz w:val="22"/>
              </w:rPr>
              <w:t>obami ludzkimi – poza DZIAŁEM 7</w:t>
            </w:r>
          </w:p>
        </w:tc>
        <w:tc>
          <w:tcPr>
            <w:tcW w:w="528"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1A817AF4" w14:textId="77777777" w:rsidR="005D44AF" w:rsidRPr="00DD1DFA" w:rsidRDefault="005D44AF" w:rsidP="005D44AF">
            <w:pPr>
              <w:spacing w:before="0" w:after="0"/>
              <w:jc w:val="center"/>
              <w:rPr>
                <w:rFonts w:ascii="Arial Narrow" w:eastAsia="Times New Roman" w:hAnsi="Arial Narrow"/>
                <w:noProof/>
                <w:color w:val="000000"/>
                <w:sz w:val="18"/>
                <w:szCs w:val="18"/>
              </w:rPr>
            </w:pPr>
            <w:r w:rsidRPr="00DD1DFA">
              <w:rPr>
                <w:rFonts w:ascii="Arial Narrow" w:hAnsi="Arial Narrow"/>
                <w:noProof/>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7456A38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3ACC576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4C429AE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323E8E5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24E7F02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70F40F3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5DF9443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3EB9EC1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7DA2CB2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6957813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5D05C95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4208FF3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6E32E1A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310892C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30F28E9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14:paraId="6456061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r>
      <w:tr w:rsidR="005D44AF" w:rsidRPr="00DD1DFA" w14:paraId="22C354F8" w14:textId="77777777" w:rsidTr="00380F0F">
        <w:trPr>
          <w:trHeight w:val="628"/>
          <w:jc w:val="center"/>
        </w:trPr>
        <w:tc>
          <w:tcPr>
            <w:tcW w:w="2466" w:type="dxa"/>
            <w:gridSpan w:val="2"/>
            <w:tcBorders>
              <w:top w:val="single" w:sz="4" w:space="0" w:color="auto"/>
              <w:left w:val="single" w:sz="4" w:space="0" w:color="auto"/>
              <w:bottom w:val="single" w:sz="4" w:space="0" w:color="auto"/>
              <w:right w:val="single" w:sz="4" w:space="0" w:color="auto"/>
            </w:tcBorders>
            <w:shd w:val="pct12" w:color="CCFFFF" w:fill="FCFFFF"/>
            <w:vAlign w:val="center"/>
          </w:tcPr>
          <w:p w14:paraId="178CBA8E"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HR ogółem (wszystkie działy WRF)</w:t>
            </w:r>
          </w:p>
        </w:tc>
        <w:tc>
          <w:tcPr>
            <w:tcW w:w="528" w:type="dxa"/>
            <w:tcBorders>
              <w:top w:val="single" w:sz="4" w:space="0" w:color="auto"/>
              <w:left w:val="single" w:sz="4" w:space="0" w:color="auto"/>
              <w:bottom w:val="single" w:sz="4" w:space="0" w:color="auto"/>
              <w:right w:val="single" w:sz="4" w:space="0" w:color="auto"/>
            </w:tcBorders>
            <w:shd w:val="pct12" w:color="CCFFFF" w:fill="FCFFFF"/>
            <w:vAlign w:val="center"/>
          </w:tcPr>
          <w:p w14:paraId="0CDDA724" w14:textId="77777777" w:rsidR="005D44AF" w:rsidRPr="00DD1DFA" w:rsidRDefault="005D44AF" w:rsidP="005D44AF">
            <w:pPr>
              <w:spacing w:before="0" w:after="0"/>
              <w:jc w:val="center"/>
              <w:rPr>
                <w:rFonts w:ascii="Arial Narrow" w:eastAsia="Times New Roman" w:hAnsi="Arial Narrow"/>
                <w:noProof/>
                <w:color w:val="000000"/>
                <w:sz w:val="18"/>
                <w:szCs w:val="18"/>
                <w:lang w:eastAsia="en-GB"/>
              </w:rPr>
            </w:pP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tcPr>
          <w:p w14:paraId="2E61C37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7</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tcPr>
          <w:p w14:paraId="7795106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tcPr>
          <w:p w14:paraId="2CA2837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7</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tcPr>
          <w:p w14:paraId="719AAD2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tcPr>
          <w:p w14:paraId="55F2404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7</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tcPr>
          <w:p w14:paraId="499804B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tcPr>
          <w:p w14:paraId="67F980B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6</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tcPr>
          <w:p w14:paraId="69CB30E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0,942</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tcPr>
          <w:p w14:paraId="33204B5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6</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tcPr>
          <w:p w14:paraId="78F7034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0,942</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tcPr>
          <w:p w14:paraId="374576E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4</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tcPr>
          <w:p w14:paraId="7EEEB00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0,628</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tcPr>
          <w:p w14:paraId="25E36338"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tcPr>
          <w:p w14:paraId="1F622633"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tcPr>
          <w:p w14:paraId="1360379D"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tcPr>
          <w:p w14:paraId="6D4247A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5,809</w:t>
            </w:r>
          </w:p>
        </w:tc>
      </w:tr>
    </w:tbl>
    <w:p w14:paraId="3A9F6145" w14:textId="05323D9F" w:rsidR="005D44AF" w:rsidRPr="00DD1DFA" w:rsidRDefault="005D44AF" w:rsidP="005D44AF">
      <w:pPr>
        <w:keepNext/>
        <w:spacing w:before="0" w:after="0"/>
        <w:jc w:val="left"/>
        <w:rPr>
          <w:rFonts w:eastAsia="Times New Roman"/>
          <w:noProof/>
          <w:sz w:val="28"/>
          <w:szCs w:val="28"/>
          <w:u w:val="single"/>
        </w:rPr>
      </w:pPr>
      <w:r w:rsidRPr="00DD1DFA">
        <w:rPr>
          <w:noProof/>
          <w:sz w:val="18"/>
          <w:szCs w:val="24"/>
        </w:rPr>
        <w:t>Potrzeby</w:t>
      </w:r>
      <w:r w:rsidR="00DD1DFA" w:rsidRPr="00DD1DFA">
        <w:rPr>
          <w:noProof/>
          <w:sz w:val="18"/>
          <w:szCs w:val="24"/>
        </w:rPr>
        <w:t xml:space="preserve"> w</w:t>
      </w:r>
      <w:r w:rsidR="00DD1DFA">
        <w:rPr>
          <w:noProof/>
          <w:sz w:val="18"/>
          <w:szCs w:val="24"/>
        </w:rPr>
        <w:t> </w:t>
      </w:r>
      <w:r w:rsidR="00DD1DFA" w:rsidRPr="00DD1DFA">
        <w:rPr>
          <w:noProof/>
          <w:sz w:val="18"/>
          <w:szCs w:val="24"/>
        </w:rPr>
        <w:t>zak</w:t>
      </w:r>
      <w:r w:rsidRPr="00DD1DFA">
        <w:rPr>
          <w:noProof/>
          <w:sz w:val="18"/>
          <w:szCs w:val="24"/>
        </w:rPr>
        <w:t>resie zasobów ludzkich zostaną pokryte</w:t>
      </w:r>
      <w:r w:rsidR="00DD1DFA" w:rsidRPr="00DD1DFA">
        <w:rPr>
          <w:noProof/>
          <w:sz w:val="18"/>
          <w:szCs w:val="24"/>
        </w:rPr>
        <w:t xml:space="preserve"> z</w:t>
      </w:r>
      <w:r w:rsidR="00DD1DFA">
        <w:rPr>
          <w:noProof/>
          <w:sz w:val="18"/>
          <w:szCs w:val="24"/>
        </w:rPr>
        <w:t> </w:t>
      </w:r>
      <w:r w:rsidR="00DD1DFA" w:rsidRPr="00DD1DFA">
        <w:rPr>
          <w:noProof/>
          <w:sz w:val="18"/>
          <w:szCs w:val="24"/>
        </w:rPr>
        <w:t>zas</w:t>
      </w:r>
      <w:r w:rsidRPr="00DD1DFA">
        <w:rPr>
          <w:noProof/>
          <w:sz w:val="18"/>
          <w:szCs w:val="24"/>
        </w:rPr>
        <w:t>obów DG już przydzielonych na zarządzanie tym działaniem lub przesuniętych</w:t>
      </w:r>
      <w:r w:rsidR="00DD1DFA" w:rsidRPr="00DD1DFA">
        <w:rPr>
          <w:noProof/>
          <w:sz w:val="18"/>
          <w:szCs w:val="24"/>
        </w:rPr>
        <w:t xml:space="preserve"> w</w:t>
      </w:r>
      <w:r w:rsidR="00DD1DFA">
        <w:rPr>
          <w:noProof/>
          <w:sz w:val="18"/>
          <w:szCs w:val="24"/>
        </w:rPr>
        <w:t> </w:t>
      </w:r>
      <w:r w:rsidR="00DD1DFA" w:rsidRPr="00DD1DFA">
        <w:rPr>
          <w:noProof/>
          <w:sz w:val="18"/>
          <w:szCs w:val="24"/>
        </w:rPr>
        <w:t>ram</w:t>
      </w:r>
      <w:r w:rsidRPr="00DD1DFA">
        <w:rPr>
          <w:noProof/>
          <w:sz w:val="18"/>
          <w:szCs w:val="24"/>
        </w:rPr>
        <w:t>ach dyrekcji generalnej, uzupełnionych</w:t>
      </w:r>
      <w:r w:rsidR="00DD1DFA" w:rsidRPr="00DD1DFA">
        <w:rPr>
          <w:noProof/>
          <w:sz w:val="18"/>
          <w:szCs w:val="24"/>
        </w:rPr>
        <w:t xml:space="preserve"> w</w:t>
      </w:r>
      <w:r w:rsidR="00DD1DFA">
        <w:rPr>
          <w:noProof/>
          <w:sz w:val="18"/>
          <w:szCs w:val="24"/>
        </w:rPr>
        <w:t> </w:t>
      </w:r>
      <w:r w:rsidR="00DD1DFA" w:rsidRPr="00DD1DFA">
        <w:rPr>
          <w:noProof/>
          <w:sz w:val="18"/>
          <w:szCs w:val="24"/>
        </w:rPr>
        <w:t>raz</w:t>
      </w:r>
      <w:r w:rsidRPr="00DD1DFA">
        <w:rPr>
          <w:noProof/>
          <w:sz w:val="18"/>
          <w:szCs w:val="24"/>
        </w:rPr>
        <w:t>ie potrzeby wszelkimi dodatkowymi zasobami, które mogą zostać przydzielone zarządzającej dyrekcji generalnej</w:t>
      </w:r>
      <w:r w:rsidR="00DD1DFA" w:rsidRPr="00DD1DFA">
        <w:rPr>
          <w:noProof/>
          <w:sz w:val="18"/>
          <w:szCs w:val="24"/>
        </w:rPr>
        <w:t xml:space="preserve"> w</w:t>
      </w:r>
      <w:r w:rsidR="00DD1DFA">
        <w:rPr>
          <w:noProof/>
          <w:sz w:val="18"/>
          <w:szCs w:val="24"/>
        </w:rPr>
        <w:t> </w:t>
      </w:r>
      <w:r w:rsidR="00DD1DFA" w:rsidRPr="00DD1DFA">
        <w:rPr>
          <w:noProof/>
          <w:sz w:val="18"/>
          <w:szCs w:val="24"/>
        </w:rPr>
        <w:t>ram</w:t>
      </w:r>
      <w:r w:rsidRPr="00DD1DFA">
        <w:rPr>
          <w:noProof/>
          <w:sz w:val="18"/>
          <w:szCs w:val="24"/>
        </w:rPr>
        <w:t>ach procedury rocznego przydziału środków oraz</w:t>
      </w:r>
      <w:r w:rsidR="00DD1DFA" w:rsidRPr="00DD1DFA">
        <w:rPr>
          <w:noProof/>
          <w:sz w:val="18"/>
          <w:szCs w:val="24"/>
        </w:rPr>
        <w:t xml:space="preserve"> w</w:t>
      </w:r>
      <w:r w:rsidR="00DD1DFA">
        <w:rPr>
          <w:noProof/>
          <w:sz w:val="18"/>
          <w:szCs w:val="24"/>
        </w:rPr>
        <w:t> </w:t>
      </w:r>
      <w:r w:rsidR="00DD1DFA" w:rsidRPr="00DD1DFA">
        <w:rPr>
          <w:noProof/>
          <w:sz w:val="18"/>
          <w:szCs w:val="24"/>
        </w:rPr>
        <w:t>świ</w:t>
      </w:r>
      <w:r w:rsidRPr="00DD1DFA">
        <w:rPr>
          <w:noProof/>
          <w:sz w:val="18"/>
          <w:szCs w:val="24"/>
        </w:rPr>
        <w:t>etle istniejących ograniczeń budżetowych.</w:t>
      </w:r>
    </w:p>
    <w:p w14:paraId="0F63703B" w14:textId="77777777" w:rsidR="005D44AF" w:rsidRPr="00DD1DFA" w:rsidRDefault="005D44AF" w:rsidP="005D44AF">
      <w:pPr>
        <w:keepNext/>
        <w:spacing w:before="0" w:after="60"/>
        <w:ind w:left="540"/>
        <w:jc w:val="left"/>
        <w:rPr>
          <w:rFonts w:eastAsia="Times New Roman"/>
          <w:noProof/>
          <w:szCs w:val="24"/>
          <w:lang w:eastAsia="en-GB"/>
        </w:rPr>
        <w:sectPr w:rsidR="005D44AF" w:rsidRPr="00DD1DFA" w:rsidSect="0037392B">
          <w:headerReference w:type="default" r:id="rId27"/>
          <w:footerReference w:type="default" r:id="rId28"/>
          <w:headerReference w:type="first" r:id="rId29"/>
          <w:footerReference w:type="first" r:id="rId30"/>
          <w:pgSz w:w="15840" w:h="12240" w:orient="landscape" w:code="1"/>
          <w:pgMar w:top="624" w:right="902" w:bottom="624" w:left="1191" w:header="709" w:footer="567" w:gutter="0"/>
          <w:cols w:space="708"/>
          <w:docGrid w:linePitch="360"/>
        </w:sectPr>
      </w:pPr>
    </w:p>
    <w:p w14:paraId="74D54AF1" w14:textId="16DAFD28" w:rsidR="005D44AF" w:rsidRPr="00DD1DFA" w:rsidRDefault="005F7EFA" w:rsidP="005F7EFA">
      <w:pPr>
        <w:pStyle w:val="ManualHeading1"/>
        <w:rPr>
          <w:rFonts w:eastAsia="Times New Roman"/>
          <w:noProof/>
        </w:rPr>
      </w:pPr>
      <w:r w:rsidRPr="005F7EFA">
        <w:t>2.</w:t>
      </w:r>
      <w:r w:rsidRPr="005F7EFA">
        <w:tab/>
      </w:r>
      <w:r w:rsidR="005D44AF" w:rsidRPr="00DD1DFA">
        <w:rPr>
          <w:noProof/>
        </w:rPr>
        <w:t>Koszt pozostałych wydatków administracyjnych</w:t>
      </w:r>
    </w:p>
    <w:p w14:paraId="35A8F2A4" w14:textId="62DD250B" w:rsidR="005D44AF" w:rsidRPr="00DD1DFA" w:rsidRDefault="005D44AF" w:rsidP="005D44AF">
      <w:pPr>
        <w:spacing w:after="0"/>
        <w:ind w:left="2263" w:hanging="284"/>
        <w:rPr>
          <w:rFonts w:eastAsia="Times New Roman"/>
          <w:noProof/>
          <w:szCs w:val="24"/>
        </w:rPr>
      </w:pPr>
      <w:r w:rsidRPr="00DD1DFA">
        <w:rPr>
          <w:noProof/>
        </w:rPr>
        <w:sym w:font="Wingdings" w:char="F0A8"/>
      </w:r>
      <w:r w:rsidRPr="00DD1DFA">
        <w:rPr>
          <w:noProof/>
        </w:rPr>
        <w:tab/>
        <w:t>Wniosek/inicjatywa nie wiąże się</w:t>
      </w:r>
      <w:r w:rsidR="00DD1DFA" w:rsidRPr="00DD1DFA">
        <w:rPr>
          <w:noProof/>
        </w:rPr>
        <w:t xml:space="preserve"> z</w:t>
      </w:r>
      <w:r w:rsidR="00DD1DFA">
        <w:rPr>
          <w:noProof/>
        </w:rPr>
        <w:t> </w:t>
      </w:r>
      <w:r w:rsidR="00DD1DFA" w:rsidRPr="00DD1DFA">
        <w:rPr>
          <w:noProof/>
        </w:rPr>
        <w:t>kon</w:t>
      </w:r>
      <w:r w:rsidRPr="00DD1DFA">
        <w:rPr>
          <w:noProof/>
        </w:rPr>
        <w:t>iecznością wykorzystania środków administracyjnych</w:t>
      </w:r>
    </w:p>
    <w:p w14:paraId="2D71576B" w14:textId="7156CD22" w:rsidR="005D44AF" w:rsidRPr="00DD1DFA" w:rsidRDefault="0023629D" w:rsidP="0023629D">
      <w:pPr>
        <w:spacing w:after="0"/>
        <w:ind w:left="2263" w:hanging="284"/>
        <w:rPr>
          <w:rFonts w:eastAsia="Times New Roman"/>
          <w:noProof/>
          <w:szCs w:val="24"/>
        </w:rPr>
      </w:pPr>
      <w:r w:rsidRPr="00DD1DFA">
        <w:rPr>
          <w:rFonts w:ascii="Wingdings" w:hAnsi="Wingdings"/>
          <w:noProof/>
          <w:color w:val="341A51"/>
          <w:sz w:val="22"/>
          <w:u w:val="single"/>
        </w:rPr>
        <w:t></w:t>
      </w:r>
      <w:r w:rsidRPr="00DD1DFA">
        <w:rPr>
          <w:noProof/>
        </w:rPr>
        <w:t>Wniosek/inicjatywa wiąże się</w:t>
      </w:r>
      <w:r w:rsidR="00DD1DFA" w:rsidRPr="00DD1DFA">
        <w:rPr>
          <w:noProof/>
        </w:rPr>
        <w:t xml:space="preserve"> z</w:t>
      </w:r>
      <w:r w:rsidR="00DD1DFA">
        <w:rPr>
          <w:noProof/>
        </w:rPr>
        <w:t> </w:t>
      </w:r>
      <w:r w:rsidR="00DD1DFA" w:rsidRPr="00DD1DFA">
        <w:rPr>
          <w:noProof/>
        </w:rPr>
        <w:t>kon</w:t>
      </w:r>
      <w:r w:rsidRPr="00DD1DFA">
        <w:rPr>
          <w:noProof/>
        </w:rPr>
        <w:t>iecznością wykorzystania środków administracyjnych, jak określono poniżej:</w:t>
      </w:r>
    </w:p>
    <w:p w14:paraId="7033758A" w14:textId="77777777" w:rsidR="005D44AF" w:rsidRPr="00DD1DFA" w:rsidRDefault="005D44AF" w:rsidP="005D44AF">
      <w:pPr>
        <w:tabs>
          <w:tab w:val="left" w:pos="870"/>
        </w:tabs>
        <w:spacing w:before="0" w:after="0"/>
        <w:jc w:val="left"/>
        <w:rPr>
          <w:rFonts w:eastAsia="Times New Roman"/>
          <w:noProof/>
          <w:sz w:val="16"/>
          <w:szCs w:val="16"/>
          <w:lang w:eastAsia="en-GB"/>
        </w:rPr>
      </w:pPr>
    </w:p>
    <w:p w14:paraId="01312EE4" w14:textId="77777777" w:rsidR="005D44AF" w:rsidRPr="00DD1DFA" w:rsidRDefault="005D44AF" w:rsidP="005D44AF">
      <w:pPr>
        <w:spacing w:before="0" w:after="0"/>
        <w:jc w:val="right"/>
        <w:rPr>
          <w:rFonts w:eastAsia="Times New Roman"/>
          <w:i/>
          <w:noProof/>
          <w:sz w:val="20"/>
          <w:szCs w:val="20"/>
        </w:rPr>
      </w:pPr>
      <w:r w:rsidRPr="00DD1DFA">
        <w:rPr>
          <w:i/>
          <w:noProof/>
          <w:sz w:val="20"/>
          <w:szCs w:val="20"/>
        </w:rPr>
        <w:t>w mln EUR (do trzech miejsc po przecinku)</w:t>
      </w:r>
    </w:p>
    <w:tbl>
      <w:tblPr>
        <w:tblW w:w="14757" w:type="dxa"/>
        <w:jc w:val="center"/>
        <w:tblLook w:val="04A0" w:firstRow="1" w:lastRow="0" w:firstColumn="1" w:lastColumn="0" w:noHBand="0" w:noVBand="1"/>
      </w:tblPr>
      <w:tblGrid>
        <w:gridCol w:w="4410"/>
        <w:gridCol w:w="1275"/>
        <w:gridCol w:w="1276"/>
        <w:gridCol w:w="1276"/>
        <w:gridCol w:w="1417"/>
        <w:gridCol w:w="1276"/>
        <w:gridCol w:w="1276"/>
        <w:gridCol w:w="1276"/>
        <w:gridCol w:w="1275"/>
      </w:tblGrid>
      <w:tr w:rsidR="005D44AF" w:rsidRPr="00DD1DFA" w14:paraId="7677F506" w14:textId="77777777" w:rsidTr="00380F0F">
        <w:trPr>
          <w:trHeight w:val="970"/>
          <w:jc w:val="center"/>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088C4"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DZIAŁ 7</w:t>
            </w:r>
          </w:p>
          <w:p w14:paraId="7EEB99EC" w14:textId="77777777" w:rsidR="005D44AF" w:rsidRPr="00DD1DFA" w:rsidRDefault="005D44AF" w:rsidP="005D44AF">
            <w:pPr>
              <w:spacing w:before="0" w:after="0"/>
              <w:jc w:val="center"/>
              <w:rPr>
                <w:rFonts w:ascii="Arial Narrow" w:eastAsia="Times New Roman" w:hAnsi="Arial Narrow"/>
                <w:i/>
                <w:iCs/>
                <w:noProof/>
                <w:color w:val="000000"/>
                <w:sz w:val="20"/>
                <w:szCs w:val="20"/>
              </w:rPr>
            </w:pPr>
            <w:r w:rsidRPr="00DD1DFA">
              <w:rPr>
                <w:rFonts w:ascii="Arial Narrow" w:hAnsi="Arial Narrow"/>
                <w:noProof/>
                <w:color w:val="000000"/>
                <w:sz w:val="22"/>
              </w:rPr>
              <w:t>wieloletnich ram finansowych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7CEC6B"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869E1C"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6C7ED3"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4A38A6"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6C0388"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D06056"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0C743E" w14:textId="77777777" w:rsidR="005D44AF" w:rsidRPr="00DD1DFA" w:rsidRDefault="005D44AF" w:rsidP="005D44AF">
            <w:pPr>
              <w:spacing w:before="0" w:after="0"/>
              <w:jc w:val="center"/>
              <w:rPr>
                <w:rFonts w:ascii="Arial Narrow" w:eastAsia="Times New Roman" w:hAnsi="Arial Narrow"/>
                <w:b/>
                <w:bCs/>
                <w:noProof/>
                <w:color w:val="0000FF"/>
                <w:sz w:val="20"/>
                <w:szCs w:val="20"/>
                <w:lang w:eastAsia="en-GB"/>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D466C9"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OGÓŁEM</w:t>
            </w:r>
          </w:p>
        </w:tc>
      </w:tr>
      <w:tr w:rsidR="005D44AF" w:rsidRPr="00DD1DFA" w14:paraId="1253DC89" w14:textId="77777777" w:rsidTr="00380F0F">
        <w:trPr>
          <w:trHeight w:val="300"/>
          <w:jc w:val="center"/>
        </w:trPr>
        <w:tc>
          <w:tcPr>
            <w:tcW w:w="4410" w:type="dxa"/>
            <w:tcBorders>
              <w:top w:val="single" w:sz="4" w:space="0" w:color="auto"/>
              <w:left w:val="single" w:sz="4" w:space="0" w:color="auto"/>
              <w:bottom w:val="single" w:sz="4" w:space="0" w:color="auto"/>
              <w:right w:val="single" w:sz="4" w:space="0" w:color="auto"/>
            </w:tcBorders>
            <w:shd w:val="pct25" w:color="CCFFCC" w:fill="EDFFED"/>
            <w:vAlign w:val="center"/>
            <w:hideMark/>
          </w:tcPr>
          <w:p w14:paraId="72FFD65F" w14:textId="77777777" w:rsidR="005D44AF" w:rsidRPr="00DD1DFA" w:rsidRDefault="005D44AF" w:rsidP="005D44AF">
            <w:pPr>
              <w:spacing w:before="0" w:after="0"/>
              <w:jc w:val="left"/>
              <w:rPr>
                <w:rFonts w:ascii="Arial Narrow" w:eastAsia="Times New Roman" w:hAnsi="Arial Narrow"/>
                <w:b/>
                <w:bCs/>
                <w:noProof/>
                <w:color w:val="008000"/>
                <w:sz w:val="20"/>
                <w:szCs w:val="20"/>
                <w:u w:val="single"/>
              </w:rPr>
            </w:pPr>
            <w:r w:rsidRPr="00DD1DFA">
              <w:rPr>
                <w:rFonts w:ascii="Arial Narrow" w:hAnsi="Arial Narrow"/>
                <w:b/>
                <w:bCs/>
                <w:noProof/>
                <w:color w:val="008000"/>
                <w:sz w:val="20"/>
                <w:szCs w:val="20"/>
                <w:u w:val="single"/>
              </w:rPr>
              <w:t>W centrali lub na terytorium UE: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CFE9A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42ADB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0F125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4014D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6C1F2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F4B52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D553C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FCF51A"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75788717"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6403170" w14:textId="77EB4FF4"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20 02 06 01 – Wydatki na podróże służbowe</w:t>
            </w:r>
            <w:r w:rsidR="00DD1DFA" w:rsidRPr="00DD1DFA">
              <w:rPr>
                <w:rFonts w:ascii="Arial Narrow" w:hAnsi="Arial Narrow"/>
                <w:noProof/>
                <w:color w:val="000000"/>
                <w:sz w:val="20"/>
                <w:szCs w:val="20"/>
              </w:rPr>
              <w:t xml:space="preserve"> i</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cel</w:t>
            </w:r>
            <w:r w:rsidRPr="00DD1DFA">
              <w:rPr>
                <w:rFonts w:ascii="Arial Narrow" w:hAnsi="Arial Narrow"/>
                <w:noProof/>
                <w:color w:val="000000"/>
                <w:sz w:val="20"/>
                <w:szCs w:val="20"/>
              </w:rPr>
              <w:t>e reprezentacyjne</w:t>
            </w:r>
          </w:p>
        </w:tc>
        <w:tc>
          <w:tcPr>
            <w:tcW w:w="1275" w:type="dxa"/>
            <w:tcBorders>
              <w:top w:val="nil"/>
              <w:left w:val="nil"/>
              <w:bottom w:val="single" w:sz="4" w:space="0" w:color="auto"/>
              <w:right w:val="single" w:sz="4" w:space="0" w:color="auto"/>
            </w:tcBorders>
            <w:shd w:val="clear" w:color="auto" w:fill="auto"/>
            <w:vAlign w:val="center"/>
            <w:hideMark/>
          </w:tcPr>
          <w:p w14:paraId="57B55BF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396217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18ED36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511C5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5B8199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2BB226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023B41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4C1AF8C"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5B699CFA"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BE37983" w14:textId="31FBCD70"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20 02 06 02 – Koszty konferencji</w:t>
            </w:r>
            <w:r w:rsidR="00DD1DFA" w:rsidRPr="00DD1DFA">
              <w:rPr>
                <w:rFonts w:ascii="Arial Narrow" w:hAnsi="Arial Narrow"/>
                <w:noProof/>
                <w:color w:val="000000"/>
                <w:sz w:val="20"/>
                <w:szCs w:val="20"/>
              </w:rPr>
              <w:t xml:space="preserve"> i</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spo</w:t>
            </w:r>
            <w:r w:rsidRPr="00DD1DFA">
              <w:rPr>
                <w:rFonts w:ascii="Arial Narrow" w:hAnsi="Arial Narrow"/>
                <w:noProof/>
                <w:color w:val="000000"/>
                <w:sz w:val="20"/>
                <w:szCs w:val="20"/>
              </w:rPr>
              <w:t>tkań</w:t>
            </w:r>
          </w:p>
        </w:tc>
        <w:tc>
          <w:tcPr>
            <w:tcW w:w="1275" w:type="dxa"/>
            <w:tcBorders>
              <w:top w:val="nil"/>
              <w:left w:val="nil"/>
              <w:bottom w:val="single" w:sz="4" w:space="0" w:color="auto"/>
              <w:right w:val="single" w:sz="4" w:space="0" w:color="auto"/>
            </w:tcBorders>
            <w:shd w:val="clear" w:color="auto" w:fill="auto"/>
            <w:vAlign w:val="center"/>
            <w:hideMark/>
          </w:tcPr>
          <w:p w14:paraId="50B96FA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0,170</w:t>
            </w:r>
          </w:p>
        </w:tc>
        <w:tc>
          <w:tcPr>
            <w:tcW w:w="1276" w:type="dxa"/>
            <w:tcBorders>
              <w:top w:val="nil"/>
              <w:left w:val="nil"/>
              <w:bottom w:val="single" w:sz="4" w:space="0" w:color="auto"/>
              <w:right w:val="single" w:sz="4" w:space="0" w:color="auto"/>
            </w:tcBorders>
            <w:shd w:val="clear" w:color="auto" w:fill="auto"/>
            <w:vAlign w:val="center"/>
            <w:hideMark/>
          </w:tcPr>
          <w:p w14:paraId="74FE3EE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76" w:type="dxa"/>
            <w:tcBorders>
              <w:top w:val="nil"/>
              <w:left w:val="nil"/>
              <w:bottom w:val="single" w:sz="4" w:space="0" w:color="auto"/>
              <w:right w:val="single" w:sz="4" w:space="0" w:color="auto"/>
            </w:tcBorders>
            <w:shd w:val="clear" w:color="auto" w:fill="auto"/>
            <w:vAlign w:val="center"/>
            <w:hideMark/>
          </w:tcPr>
          <w:p w14:paraId="58C0E65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417" w:type="dxa"/>
            <w:tcBorders>
              <w:top w:val="nil"/>
              <w:left w:val="nil"/>
              <w:bottom w:val="single" w:sz="4" w:space="0" w:color="auto"/>
              <w:right w:val="single" w:sz="4" w:space="0" w:color="auto"/>
            </w:tcBorders>
            <w:shd w:val="clear" w:color="auto" w:fill="auto"/>
            <w:vAlign w:val="center"/>
            <w:hideMark/>
          </w:tcPr>
          <w:p w14:paraId="7B513BC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76" w:type="dxa"/>
            <w:tcBorders>
              <w:top w:val="nil"/>
              <w:left w:val="nil"/>
              <w:bottom w:val="single" w:sz="4" w:space="0" w:color="auto"/>
              <w:right w:val="single" w:sz="4" w:space="0" w:color="auto"/>
            </w:tcBorders>
            <w:shd w:val="clear" w:color="auto" w:fill="auto"/>
            <w:vAlign w:val="center"/>
            <w:hideMark/>
          </w:tcPr>
          <w:p w14:paraId="766FD0A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76" w:type="dxa"/>
            <w:tcBorders>
              <w:top w:val="nil"/>
              <w:left w:val="nil"/>
              <w:bottom w:val="single" w:sz="4" w:space="0" w:color="auto"/>
              <w:right w:val="single" w:sz="4" w:space="0" w:color="auto"/>
            </w:tcBorders>
            <w:shd w:val="clear" w:color="auto" w:fill="auto"/>
            <w:vAlign w:val="center"/>
            <w:hideMark/>
          </w:tcPr>
          <w:p w14:paraId="3AA59FD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76" w:type="dxa"/>
            <w:tcBorders>
              <w:top w:val="nil"/>
              <w:left w:val="nil"/>
              <w:bottom w:val="single" w:sz="4" w:space="0" w:color="auto"/>
              <w:right w:val="single" w:sz="4" w:space="0" w:color="auto"/>
            </w:tcBorders>
            <w:shd w:val="clear" w:color="auto" w:fill="auto"/>
            <w:vAlign w:val="center"/>
            <w:hideMark/>
          </w:tcPr>
          <w:p w14:paraId="7EF0F17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C6C2237"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1,020</w:t>
            </w:r>
          </w:p>
        </w:tc>
      </w:tr>
      <w:tr w:rsidR="005D44AF" w:rsidRPr="00DD1DFA" w14:paraId="618FD3E4"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DB80C8A" w14:textId="77777777" w:rsidR="005D44AF" w:rsidRPr="00DD1DFA" w:rsidRDefault="005D44AF" w:rsidP="005D44AF">
            <w:pPr>
              <w:spacing w:before="0" w:after="0"/>
              <w:jc w:val="left"/>
              <w:rPr>
                <w:rFonts w:ascii="Calibri" w:eastAsia="Times New Roman" w:hAnsi="Calibri"/>
                <w:noProof/>
                <w:color w:val="0000FF"/>
                <w:sz w:val="22"/>
                <w:u w:val="single"/>
              </w:rPr>
            </w:pPr>
            <w:r w:rsidRPr="00DD1DFA">
              <w:rPr>
                <w:rFonts w:ascii="Arial Narrow" w:hAnsi="Arial Narrow"/>
                <w:noProof/>
                <w:sz w:val="20"/>
                <w:szCs w:val="20"/>
              </w:rPr>
              <w:t>20 02 06 03 – Komitety</w:t>
            </w:r>
            <w:r w:rsidRPr="00DD1DFA">
              <w:rPr>
                <w:rStyle w:val="Odwoanieprzypisudolnego"/>
                <w:noProof/>
              </w:rPr>
              <w:footnoteReference w:id="69"/>
            </w:r>
          </w:p>
        </w:tc>
        <w:tc>
          <w:tcPr>
            <w:tcW w:w="1275" w:type="dxa"/>
            <w:tcBorders>
              <w:top w:val="nil"/>
              <w:left w:val="nil"/>
              <w:bottom w:val="single" w:sz="4" w:space="0" w:color="auto"/>
              <w:right w:val="single" w:sz="4" w:space="0" w:color="auto"/>
            </w:tcBorders>
            <w:shd w:val="clear" w:color="auto" w:fill="auto"/>
            <w:vAlign w:val="center"/>
            <w:hideMark/>
          </w:tcPr>
          <w:p w14:paraId="18C615A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239638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EAC5DA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590C1A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D63190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DC44C8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EB8C45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2151FE27"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699C54B2"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5C0B4BB" w14:textId="37B4A1A3"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20 02 06 04 Badania</w:t>
            </w:r>
            <w:r w:rsidR="00DD1DFA" w:rsidRPr="00DD1DFA">
              <w:rPr>
                <w:rFonts w:ascii="Arial Narrow" w:hAnsi="Arial Narrow"/>
                <w:noProof/>
                <w:color w:val="000000"/>
                <w:sz w:val="20"/>
                <w:szCs w:val="20"/>
              </w:rPr>
              <w:t xml:space="preserve"> i</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kon</w:t>
            </w:r>
            <w:r w:rsidRPr="00DD1DFA">
              <w:rPr>
                <w:rFonts w:ascii="Arial Narrow" w:hAnsi="Arial Narrow"/>
                <w:noProof/>
                <w:color w:val="000000"/>
                <w:sz w:val="20"/>
                <w:szCs w:val="20"/>
              </w:rPr>
              <w:t>sultacje</w:t>
            </w:r>
          </w:p>
        </w:tc>
        <w:tc>
          <w:tcPr>
            <w:tcW w:w="1275" w:type="dxa"/>
            <w:tcBorders>
              <w:top w:val="nil"/>
              <w:left w:val="nil"/>
              <w:bottom w:val="single" w:sz="4" w:space="0" w:color="auto"/>
              <w:right w:val="single" w:sz="4" w:space="0" w:color="auto"/>
            </w:tcBorders>
            <w:shd w:val="clear" w:color="auto" w:fill="auto"/>
            <w:vAlign w:val="center"/>
            <w:hideMark/>
          </w:tcPr>
          <w:p w14:paraId="2CE2612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3B5A1E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A11167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C980DF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05C15F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7C48EA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0C32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46AA081"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33603F29"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D6A16B8"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20 04 – Wydatki na IT (zarządzane przez Komisję)</w:t>
            </w:r>
            <w:r w:rsidRPr="00DD1DFA">
              <w:rPr>
                <w:rStyle w:val="Odwoanieprzypisudolnego"/>
                <w:noProof/>
              </w:rPr>
              <w:footnoteReference w:id="70"/>
            </w: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9F6537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9EC755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F5E492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F29EA2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609042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2F2380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15BF37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F97889A"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35575188"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E63C437" w14:textId="1A3FF24E"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Inne linie budżetowe niezwiązane z HR (</w:t>
            </w:r>
            <w:r w:rsidRPr="00DD1DFA">
              <w:rPr>
                <w:rFonts w:ascii="Arial Narrow" w:hAnsi="Arial Narrow"/>
                <w:i/>
                <w:iCs/>
                <w:noProof/>
                <w:color w:val="000000"/>
                <w:sz w:val="20"/>
                <w:szCs w:val="20"/>
              </w:rPr>
              <w:t>proszę określić</w:t>
            </w:r>
            <w:r w:rsidR="00DD1DFA" w:rsidRPr="00DD1DFA">
              <w:rPr>
                <w:rFonts w:ascii="Arial Narrow" w:hAnsi="Arial Narrow"/>
                <w:i/>
                <w:iCs/>
                <w:noProof/>
                <w:color w:val="000000"/>
                <w:sz w:val="20"/>
                <w:szCs w:val="20"/>
              </w:rPr>
              <w:t xml:space="preserve"> w</w:t>
            </w:r>
            <w:r w:rsidR="00DD1DFA">
              <w:rPr>
                <w:rFonts w:ascii="Arial Narrow" w:hAnsi="Arial Narrow"/>
                <w:i/>
                <w:iCs/>
                <w:noProof/>
                <w:color w:val="000000"/>
                <w:sz w:val="20"/>
                <w:szCs w:val="20"/>
              </w:rPr>
              <w:t> </w:t>
            </w:r>
            <w:r w:rsidR="00DD1DFA" w:rsidRPr="00DD1DFA">
              <w:rPr>
                <w:rFonts w:ascii="Arial Narrow" w:hAnsi="Arial Narrow"/>
                <w:i/>
                <w:iCs/>
                <w:noProof/>
                <w:color w:val="000000"/>
                <w:sz w:val="20"/>
                <w:szCs w:val="20"/>
              </w:rPr>
              <w:t>sto</w:t>
            </w:r>
            <w:r w:rsidRPr="00DD1DFA">
              <w:rPr>
                <w:rFonts w:ascii="Arial Narrow" w:hAnsi="Arial Narrow"/>
                <w:i/>
                <w:iCs/>
                <w:noProof/>
                <w:color w:val="000000"/>
                <w:sz w:val="20"/>
                <w:szCs w:val="20"/>
              </w:rPr>
              <w:t>sownych przypadkach</w:t>
            </w:r>
            <w:r w:rsidRPr="00DD1DFA">
              <w:rPr>
                <w:rFonts w:ascii="Arial Narrow" w:hAnsi="Arial Narrow"/>
                <w:noProof/>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246B2DE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ECD9C9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0FC146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1A6C5C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5FF06F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3BBF69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CF0FC0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400FF85"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6D3880E0"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pct25" w:color="CCFFCC" w:fill="EDFFED"/>
            <w:vAlign w:val="center"/>
            <w:hideMark/>
          </w:tcPr>
          <w:p w14:paraId="71DF9B6E" w14:textId="77777777" w:rsidR="005D44AF" w:rsidRPr="00DD1DFA" w:rsidRDefault="005D44AF" w:rsidP="005D44AF">
            <w:pPr>
              <w:spacing w:before="0" w:after="0"/>
              <w:jc w:val="left"/>
              <w:rPr>
                <w:rFonts w:ascii="Arial Narrow" w:eastAsia="Times New Roman" w:hAnsi="Arial Narrow"/>
                <w:b/>
                <w:bCs/>
                <w:noProof/>
                <w:color w:val="008000"/>
                <w:sz w:val="20"/>
                <w:szCs w:val="20"/>
                <w:u w:val="single"/>
              </w:rPr>
            </w:pPr>
            <w:r w:rsidRPr="00DD1DFA">
              <w:rPr>
                <w:rFonts w:ascii="Arial Narrow" w:hAnsi="Arial Narrow"/>
                <w:b/>
                <w:bCs/>
                <w:noProof/>
                <w:color w:val="008000"/>
                <w:sz w:val="20"/>
                <w:szCs w:val="20"/>
                <w:u w:val="single"/>
              </w:rPr>
              <w:t>W delegaturach Unii</w:t>
            </w:r>
          </w:p>
        </w:tc>
        <w:tc>
          <w:tcPr>
            <w:tcW w:w="1275" w:type="dxa"/>
            <w:tcBorders>
              <w:top w:val="nil"/>
              <w:left w:val="nil"/>
              <w:bottom w:val="single" w:sz="4" w:space="0" w:color="auto"/>
              <w:right w:val="single" w:sz="4" w:space="0" w:color="auto"/>
            </w:tcBorders>
            <w:shd w:val="clear" w:color="auto" w:fill="auto"/>
            <w:vAlign w:val="center"/>
            <w:hideMark/>
          </w:tcPr>
          <w:p w14:paraId="2A5AC0A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69E6E1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6F30A0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4D4911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9CE5A4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C69F72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83ACD0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22D8AB83"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0C3BB5DD"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BB50BBC" w14:textId="2C450FC5"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20 02 07 01 – Wydatki na podróże służbowe, konferencje</w:t>
            </w:r>
            <w:r w:rsidR="00DD1DFA" w:rsidRPr="00DD1DFA">
              <w:rPr>
                <w:rFonts w:ascii="Arial Narrow" w:hAnsi="Arial Narrow"/>
                <w:noProof/>
                <w:color w:val="000000"/>
                <w:sz w:val="20"/>
                <w:szCs w:val="20"/>
              </w:rPr>
              <w:t xml:space="preserve"> i</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cel</w:t>
            </w:r>
            <w:r w:rsidRPr="00DD1DFA">
              <w:rPr>
                <w:rFonts w:ascii="Arial Narrow" w:hAnsi="Arial Narrow"/>
                <w:noProof/>
                <w:color w:val="000000"/>
                <w:sz w:val="20"/>
                <w:szCs w:val="20"/>
              </w:rPr>
              <w:t>e reprezentacyjne</w:t>
            </w:r>
          </w:p>
        </w:tc>
        <w:tc>
          <w:tcPr>
            <w:tcW w:w="1275" w:type="dxa"/>
            <w:tcBorders>
              <w:top w:val="nil"/>
              <w:left w:val="nil"/>
              <w:bottom w:val="single" w:sz="4" w:space="0" w:color="auto"/>
              <w:right w:val="single" w:sz="4" w:space="0" w:color="auto"/>
            </w:tcBorders>
            <w:shd w:val="clear" w:color="auto" w:fill="auto"/>
            <w:vAlign w:val="center"/>
            <w:hideMark/>
          </w:tcPr>
          <w:p w14:paraId="5B8FF69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CF43A7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0742D9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404E5F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AF65FB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8C1C20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C3E68E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14A58C1"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1AEF36C5"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9BC9947"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20 02 07 02 – Szkolenia specjalistyczne personelu</w:t>
            </w:r>
          </w:p>
        </w:tc>
        <w:tc>
          <w:tcPr>
            <w:tcW w:w="1275" w:type="dxa"/>
            <w:tcBorders>
              <w:top w:val="nil"/>
              <w:left w:val="nil"/>
              <w:bottom w:val="single" w:sz="4" w:space="0" w:color="auto"/>
              <w:right w:val="single" w:sz="4" w:space="0" w:color="auto"/>
            </w:tcBorders>
            <w:shd w:val="clear" w:color="auto" w:fill="auto"/>
            <w:vAlign w:val="center"/>
            <w:hideMark/>
          </w:tcPr>
          <w:p w14:paraId="0351294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BA8BB7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32CB30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4DDDD0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E743CC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C4BF70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950C0D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A034807"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7E90C4E9"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614F191" w14:textId="530FA95F"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20 03 05 – Infrastruktura</w:t>
            </w:r>
            <w:r w:rsidR="00DD1DFA" w:rsidRPr="00DD1DFA">
              <w:rPr>
                <w:rFonts w:ascii="Arial Narrow" w:hAnsi="Arial Narrow"/>
                <w:noProof/>
                <w:color w:val="000000"/>
                <w:sz w:val="20"/>
                <w:szCs w:val="20"/>
              </w:rPr>
              <w:t xml:space="preserve"> i</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log</w:t>
            </w:r>
            <w:r w:rsidRPr="00DD1DFA">
              <w:rPr>
                <w:rFonts w:ascii="Arial Narrow" w:hAnsi="Arial Narrow"/>
                <w:noProof/>
                <w:color w:val="000000"/>
                <w:sz w:val="20"/>
                <w:szCs w:val="20"/>
              </w:rPr>
              <w:t>istyka</w:t>
            </w:r>
          </w:p>
        </w:tc>
        <w:tc>
          <w:tcPr>
            <w:tcW w:w="1275" w:type="dxa"/>
            <w:tcBorders>
              <w:top w:val="nil"/>
              <w:left w:val="nil"/>
              <w:bottom w:val="single" w:sz="4" w:space="0" w:color="auto"/>
              <w:right w:val="single" w:sz="4" w:space="0" w:color="auto"/>
            </w:tcBorders>
            <w:shd w:val="clear" w:color="auto" w:fill="auto"/>
            <w:vAlign w:val="center"/>
            <w:hideMark/>
          </w:tcPr>
          <w:p w14:paraId="4C8424E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487F0C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E2DEE9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3271C4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E75A32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2008EF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A789ED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072C8DD"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58E9CFA2" w14:textId="77777777" w:rsidTr="00380F0F">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2DF1DF3" w14:textId="1E25B31E"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Inne linie budżetowe niezwiązane z HR (</w:t>
            </w:r>
            <w:r w:rsidRPr="00DD1DFA">
              <w:rPr>
                <w:rFonts w:ascii="Arial Narrow" w:hAnsi="Arial Narrow"/>
                <w:i/>
                <w:iCs/>
                <w:noProof/>
                <w:color w:val="000000"/>
                <w:sz w:val="20"/>
                <w:szCs w:val="20"/>
              </w:rPr>
              <w:t>proszę określić</w:t>
            </w:r>
            <w:r w:rsidR="00DD1DFA" w:rsidRPr="00DD1DFA">
              <w:rPr>
                <w:rFonts w:ascii="Arial Narrow" w:hAnsi="Arial Narrow"/>
                <w:i/>
                <w:iCs/>
                <w:noProof/>
                <w:color w:val="000000"/>
                <w:sz w:val="20"/>
                <w:szCs w:val="20"/>
              </w:rPr>
              <w:t xml:space="preserve"> w</w:t>
            </w:r>
            <w:r w:rsidR="00DD1DFA">
              <w:rPr>
                <w:rFonts w:ascii="Arial Narrow" w:hAnsi="Arial Narrow"/>
                <w:i/>
                <w:iCs/>
                <w:noProof/>
                <w:color w:val="000000"/>
                <w:sz w:val="20"/>
                <w:szCs w:val="20"/>
              </w:rPr>
              <w:t> </w:t>
            </w:r>
            <w:r w:rsidR="00DD1DFA" w:rsidRPr="00DD1DFA">
              <w:rPr>
                <w:rFonts w:ascii="Arial Narrow" w:hAnsi="Arial Narrow"/>
                <w:i/>
                <w:iCs/>
                <w:noProof/>
                <w:color w:val="000000"/>
                <w:sz w:val="20"/>
                <w:szCs w:val="20"/>
              </w:rPr>
              <w:t>sto</w:t>
            </w:r>
            <w:r w:rsidRPr="00DD1DFA">
              <w:rPr>
                <w:rFonts w:ascii="Arial Narrow" w:hAnsi="Arial Narrow"/>
                <w:i/>
                <w:iCs/>
                <w:noProof/>
                <w:color w:val="000000"/>
                <w:sz w:val="20"/>
                <w:szCs w:val="20"/>
              </w:rPr>
              <w:t>sownych przypadkach</w:t>
            </w:r>
            <w:r w:rsidRPr="00DD1DFA">
              <w:rPr>
                <w:rFonts w:ascii="Arial Narrow" w:hAnsi="Arial Narrow"/>
                <w:noProof/>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148CBE2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666E36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430054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14804B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2E9744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11E066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7E7A17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C2B019E"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555C6CEB" w14:textId="77777777" w:rsidTr="00380F0F">
        <w:trPr>
          <w:trHeight w:val="6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F4D66"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Suma cząstkowa, Inne – DZIAŁ 7</w:t>
            </w:r>
          </w:p>
          <w:p w14:paraId="57D909D6"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noProof/>
                <w:color w:val="000000"/>
                <w:sz w:val="22"/>
              </w:rPr>
              <w:t>wieloletnich ram finansowych</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C5B310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0,170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174D50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1D2E3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C8277B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37F78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220EC6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41957B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B47322A"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1,020</w:t>
            </w:r>
          </w:p>
        </w:tc>
      </w:tr>
    </w:tbl>
    <w:p w14:paraId="55CB5048" w14:textId="77777777" w:rsidR="005D44AF" w:rsidRPr="00DD1DFA" w:rsidRDefault="005D44AF" w:rsidP="005D44AF">
      <w:pPr>
        <w:spacing w:before="0" w:after="0"/>
        <w:jc w:val="right"/>
        <w:rPr>
          <w:rFonts w:ascii="Arial Narrow" w:eastAsia="Times New Roman" w:hAnsi="Arial Narrow"/>
          <w:i/>
          <w:noProof/>
          <w:sz w:val="20"/>
          <w:szCs w:val="20"/>
          <w:lang w:eastAsia="en-GB"/>
        </w:rPr>
      </w:pPr>
    </w:p>
    <w:p w14:paraId="73D3BCFC" w14:textId="4090A0C2" w:rsidR="000766D3" w:rsidRPr="00DD1DFA" w:rsidRDefault="000766D3" w:rsidP="000766D3">
      <w:pPr>
        <w:spacing w:before="0" w:after="0"/>
        <w:rPr>
          <w:rFonts w:eastAsia="Times New Roman"/>
          <w:iCs/>
          <w:noProof/>
          <w:sz w:val="18"/>
          <w:szCs w:val="18"/>
        </w:rPr>
      </w:pPr>
      <w:r w:rsidRPr="00DD1DFA">
        <w:rPr>
          <w:noProof/>
          <w:sz w:val="18"/>
          <w:szCs w:val="24"/>
        </w:rPr>
        <w:t>Potrzeby</w:t>
      </w:r>
      <w:r w:rsidR="00DD1DFA" w:rsidRPr="00DD1DFA">
        <w:rPr>
          <w:noProof/>
          <w:sz w:val="18"/>
          <w:szCs w:val="24"/>
        </w:rPr>
        <w:t xml:space="preserve"> w</w:t>
      </w:r>
      <w:r w:rsidR="00DD1DFA">
        <w:rPr>
          <w:noProof/>
          <w:sz w:val="18"/>
          <w:szCs w:val="24"/>
        </w:rPr>
        <w:t> </w:t>
      </w:r>
      <w:r w:rsidR="00DD1DFA" w:rsidRPr="00DD1DFA">
        <w:rPr>
          <w:noProof/>
          <w:sz w:val="18"/>
          <w:szCs w:val="24"/>
        </w:rPr>
        <w:t>zak</w:t>
      </w:r>
      <w:r w:rsidRPr="00DD1DFA">
        <w:rPr>
          <w:noProof/>
          <w:sz w:val="18"/>
          <w:szCs w:val="24"/>
        </w:rPr>
        <w:t>resie środków administracyjnych zostaną pokryte ze środków już przydzielonych na zarządzanie tym działaniem lub przesuniętych, uzupełnionych</w:t>
      </w:r>
      <w:r w:rsidR="00DD1DFA" w:rsidRPr="00DD1DFA">
        <w:rPr>
          <w:noProof/>
          <w:sz w:val="18"/>
          <w:szCs w:val="24"/>
        </w:rPr>
        <w:t xml:space="preserve"> w</w:t>
      </w:r>
      <w:r w:rsidR="00DD1DFA">
        <w:rPr>
          <w:noProof/>
          <w:sz w:val="18"/>
          <w:szCs w:val="24"/>
        </w:rPr>
        <w:t> </w:t>
      </w:r>
      <w:r w:rsidR="00DD1DFA" w:rsidRPr="00DD1DFA">
        <w:rPr>
          <w:noProof/>
          <w:sz w:val="18"/>
          <w:szCs w:val="24"/>
        </w:rPr>
        <w:t>raz</w:t>
      </w:r>
      <w:r w:rsidRPr="00DD1DFA">
        <w:rPr>
          <w:noProof/>
          <w:sz w:val="18"/>
          <w:szCs w:val="24"/>
        </w:rPr>
        <w:t>ie potrzeby wszelkimi dodatkowymi zasobami, które mogą zostać przydzielone zarządzającej dyrekcji generalnej</w:t>
      </w:r>
      <w:r w:rsidR="00DD1DFA" w:rsidRPr="00DD1DFA">
        <w:rPr>
          <w:noProof/>
          <w:sz w:val="18"/>
          <w:szCs w:val="24"/>
        </w:rPr>
        <w:t xml:space="preserve"> w</w:t>
      </w:r>
      <w:r w:rsidR="00DD1DFA">
        <w:rPr>
          <w:noProof/>
          <w:sz w:val="18"/>
          <w:szCs w:val="24"/>
        </w:rPr>
        <w:t> </w:t>
      </w:r>
      <w:r w:rsidR="00DD1DFA" w:rsidRPr="00DD1DFA">
        <w:rPr>
          <w:noProof/>
          <w:sz w:val="18"/>
          <w:szCs w:val="24"/>
        </w:rPr>
        <w:t>ram</w:t>
      </w:r>
      <w:r w:rsidRPr="00DD1DFA">
        <w:rPr>
          <w:noProof/>
          <w:sz w:val="18"/>
          <w:szCs w:val="24"/>
        </w:rPr>
        <w:t>ach procedury rocznego przydziału środków oraz</w:t>
      </w:r>
      <w:r w:rsidR="00DD1DFA" w:rsidRPr="00DD1DFA">
        <w:rPr>
          <w:noProof/>
          <w:sz w:val="18"/>
          <w:szCs w:val="24"/>
        </w:rPr>
        <w:t xml:space="preserve"> w</w:t>
      </w:r>
      <w:r w:rsidR="00DD1DFA">
        <w:rPr>
          <w:noProof/>
          <w:sz w:val="18"/>
          <w:szCs w:val="24"/>
        </w:rPr>
        <w:t> </w:t>
      </w:r>
      <w:r w:rsidR="00DD1DFA" w:rsidRPr="00DD1DFA">
        <w:rPr>
          <w:noProof/>
          <w:sz w:val="18"/>
          <w:szCs w:val="24"/>
        </w:rPr>
        <w:t>świ</w:t>
      </w:r>
      <w:r w:rsidRPr="00DD1DFA">
        <w:rPr>
          <w:noProof/>
          <w:sz w:val="18"/>
          <w:szCs w:val="24"/>
        </w:rPr>
        <w:t>etle istniejących ograniczeń budżetowych.</w:t>
      </w:r>
    </w:p>
    <w:p w14:paraId="1D05FFCB" w14:textId="77777777" w:rsidR="005D44AF" w:rsidRPr="00DD1DFA" w:rsidRDefault="005D44AF" w:rsidP="005D44AF">
      <w:pPr>
        <w:spacing w:before="0" w:after="0"/>
        <w:ind w:right="-496"/>
        <w:jc w:val="left"/>
        <w:rPr>
          <w:rFonts w:ascii="Arial Narrow" w:eastAsia="Times New Roman" w:hAnsi="Arial Narrow"/>
          <w:b/>
          <w:noProof/>
          <w:color w:val="0000FF"/>
          <w:sz w:val="20"/>
          <w:szCs w:val="20"/>
          <w:lang w:eastAsia="en-GB"/>
        </w:rPr>
      </w:pPr>
    </w:p>
    <w:p w14:paraId="0A32C61F" w14:textId="77777777" w:rsidR="005D44AF" w:rsidRPr="00DD1DFA" w:rsidRDefault="005D44AF" w:rsidP="005D44AF">
      <w:pPr>
        <w:spacing w:before="0" w:after="0"/>
        <w:jc w:val="left"/>
        <w:rPr>
          <w:rFonts w:ascii="Arial Narrow" w:eastAsia="Times New Roman" w:hAnsi="Arial Narrow"/>
          <w:b/>
          <w:noProof/>
          <w:color w:val="0000FF"/>
          <w:sz w:val="20"/>
          <w:szCs w:val="20"/>
          <w:lang w:eastAsia="en-GB"/>
        </w:rPr>
      </w:pPr>
    </w:p>
    <w:p w14:paraId="58E74FA7" w14:textId="77777777" w:rsidR="005D44AF" w:rsidRPr="00DD1DFA" w:rsidRDefault="005D44AF" w:rsidP="005D44AF">
      <w:pPr>
        <w:spacing w:before="0" w:after="0"/>
        <w:ind w:right="-496"/>
        <w:jc w:val="right"/>
        <w:rPr>
          <w:rFonts w:eastAsia="Times New Roman"/>
          <w:i/>
          <w:iCs/>
          <w:noProof/>
          <w:sz w:val="20"/>
          <w:szCs w:val="20"/>
        </w:rPr>
      </w:pPr>
      <w:r w:rsidRPr="00DD1DFA">
        <w:rPr>
          <w:i/>
          <w:noProof/>
          <w:sz w:val="20"/>
          <w:szCs w:val="20"/>
        </w:rPr>
        <w:t>w mln EUR (do trzech miejsc po przecinku)</w:t>
      </w:r>
    </w:p>
    <w:tbl>
      <w:tblPr>
        <w:tblW w:w="14670" w:type="dxa"/>
        <w:jc w:val="center"/>
        <w:tblLook w:val="04A0" w:firstRow="1" w:lastRow="0" w:firstColumn="1" w:lastColumn="0" w:noHBand="0" w:noVBand="1"/>
      </w:tblPr>
      <w:tblGrid>
        <w:gridCol w:w="4361"/>
        <w:gridCol w:w="1276"/>
        <w:gridCol w:w="1250"/>
        <w:gridCol w:w="1263"/>
        <w:gridCol w:w="1314"/>
        <w:gridCol w:w="1305"/>
        <w:gridCol w:w="1306"/>
        <w:gridCol w:w="1358"/>
        <w:gridCol w:w="1237"/>
      </w:tblGrid>
      <w:tr w:rsidR="005D44AF" w:rsidRPr="00DD1DFA" w14:paraId="2D4E50BB" w14:textId="77777777" w:rsidTr="00380F0F">
        <w:trPr>
          <w:trHeight w:val="660"/>
          <w:jc w:val="center"/>
        </w:trPr>
        <w:tc>
          <w:tcPr>
            <w:tcW w:w="43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E7A2F1" w14:textId="77777777" w:rsidR="005D44AF" w:rsidRPr="00DD1DFA" w:rsidRDefault="005D44AF" w:rsidP="005D44AF">
            <w:pPr>
              <w:spacing w:before="0" w:after="0"/>
              <w:jc w:val="center"/>
              <w:rPr>
                <w:rFonts w:ascii="Arial Narrow" w:eastAsia="Times New Roman" w:hAnsi="Arial Narrow"/>
                <w:noProof/>
                <w:color w:val="000000"/>
                <w:sz w:val="22"/>
              </w:rPr>
            </w:pPr>
            <w:r w:rsidRPr="00DD1DFA">
              <w:rPr>
                <w:rFonts w:ascii="Arial Narrow" w:hAnsi="Arial Narrow"/>
                <w:b/>
                <w:bCs/>
                <w:noProof/>
                <w:color w:val="000000"/>
                <w:sz w:val="22"/>
              </w:rPr>
              <w:t>Poza DZIAŁEM 7</w:t>
            </w:r>
            <w:r w:rsidRPr="00DD1DFA">
              <w:rPr>
                <w:rFonts w:ascii="Arial Narrow" w:hAnsi="Arial Narrow"/>
                <w:noProof/>
                <w:color w:val="000000"/>
                <w:sz w:val="22"/>
              </w:rPr>
              <w:t xml:space="preserve"> </w:t>
            </w:r>
          </w:p>
          <w:p w14:paraId="1D62D942"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noProof/>
                <w:color w:val="000000"/>
                <w:sz w:val="22"/>
              </w:rPr>
              <w:t>wieloletnich ram finansowych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358D6B"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N</w:t>
            </w:r>
            <w:r w:rsidRPr="00DD1DFA">
              <w:rPr>
                <w:rStyle w:val="Odwoanieprzypisudolnego"/>
                <w:noProof/>
              </w:rPr>
              <w:footnoteReference w:id="71"/>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457F36E9"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N+1</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3C6A57FE"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N+2</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56BE92D3"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N+3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813838A"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N+4</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FAA2BA2"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N+5</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4E58D246"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N+7</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40879AE6"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Ogółem</w:t>
            </w:r>
          </w:p>
        </w:tc>
      </w:tr>
      <w:tr w:rsidR="005D44AF" w:rsidRPr="00DD1DFA" w14:paraId="7CC7F442" w14:textId="77777777" w:rsidTr="00380F0F">
        <w:trPr>
          <w:trHeight w:val="765"/>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14:paraId="307BF458" w14:textId="174217E5"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Wydatki na pomoc techniczną</w:t>
            </w:r>
            <w:r w:rsidR="00DD1DFA" w:rsidRPr="00DD1DFA">
              <w:rPr>
                <w:rFonts w:ascii="Arial Narrow" w:hAnsi="Arial Narrow"/>
                <w:noProof/>
                <w:color w:val="000000"/>
                <w:sz w:val="20"/>
                <w:szCs w:val="20"/>
              </w:rPr>
              <w:t xml:space="preserve"> i</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adm</w:t>
            </w:r>
            <w:r w:rsidRPr="00DD1DFA">
              <w:rPr>
                <w:rFonts w:ascii="Arial Narrow" w:hAnsi="Arial Narrow"/>
                <w:noProof/>
                <w:color w:val="000000"/>
                <w:sz w:val="20"/>
                <w:szCs w:val="20"/>
              </w:rPr>
              <w:t>inistracyjną (</w:t>
            </w:r>
            <w:r w:rsidRPr="00DD1DFA">
              <w:rPr>
                <w:rFonts w:ascii="Arial Narrow" w:hAnsi="Arial Narrow"/>
                <w:noProof/>
                <w:color w:val="000000"/>
                <w:sz w:val="20"/>
                <w:szCs w:val="20"/>
                <w:u w:val="single"/>
              </w:rPr>
              <w:t>oprócz</w:t>
            </w:r>
            <w:r w:rsidRPr="00DD1DFA">
              <w:rPr>
                <w:rFonts w:ascii="Arial Narrow" w:hAnsi="Arial Narrow"/>
                <w:noProof/>
                <w:color w:val="000000"/>
                <w:sz w:val="20"/>
                <w:szCs w:val="20"/>
              </w:rPr>
              <w:t xml:space="preserve"> personelu zewnętrznego) ze środków operacyjnych (dawne linie „BA”):</w:t>
            </w:r>
          </w:p>
        </w:tc>
        <w:tc>
          <w:tcPr>
            <w:tcW w:w="1276" w:type="dxa"/>
            <w:tcBorders>
              <w:top w:val="nil"/>
              <w:left w:val="nil"/>
              <w:bottom w:val="single" w:sz="4" w:space="0" w:color="auto"/>
              <w:right w:val="single" w:sz="4" w:space="0" w:color="auto"/>
            </w:tcBorders>
            <w:shd w:val="clear" w:color="auto" w:fill="auto"/>
            <w:vAlign w:val="center"/>
            <w:hideMark/>
          </w:tcPr>
          <w:p w14:paraId="1E59A8B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50" w:type="dxa"/>
            <w:tcBorders>
              <w:top w:val="nil"/>
              <w:left w:val="nil"/>
              <w:bottom w:val="single" w:sz="4" w:space="0" w:color="auto"/>
              <w:right w:val="single" w:sz="4" w:space="0" w:color="auto"/>
            </w:tcBorders>
            <w:shd w:val="clear" w:color="auto" w:fill="auto"/>
            <w:vAlign w:val="center"/>
            <w:hideMark/>
          </w:tcPr>
          <w:p w14:paraId="70AA38A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63" w:type="dxa"/>
            <w:tcBorders>
              <w:top w:val="nil"/>
              <w:left w:val="nil"/>
              <w:bottom w:val="single" w:sz="4" w:space="0" w:color="auto"/>
              <w:right w:val="single" w:sz="4" w:space="0" w:color="auto"/>
            </w:tcBorders>
            <w:shd w:val="clear" w:color="auto" w:fill="auto"/>
            <w:vAlign w:val="center"/>
            <w:hideMark/>
          </w:tcPr>
          <w:p w14:paraId="4D4CB6D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14" w:type="dxa"/>
            <w:tcBorders>
              <w:top w:val="nil"/>
              <w:left w:val="nil"/>
              <w:bottom w:val="single" w:sz="4" w:space="0" w:color="auto"/>
              <w:right w:val="single" w:sz="4" w:space="0" w:color="auto"/>
            </w:tcBorders>
            <w:shd w:val="clear" w:color="auto" w:fill="auto"/>
            <w:vAlign w:val="center"/>
            <w:hideMark/>
          </w:tcPr>
          <w:p w14:paraId="130F0AE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5" w:type="dxa"/>
            <w:tcBorders>
              <w:top w:val="nil"/>
              <w:left w:val="nil"/>
              <w:bottom w:val="single" w:sz="4" w:space="0" w:color="auto"/>
              <w:right w:val="single" w:sz="4" w:space="0" w:color="auto"/>
            </w:tcBorders>
            <w:shd w:val="clear" w:color="auto" w:fill="auto"/>
            <w:vAlign w:val="center"/>
            <w:hideMark/>
          </w:tcPr>
          <w:p w14:paraId="4323287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6" w:type="dxa"/>
            <w:tcBorders>
              <w:top w:val="nil"/>
              <w:left w:val="nil"/>
              <w:bottom w:val="single" w:sz="4" w:space="0" w:color="auto"/>
              <w:right w:val="single" w:sz="4" w:space="0" w:color="auto"/>
            </w:tcBorders>
            <w:shd w:val="clear" w:color="auto" w:fill="auto"/>
            <w:vAlign w:val="center"/>
            <w:hideMark/>
          </w:tcPr>
          <w:p w14:paraId="36D485E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1221772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37" w:type="dxa"/>
            <w:tcBorders>
              <w:top w:val="nil"/>
              <w:left w:val="nil"/>
              <w:bottom w:val="single" w:sz="4" w:space="0" w:color="auto"/>
              <w:right w:val="single" w:sz="4" w:space="0" w:color="auto"/>
            </w:tcBorders>
            <w:shd w:val="clear" w:color="auto" w:fill="auto"/>
            <w:vAlign w:val="center"/>
            <w:hideMark/>
          </w:tcPr>
          <w:p w14:paraId="28E538FC"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162C68AA" w14:textId="77777777" w:rsidTr="00380F0F">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14:paraId="1DF28A94" w14:textId="31EEA506" w:rsidR="005D44AF" w:rsidRPr="00DD1DFA" w:rsidRDefault="005D44AF" w:rsidP="005D44AF">
            <w:pPr>
              <w:spacing w:before="0" w:after="0"/>
              <w:ind w:firstLineChars="100" w:firstLine="20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w:t>
            </w:r>
            <w:r w:rsidR="00DD1DFA" w:rsidRPr="00DD1DFA">
              <w:rPr>
                <w:rFonts w:ascii="Arial Narrow" w:hAnsi="Arial Narrow"/>
                <w:noProof/>
                <w:color w:val="000000"/>
                <w:sz w:val="20"/>
                <w:szCs w:val="20"/>
              </w:rPr>
              <w:t xml:space="preserve"> 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cen</w:t>
            </w:r>
            <w:r w:rsidRPr="00DD1DFA">
              <w:rPr>
                <w:rFonts w:ascii="Arial Narrow" w:hAnsi="Arial Narrow"/>
                <w:noProof/>
                <w:color w:val="000000"/>
                <w:sz w:val="20"/>
                <w:szCs w:val="20"/>
              </w:rPr>
              <w:t>trali</w:t>
            </w:r>
          </w:p>
        </w:tc>
        <w:tc>
          <w:tcPr>
            <w:tcW w:w="1276" w:type="dxa"/>
            <w:tcBorders>
              <w:top w:val="nil"/>
              <w:left w:val="nil"/>
              <w:bottom w:val="single" w:sz="4" w:space="0" w:color="auto"/>
              <w:right w:val="single" w:sz="4" w:space="0" w:color="auto"/>
            </w:tcBorders>
            <w:shd w:val="clear" w:color="auto" w:fill="auto"/>
            <w:vAlign w:val="center"/>
            <w:hideMark/>
          </w:tcPr>
          <w:p w14:paraId="7CBB1A5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50" w:type="dxa"/>
            <w:tcBorders>
              <w:top w:val="nil"/>
              <w:left w:val="nil"/>
              <w:bottom w:val="single" w:sz="4" w:space="0" w:color="auto"/>
              <w:right w:val="single" w:sz="4" w:space="0" w:color="auto"/>
            </w:tcBorders>
            <w:shd w:val="clear" w:color="auto" w:fill="auto"/>
            <w:vAlign w:val="center"/>
            <w:hideMark/>
          </w:tcPr>
          <w:p w14:paraId="30ED8B5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63" w:type="dxa"/>
            <w:tcBorders>
              <w:top w:val="nil"/>
              <w:left w:val="nil"/>
              <w:bottom w:val="single" w:sz="4" w:space="0" w:color="auto"/>
              <w:right w:val="single" w:sz="4" w:space="0" w:color="auto"/>
            </w:tcBorders>
            <w:shd w:val="clear" w:color="auto" w:fill="auto"/>
            <w:vAlign w:val="center"/>
            <w:hideMark/>
          </w:tcPr>
          <w:p w14:paraId="2408450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14" w:type="dxa"/>
            <w:tcBorders>
              <w:top w:val="nil"/>
              <w:left w:val="nil"/>
              <w:bottom w:val="single" w:sz="4" w:space="0" w:color="auto"/>
              <w:right w:val="single" w:sz="4" w:space="0" w:color="auto"/>
            </w:tcBorders>
            <w:shd w:val="clear" w:color="auto" w:fill="auto"/>
            <w:vAlign w:val="center"/>
            <w:hideMark/>
          </w:tcPr>
          <w:p w14:paraId="6C4CFA0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5" w:type="dxa"/>
            <w:tcBorders>
              <w:top w:val="nil"/>
              <w:left w:val="nil"/>
              <w:bottom w:val="single" w:sz="4" w:space="0" w:color="auto"/>
              <w:right w:val="single" w:sz="4" w:space="0" w:color="auto"/>
            </w:tcBorders>
            <w:shd w:val="clear" w:color="auto" w:fill="auto"/>
            <w:vAlign w:val="center"/>
            <w:hideMark/>
          </w:tcPr>
          <w:p w14:paraId="601FD7B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6" w:type="dxa"/>
            <w:tcBorders>
              <w:top w:val="nil"/>
              <w:left w:val="nil"/>
              <w:bottom w:val="single" w:sz="4" w:space="0" w:color="auto"/>
              <w:right w:val="single" w:sz="4" w:space="0" w:color="auto"/>
            </w:tcBorders>
            <w:shd w:val="clear" w:color="auto" w:fill="auto"/>
            <w:vAlign w:val="center"/>
            <w:hideMark/>
          </w:tcPr>
          <w:p w14:paraId="40A49D1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062A777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37" w:type="dxa"/>
            <w:tcBorders>
              <w:top w:val="nil"/>
              <w:left w:val="nil"/>
              <w:bottom w:val="single" w:sz="4" w:space="0" w:color="auto"/>
              <w:right w:val="single" w:sz="4" w:space="0" w:color="auto"/>
            </w:tcBorders>
            <w:shd w:val="clear" w:color="auto" w:fill="auto"/>
            <w:vAlign w:val="center"/>
            <w:hideMark/>
          </w:tcPr>
          <w:p w14:paraId="26368F83"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12E3A960" w14:textId="77777777" w:rsidTr="00380F0F">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14:paraId="40B7ED97" w14:textId="69CE9B60" w:rsidR="005D44AF" w:rsidRPr="00DD1DFA" w:rsidRDefault="005D44AF" w:rsidP="00107FE3">
            <w:pPr>
              <w:spacing w:before="0" w:after="0"/>
              <w:ind w:firstLineChars="100" w:firstLine="20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w:t>
            </w:r>
            <w:r w:rsidR="00DD1DFA" w:rsidRPr="00DD1DFA">
              <w:rPr>
                <w:rFonts w:ascii="Arial Narrow" w:hAnsi="Arial Narrow"/>
                <w:noProof/>
                <w:color w:val="000000"/>
                <w:sz w:val="20"/>
                <w:szCs w:val="20"/>
              </w:rPr>
              <w:t xml:space="preserve"> 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del</w:t>
            </w:r>
            <w:r w:rsidRPr="00DD1DFA">
              <w:rPr>
                <w:rFonts w:ascii="Arial Narrow" w:hAnsi="Arial Narrow"/>
                <w:noProof/>
                <w:color w:val="000000"/>
                <w:sz w:val="20"/>
                <w:szCs w:val="20"/>
              </w:rPr>
              <w:t>egaturach Unii</w:t>
            </w:r>
          </w:p>
        </w:tc>
        <w:tc>
          <w:tcPr>
            <w:tcW w:w="1276" w:type="dxa"/>
            <w:tcBorders>
              <w:top w:val="nil"/>
              <w:left w:val="nil"/>
              <w:bottom w:val="single" w:sz="4" w:space="0" w:color="auto"/>
              <w:right w:val="single" w:sz="4" w:space="0" w:color="auto"/>
            </w:tcBorders>
            <w:shd w:val="clear" w:color="auto" w:fill="auto"/>
            <w:vAlign w:val="center"/>
            <w:hideMark/>
          </w:tcPr>
          <w:p w14:paraId="6B229DA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50" w:type="dxa"/>
            <w:tcBorders>
              <w:top w:val="nil"/>
              <w:left w:val="nil"/>
              <w:bottom w:val="single" w:sz="4" w:space="0" w:color="auto"/>
              <w:right w:val="single" w:sz="4" w:space="0" w:color="auto"/>
            </w:tcBorders>
            <w:shd w:val="clear" w:color="auto" w:fill="auto"/>
            <w:vAlign w:val="center"/>
            <w:hideMark/>
          </w:tcPr>
          <w:p w14:paraId="2A07342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63" w:type="dxa"/>
            <w:tcBorders>
              <w:top w:val="nil"/>
              <w:left w:val="nil"/>
              <w:bottom w:val="single" w:sz="4" w:space="0" w:color="auto"/>
              <w:right w:val="single" w:sz="4" w:space="0" w:color="auto"/>
            </w:tcBorders>
            <w:shd w:val="clear" w:color="auto" w:fill="auto"/>
            <w:vAlign w:val="center"/>
            <w:hideMark/>
          </w:tcPr>
          <w:p w14:paraId="7167F12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14" w:type="dxa"/>
            <w:tcBorders>
              <w:top w:val="nil"/>
              <w:left w:val="nil"/>
              <w:bottom w:val="single" w:sz="4" w:space="0" w:color="auto"/>
              <w:right w:val="single" w:sz="4" w:space="0" w:color="auto"/>
            </w:tcBorders>
            <w:shd w:val="clear" w:color="auto" w:fill="auto"/>
            <w:vAlign w:val="center"/>
            <w:hideMark/>
          </w:tcPr>
          <w:p w14:paraId="3B9BB8E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5" w:type="dxa"/>
            <w:tcBorders>
              <w:top w:val="nil"/>
              <w:left w:val="nil"/>
              <w:bottom w:val="single" w:sz="4" w:space="0" w:color="auto"/>
              <w:right w:val="single" w:sz="4" w:space="0" w:color="auto"/>
            </w:tcBorders>
            <w:shd w:val="clear" w:color="auto" w:fill="auto"/>
            <w:vAlign w:val="center"/>
            <w:hideMark/>
          </w:tcPr>
          <w:p w14:paraId="6011CF22"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6" w:type="dxa"/>
            <w:tcBorders>
              <w:top w:val="nil"/>
              <w:left w:val="nil"/>
              <w:bottom w:val="single" w:sz="4" w:space="0" w:color="auto"/>
              <w:right w:val="single" w:sz="4" w:space="0" w:color="auto"/>
            </w:tcBorders>
            <w:shd w:val="clear" w:color="auto" w:fill="auto"/>
            <w:vAlign w:val="center"/>
            <w:hideMark/>
          </w:tcPr>
          <w:p w14:paraId="26443B4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22A3945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37" w:type="dxa"/>
            <w:tcBorders>
              <w:top w:val="nil"/>
              <w:left w:val="nil"/>
              <w:bottom w:val="single" w:sz="4" w:space="0" w:color="auto"/>
              <w:right w:val="single" w:sz="4" w:space="0" w:color="auto"/>
            </w:tcBorders>
            <w:shd w:val="clear" w:color="auto" w:fill="auto"/>
            <w:vAlign w:val="center"/>
            <w:hideMark/>
          </w:tcPr>
          <w:p w14:paraId="787DF317"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39FEE6FF" w14:textId="77777777" w:rsidTr="00380F0F">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14:paraId="42E590A1" w14:textId="0FE98512"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Inne wydatki na zarządzanie</w:t>
            </w:r>
            <w:r w:rsidR="00DD1DFA" w:rsidRPr="00DD1DFA">
              <w:rPr>
                <w:rFonts w:ascii="Arial Narrow" w:hAnsi="Arial Narrow"/>
                <w:noProof/>
                <w:color w:val="000000"/>
                <w:sz w:val="20"/>
                <w:szCs w:val="20"/>
              </w:rPr>
              <w:t xml:space="preserve"> w</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dzi</w:t>
            </w:r>
            <w:r w:rsidRPr="00DD1DFA">
              <w:rPr>
                <w:rFonts w:ascii="Arial Narrow" w:hAnsi="Arial Narrow"/>
                <w:noProof/>
                <w:color w:val="000000"/>
                <w:sz w:val="20"/>
                <w:szCs w:val="20"/>
              </w:rPr>
              <w:t>edzinie badań</w:t>
            </w:r>
          </w:p>
        </w:tc>
        <w:tc>
          <w:tcPr>
            <w:tcW w:w="1276" w:type="dxa"/>
            <w:tcBorders>
              <w:top w:val="nil"/>
              <w:left w:val="nil"/>
              <w:bottom w:val="single" w:sz="4" w:space="0" w:color="auto"/>
              <w:right w:val="single" w:sz="4" w:space="0" w:color="auto"/>
            </w:tcBorders>
            <w:shd w:val="clear" w:color="auto" w:fill="auto"/>
            <w:vAlign w:val="center"/>
            <w:hideMark/>
          </w:tcPr>
          <w:p w14:paraId="7BEA58A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50" w:type="dxa"/>
            <w:tcBorders>
              <w:top w:val="nil"/>
              <w:left w:val="nil"/>
              <w:bottom w:val="single" w:sz="4" w:space="0" w:color="auto"/>
              <w:right w:val="single" w:sz="4" w:space="0" w:color="auto"/>
            </w:tcBorders>
            <w:shd w:val="clear" w:color="auto" w:fill="auto"/>
            <w:vAlign w:val="center"/>
            <w:hideMark/>
          </w:tcPr>
          <w:p w14:paraId="6857517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63" w:type="dxa"/>
            <w:tcBorders>
              <w:top w:val="nil"/>
              <w:left w:val="nil"/>
              <w:bottom w:val="single" w:sz="4" w:space="0" w:color="auto"/>
              <w:right w:val="single" w:sz="4" w:space="0" w:color="auto"/>
            </w:tcBorders>
            <w:shd w:val="clear" w:color="auto" w:fill="auto"/>
            <w:vAlign w:val="center"/>
            <w:hideMark/>
          </w:tcPr>
          <w:p w14:paraId="78DDEE0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14" w:type="dxa"/>
            <w:tcBorders>
              <w:top w:val="nil"/>
              <w:left w:val="nil"/>
              <w:bottom w:val="single" w:sz="4" w:space="0" w:color="auto"/>
              <w:right w:val="single" w:sz="4" w:space="0" w:color="auto"/>
            </w:tcBorders>
            <w:shd w:val="clear" w:color="auto" w:fill="auto"/>
            <w:vAlign w:val="center"/>
            <w:hideMark/>
          </w:tcPr>
          <w:p w14:paraId="750105D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5" w:type="dxa"/>
            <w:tcBorders>
              <w:top w:val="nil"/>
              <w:left w:val="nil"/>
              <w:bottom w:val="single" w:sz="4" w:space="0" w:color="auto"/>
              <w:right w:val="single" w:sz="4" w:space="0" w:color="auto"/>
            </w:tcBorders>
            <w:shd w:val="clear" w:color="auto" w:fill="auto"/>
            <w:vAlign w:val="center"/>
            <w:hideMark/>
          </w:tcPr>
          <w:p w14:paraId="4349E2A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6" w:type="dxa"/>
            <w:tcBorders>
              <w:top w:val="nil"/>
              <w:left w:val="nil"/>
              <w:bottom w:val="single" w:sz="4" w:space="0" w:color="auto"/>
              <w:right w:val="single" w:sz="4" w:space="0" w:color="auto"/>
            </w:tcBorders>
            <w:shd w:val="clear" w:color="auto" w:fill="auto"/>
            <w:vAlign w:val="center"/>
            <w:hideMark/>
          </w:tcPr>
          <w:p w14:paraId="0488B02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0ADB9F3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37" w:type="dxa"/>
            <w:tcBorders>
              <w:top w:val="nil"/>
              <w:left w:val="nil"/>
              <w:bottom w:val="single" w:sz="4" w:space="0" w:color="auto"/>
              <w:right w:val="single" w:sz="4" w:space="0" w:color="auto"/>
            </w:tcBorders>
            <w:shd w:val="clear" w:color="auto" w:fill="auto"/>
            <w:vAlign w:val="center"/>
            <w:hideMark/>
          </w:tcPr>
          <w:p w14:paraId="2676E368"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1066DB60" w14:textId="77777777" w:rsidTr="00380F0F">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tcPr>
          <w:p w14:paraId="02F092CA" w14:textId="3433FEC8"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Wydatki na IT wynikające</w:t>
            </w:r>
            <w:r w:rsidR="00DD1DFA" w:rsidRPr="00DD1DFA">
              <w:rPr>
                <w:rFonts w:ascii="Arial Narrow" w:hAnsi="Arial Narrow"/>
                <w:noProof/>
                <w:color w:val="000000"/>
                <w:sz w:val="20"/>
                <w:szCs w:val="20"/>
              </w:rPr>
              <w:t xml:space="preserve"> z</w:t>
            </w:r>
            <w:r w:rsidR="00DD1DFA">
              <w:rPr>
                <w:rFonts w:ascii="Arial Narrow" w:hAnsi="Arial Narrow"/>
                <w:noProof/>
                <w:color w:val="000000"/>
                <w:sz w:val="20"/>
                <w:szCs w:val="20"/>
              </w:rPr>
              <w:t> </w:t>
            </w:r>
            <w:r w:rsidR="00DD1DFA" w:rsidRPr="00DD1DFA">
              <w:rPr>
                <w:rFonts w:ascii="Arial Narrow" w:hAnsi="Arial Narrow"/>
                <w:noProof/>
                <w:color w:val="000000"/>
                <w:sz w:val="20"/>
                <w:szCs w:val="20"/>
              </w:rPr>
              <w:t>rea</w:t>
            </w:r>
            <w:r w:rsidRPr="00DD1DFA">
              <w:rPr>
                <w:rFonts w:ascii="Arial Narrow" w:hAnsi="Arial Narrow"/>
                <w:noProof/>
                <w:color w:val="000000"/>
                <w:sz w:val="20"/>
                <w:szCs w:val="20"/>
              </w:rPr>
              <w:t>lizacji polityki tytułem programów operacyjnych</w:t>
            </w:r>
            <w:r w:rsidRPr="00DD1DFA">
              <w:rPr>
                <w:rStyle w:val="Odwoanieprzypisudolnego"/>
                <w:noProof/>
              </w:rPr>
              <w:footnoteReference w:id="72"/>
            </w:r>
            <w:r w:rsidRPr="00DD1DFA">
              <w:rPr>
                <w:rFonts w:ascii="Arial Narrow" w:hAnsi="Arial Narrow"/>
                <w:noProof/>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14:paraId="623C142A"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250" w:type="dxa"/>
            <w:tcBorders>
              <w:top w:val="nil"/>
              <w:left w:val="nil"/>
              <w:bottom w:val="single" w:sz="4" w:space="0" w:color="auto"/>
              <w:right w:val="single" w:sz="4" w:space="0" w:color="auto"/>
            </w:tcBorders>
            <w:shd w:val="clear" w:color="auto" w:fill="auto"/>
            <w:vAlign w:val="center"/>
          </w:tcPr>
          <w:p w14:paraId="35DE85B9"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263" w:type="dxa"/>
            <w:tcBorders>
              <w:top w:val="nil"/>
              <w:left w:val="nil"/>
              <w:bottom w:val="single" w:sz="4" w:space="0" w:color="auto"/>
              <w:right w:val="single" w:sz="4" w:space="0" w:color="auto"/>
            </w:tcBorders>
            <w:shd w:val="clear" w:color="auto" w:fill="auto"/>
            <w:vAlign w:val="center"/>
          </w:tcPr>
          <w:p w14:paraId="34BCDB5B"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14" w:type="dxa"/>
            <w:tcBorders>
              <w:top w:val="nil"/>
              <w:left w:val="nil"/>
              <w:bottom w:val="single" w:sz="4" w:space="0" w:color="auto"/>
              <w:right w:val="single" w:sz="4" w:space="0" w:color="auto"/>
            </w:tcBorders>
            <w:shd w:val="clear" w:color="auto" w:fill="auto"/>
            <w:vAlign w:val="center"/>
          </w:tcPr>
          <w:p w14:paraId="4C380108"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05" w:type="dxa"/>
            <w:tcBorders>
              <w:top w:val="nil"/>
              <w:left w:val="nil"/>
              <w:bottom w:val="single" w:sz="4" w:space="0" w:color="auto"/>
              <w:right w:val="single" w:sz="4" w:space="0" w:color="auto"/>
            </w:tcBorders>
            <w:shd w:val="clear" w:color="auto" w:fill="auto"/>
            <w:vAlign w:val="center"/>
          </w:tcPr>
          <w:p w14:paraId="1B8C7AFB"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06" w:type="dxa"/>
            <w:tcBorders>
              <w:top w:val="nil"/>
              <w:left w:val="nil"/>
              <w:bottom w:val="single" w:sz="4" w:space="0" w:color="auto"/>
              <w:right w:val="single" w:sz="4" w:space="0" w:color="auto"/>
            </w:tcBorders>
            <w:shd w:val="clear" w:color="auto" w:fill="auto"/>
            <w:vAlign w:val="center"/>
          </w:tcPr>
          <w:p w14:paraId="7756B850"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58" w:type="dxa"/>
            <w:tcBorders>
              <w:top w:val="nil"/>
              <w:left w:val="nil"/>
              <w:bottom w:val="single" w:sz="4" w:space="0" w:color="auto"/>
              <w:right w:val="single" w:sz="4" w:space="0" w:color="auto"/>
            </w:tcBorders>
            <w:shd w:val="clear" w:color="auto" w:fill="auto"/>
            <w:vAlign w:val="center"/>
          </w:tcPr>
          <w:p w14:paraId="54E9B9B1"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237" w:type="dxa"/>
            <w:tcBorders>
              <w:top w:val="nil"/>
              <w:left w:val="nil"/>
              <w:bottom w:val="single" w:sz="4" w:space="0" w:color="auto"/>
              <w:right w:val="single" w:sz="4" w:space="0" w:color="auto"/>
            </w:tcBorders>
            <w:shd w:val="clear" w:color="auto" w:fill="auto"/>
            <w:vAlign w:val="center"/>
          </w:tcPr>
          <w:p w14:paraId="2585930B" w14:textId="77777777" w:rsidR="005D44AF" w:rsidRPr="00DD1DFA" w:rsidRDefault="005D44AF" w:rsidP="005D44AF">
            <w:pPr>
              <w:spacing w:before="0" w:after="0"/>
              <w:jc w:val="center"/>
              <w:rPr>
                <w:rFonts w:ascii="Arial Narrow" w:eastAsia="Times New Roman" w:hAnsi="Arial Narrow"/>
                <w:b/>
                <w:bCs/>
                <w:noProof/>
                <w:color w:val="000000"/>
                <w:sz w:val="20"/>
                <w:szCs w:val="20"/>
                <w:lang w:eastAsia="en-GB"/>
              </w:rPr>
            </w:pPr>
          </w:p>
        </w:tc>
      </w:tr>
      <w:tr w:rsidR="005D44AF" w:rsidRPr="00DD1DFA" w14:paraId="5F54E8AB" w14:textId="77777777" w:rsidTr="00380F0F">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tcPr>
          <w:p w14:paraId="54FAA533"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Wydatki na instytucjonalne systemy IT tytułem programów operacyjnych</w:t>
            </w:r>
            <w:r w:rsidRPr="00DD1DFA">
              <w:rPr>
                <w:rStyle w:val="Odwoanieprzypisudolnego"/>
                <w:noProof/>
              </w:rPr>
              <w:footnoteReference w:id="73"/>
            </w:r>
          </w:p>
        </w:tc>
        <w:tc>
          <w:tcPr>
            <w:tcW w:w="1276" w:type="dxa"/>
            <w:tcBorders>
              <w:top w:val="nil"/>
              <w:left w:val="nil"/>
              <w:bottom w:val="single" w:sz="4" w:space="0" w:color="auto"/>
              <w:right w:val="single" w:sz="4" w:space="0" w:color="auto"/>
            </w:tcBorders>
            <w:shd w:val="clear" w:color="auto" w:fill="auto"/>
            <w:vAlign w:val="center"/>
          </w:tcPr>
          <w:p w14:paraId="2EA07FA1"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250" w:type="dxa"/>
            <w:tcBorders>
              <w:top w:val="nil"/>
              <w:left w:val="nil"/>
              <w:bottom w:val="single" w:sz="4" w:space="0" w:color="auto"/>
              <w:right w:val="single" w:sz="4" w:space="0" w:color="auto"/>
            </w:tcBorders>
            <w:shd w:val="clear" w:color="auto" w:fill="auto"/>
            <w:vAlign w:val="center"/>
          </w:tcPr>
          <w:p w14:paraId="5E4CFEC1"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263" w:type="dxa"/>
            <w:tcBorders>
              <w:top w:val="nil"/>
              <w:left w:val="nil"/>
              <w:bottom w:val="single" w:sz="4" w:space="0" w:color="auto"/>
              <w:right w:val="single" w:sz="4" w:space="0" w:color="auto"/>
            </w:tcBorders>
            <w:shd w:val="clear" w:color="auto" w:fill="auto"/>
            <w:vAlign w:val="center"/>
          </w:tcPr>
          <w:p w14:paraId="4AD625F4"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14" w:type="dxa"/>
            <w:tcBorders>
              <w:top w:val="nil"/>
              <w:left w:val="nil"/>
              <w:bottom w:val="single" w:sz="4" w:space="0" w:color="auto"/>
              <w:right w:val="single" w:sz="4" w:space="0" w:color="auto"/>
            </w:tcBorders>
            <w:shd w:val="clear" w:color="auto" w:fill="auto"/>
            <w:vAlign w:val="center"/>
          </w:tcPr>
          <w:p w14:paraId="147AD470"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05" w:type="dxa"/>
            <w:tcBorders>
              <w:top w:val="nil"/>
              <w:left w:val="nil"/>
              <w:bottom w:val="single" w:sz="4" w:space="0" w:color="auto"/>
              <w:right w:val="single" w:sz="4" w:space="0" w:color="auto"/>
            </w:tcBorders>
            <w:shd w:val="clear" w:color="auto" w:fill="auto"/>
            <w:vAlign w:val="center"/>
          </w:tcPr>
          <w:p w14:paraId="47349B83"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06" w:type="dxa"/>
            <w:tcBorders>
              <w:top w:val="nil"/>
              <w:left w:val="nil"/>
              <w:bottom w:val="single" w:sz="4" w:space="0" w:color="auto"/>
              <w:right w:val="single" w:sz="4" w:space="0" w:color="auto"/>
            </w:tcBorders>
            <w:shd w:val="clear" w:color="auto" w:fill="auto"/>
            <w:vAlign w:val="center"/>
          </w:tcPr>
          <w:p w14:paraId="483ECDBA"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58" w:type="dxa"/>
            <w:tcBorders>
              <w:top w:val="nil"/>
              <w:left w:val="nil"/>
              <w:bottom w:val="single" w:sz="4" w:space="0" w:color="auto"/>
              <w:right w:val="single" w:sz="4" w:space="0" w:color="auto"/>
            </w:tcBorders>
            <w:shd w:val="clear" w:color="auto" w:fill="auto"/>
            <w:vAlign w:val="center"/>
          </w:tcPr>
          <w:p w14:paraId="2C6729F2"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237" w:type="dxa"/>
            <w:tcBorders>
              <w:top w:val="nil"/>
              <w:left w:val="nil"/>
              <w:bottom w:val="single" w:sz="4" w:space="0" w:color="auto"/>
              <w:right w:val="single" w:sz="4" w:space="0" w:color="auto"/>
            </w:tcBorders>
            <w:shd w:val="clear" w:color="auto" w:fill="auto"/>
            <w:vAlign w:val="center"/>
          </w:tcPr>
          <w:p w14:paraId="0CC0E66F" w14:textId="77777777" w:rsidR="005D44AF" w:rsidRPr="00DD1DFA" w:rsidRDefault="005D44AF" w:rsidP="005D44AF">
            <w:pPr>
              <w:spacing w:before="0" w:after="0"/>
              <w:jc w:val="center"/>
              <w:rPr>
                <w:rFonts w:ascii="Arial Narrow" w:eastAsia="Times New Roman" w:hAnsi="Arial Narrow"/>
                <w:b/>
                <w:bCs/>
                <w:noProof/>
                <w:color w:val="000000"/>
                <w:sz w:val="20"/>
                <w:szCs w:val="20"/>
                <w:lang w:eastAsia="en-GB"/>
              </w:rPr>
            </w:pPr>
          </w:p>
        </w:tc>
      </w:tr>
      <w:tr w:rsidR="005D44AF" w:rsidRPr="00DD1DFA" w14:paraId="4B71EA51" w14:textId="77777777" w:rsidTr="00380F0F">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14:paraId="576ED8BD" w14:textId="58463B81"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Inne linie budżetowe niezwiązane z HR (</w:t>
            </w:r>
            <w:r w:rsidRPr="00DD1DFA">
              <w:rPr>
                <w:rFonts w:ascii="Arial Narrow" w:hAnsi="Arial Narrow"/>
                <w:i/>
                <w:iCs/>
                <w:noProof/>
                <w:color w:val="000000"/>
                <w:sz w:val="20"/>
                <w:szCs w:val="20"/>
              </w:rPr>
              <w:t>proszę określić</w:t>
            </w:r>
            <w:r w:rsidR="00DD1DFA" w:rsidRPr="00DD1DFA">
              <w:rPr>
                <w:rFonts w:ascii="Arial Narrow" w:hAnsi="Arial Narrow"/>
                <w:i/>
                <w:iCs/>
                <w:noProof/>
                <w:color w:val="000000"/>
                <w:sz w:val="20"/>
                <w:szCs w:val="20"/>
              </w:rPr>
              <w:t xml:space="preserve"> w</w:t>
            </w:r>
            <w:r w:rsidR="00DD1DFA">
              <w:rPr>
                <w:rFonts w:ascii="Arial Narrow" w:hAnsi="Arial Narrow"/>
                <w:i/>
                <w:iCs/>
                <w:noProof/>
                <w:color w:val="000000"/>
                <w:sz w:val="20"/>
                <w:szCs w:val="20"/>
              </w:rPr>
              <w:t> </w:t>
            </w:r>
            <w:r w:rsidR="00DD1DFA" w:rsidRPr="00DD1DFA">
              <w:rPr>
                <w:rFonts w:ascii="Arial Narrow" w:hAnsi="Arial Narrow"/>
                <w:i/>
                <w:iCs/>
                <w:noProof/>
                <w:color w:val="000000"/>
                <w:sz w:val="20"/>
                <w:szCs w:val="20"/>
              </w:rPr>
              <w:t>sto</w:t>
            </w:r>
            <w:r w:rsidRPr="00DD1DFA">
              <w:rPr>
                <w:rFonts w:ascii="Arial Narrow" w:hAnsi="Arial Narrow"/>
                <w:i/>
                <w:iCs/>
                <w:noProof/>
                <w:color w:val="000000"/>
                <w:sz w:val="20"/>
                <w:szCs w:val="20"/>
              </w:rPr>
              <w:t>sownych przypadkach</w:t>
            </w:r>
            <w:r w:rsidRPr="00DD1DFA">
              <w:rPr>
                <w:rFonts w:ascii="Arial Narrow" w:hAnsi="Arial Narrow"/>
                <w:noProof/>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527DA4B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50" w:type="dxa"/>
            <w:tcBorders>
              <w:top w:val="nil"/>
              <w:left w:val="nil"/>
              <w:bottom w:val="single" w:sz="4" w:space="0" w:color="auto"/>
              <w:right w:val="single" w:sz="4" w:space="0" w:color="auto"/>
            </w:tcBorders>
            <w:shd w:val="clear" w:color="auto" w:fill="auto"/>
            <w:vAlign w:val="center"/>
            <w:hideMark/>
          </w:tcPr>
          <w:p w14:paraId="392533C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63" w:type="dxa"/>
            <w:tcBorders>
              <w:top w:val="nil"/>
              <w:left w:val="nil"/>
              <w:bottom w:val="single" w:sz="4" w:space="0" w:color="auto"/>
              <w:right w:val="single" w:sz="4" w:space="0" w:color="auto"/>
            </w:tcBorders>
            <w:shd w:val="clear" w:color="auto" w:fill="auto"/>
            <w:vAlign w:val="center"/>
            <w:hideMark/>
          </w:tcPr>
          <w:p w14:paraId="6340730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14" w:type="dxa"/>
            <w:tcBorders>
              <w:top w:val="nil"/>
              <w:left w:val="nil"/>
              <w:bottom w:val="single" w:sz="4" w:space="0" w:color="auto"/>
              <w:right w:val="single" w:sz="4" w:space="0" w:color="auto"/>
            </w:tcBorders>
            <w:shd w:val="clear" w:color="auto" w:fill="auto"/>
            <w:vAlign w:val="center"/>
            <w:hideMark/>
          </w:tcPr>
          <w:p w14:paraId="3A8A62B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5" w:type="dxa"/>
            <w:tcBorders>
              <w:top w:val="nil"/>
              <w:left w:val="nil"/>
              <w:bottom w:val="single" w:sz="4" w:space="0" w:color="auto"/>
              <w:right w:val="single" w:sz="4" w:space="0" w:color="auto"/>
            </w:tcBorders>
            <w:shd w:val="clear" w:color="auto" w:fill="auto"/>
            <w:vAlign w:val="center"/>
            <w:hideMark/>
          </w:tcPr>
          <w:p w14:paraId="69F9A14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6" w:type="dxa"/>
            <w:tcBorders>
              <w:top w:val="nil"/>
              <w:left w:val="nil"/>
              <w:bottom w:val="single" w:sz="4" w:space="0" w:color="auto"/>
              <w:right w:val="single" w:sz="4" w:space="0" w:color="auto"/>
            </w:tcBorders>
            <w:shd w:val="clear" w:color="auto" w:fill="auto"/>
            <w:vAlign w:val="center"/>
            <w:hideMark/>
          </w:tcPr>
          <w:p w14:paraId="28AE083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377E593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37" w:type="dxa"/>
            <w:tcBorders>
              <w:top w:val="nil"/>
              <w:left w:val="nil"/>
              <w:bottom w:val="single" w:sz="4" w:space="0" w:color="auto"/>
              <w:right w:val="single" w:sz="4" w:space="0" w:color="auto"/>
            </w:tcBorders>
            <w:shd w:val="clear" w:color="auto" w:fill="auto"/>
            <w:vAlign w:val="center"/>
            <w:hideMark/>
          </w:tcPr>
          <w:p w14:paraId="053132AE"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61936CD2" w14:textId="77777777" w:rsidTr="00380F0F">
        <w:trPr>
          <w:trHeight w:val="660"/>
          <w:jc w:val="center"/>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70C9A"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Suma cząstkowa, Inne – Poza DZIAŁEM 7</w:t>
            </w:r>
          </w:p>
          <w:p w14:paraId="16EB4E5C"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noProof/>
                <w:color w:val="000000"/>
                <w:sz w:val="22"/>
              </w:rPr>
              <w:t>wieloletnich ram finansowych</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C29CDC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14:paraId="4AC91C0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044D0E6"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14:paraId="0B0EBC4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5" w:type="dxa"/>
            <w:tcBorders>
              <w:top w:val="nil"/>
              <w:left w:val="single" w:sz="4" w:space="0" w:color="auto"/>
              <w:bottom w:val="single" w:sz="4" w:space="0" w:color="auto"/>
              <w:right w:val="single" w:sz="4" w:space="0" w:color="auto"/>
            </w:tcBorders>
            <w:shd w:val="clear" w:color="auto" w:fill="auto"/>
            <w:vAlign w:val="center"/>
            <w:hideMark/>
          </w:tcPr>
          <w:p w14:paraId="4F5AD16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14:paraId="6A1F564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14:paraId="4F3E763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2A498581"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17BE970B" w14:textId="77777777" w:rsidTr="00380F0F">
        <w:trPr>
          <w:trHeight w:val="814"/>
          <w:jc w:val="center"/>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6FC28EA6"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Inne wydatki administracyjne ogółem (wszystkie działy WRF)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778C2"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C106717"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C4FDB89"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EA5EC1D"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E5FEA1B"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0A4D1EB"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3E16027B"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6D6A07EA" w14:textId="77777777" w:rsidR="005D44AF" w:rsidRPr="00DD1DFA" w:rsidRDefault="005D44AF" w:rsidP="005D44AF">
            <w:pPr>
              <w:spacing w:before="0" w:after="0"/>
              <w:jc w:val="center"/>
              <w:rPr>
                <w:rFonts w:ascii="Arial Narrow" w:eastAsia="Times New Roman" w:hAnsi="Arial Narrow"/>
                <w:noProof/>
                <w:color w:val="000000"/>
                <w:sz w:val="20"/>
                <w:szCs w:val="20"/>
                <w:lang w:eastAsia="en-GB"/>
              </w:rPr>
            </w:pPr>
          </w:p>
        </w:tc>
      </w:tr>
    </w:tbl>
    <w:p w14:paraId="05B53E5E" w14:textId="77777777" w:rsidR="005D44AF" w:rsidRPr="00DD1DFA" w:rsidRDefault="005D44AF" w:rsidP="005D44AF">
      <w:pPr>
        <w:spacing w:before="0" w:after="0"/>
        <w:ind w:right="-496"/>
        <w:jc w:val="left"/>
        <w:rPr>
          <w:rFonts w:ascii="Arial Narrow" w:eastAsia="Times New Roman" w:hAnsi="Arial Narrow"/>
          <w:b/>
          <w:noProof/>
          <w:color w:val="0000FF"/>
          <w:sz w:val="20"/>
          <w:szCs w:val="20"/>
          <w:lang w:eastAsia="en-GB"/>
        </w:rPr>
      </w:pPr>
    </w:p>
    <w:p w14:paraId="15264690" w14:textId="77777777" w:rsidR="005D44AF" w:rsidRPr="00DD1DFA" w:rsidRDefault="005D44AF" w:rsidP="005D44AF">
      <w:pPr>
        <w:spacing w:before="0" w:after="200" w:line="276" w:lineRule="auto"/>
        <w:jc w:val="left"/>
        <w:rPr>
          <w:rFonts w:eastAsia="Times New Roman"/>
          <w:b/>
          <w:noProof/>
          <w:color w:val="0000FF"/>
          <w:sz w:val="20"/>
          <w:szCs w:val="20"/>
        </w:rPr>
      </w:pPr>
      <w:r w:rsidRPr="00DD1DFA">
        <w:rPr>
          <w:noProof/>
        </w:rPr>
        <w:br w:type="page"/>
      </w:r>
    </w:p>
    <w:p w14:paraId="786DAE71" w14:textId="77777777" w:rsidR="005D44AF" w:rsidRPr="00DD1DFA" w:rsidRDefault="005D44AF" w:rsidP="005D44AF">
      <w:pPr>
        <w:spacing w:before="0" w:after="0"/>
        <w:ind w:right="-496"/>
        <w:jc w:val="left"/>
        <w:rPr>
          <w:rFonts w:eastAsia="Times New Roman"/>
          <w:b/>
          <w:noProof/>
          <w:color w:val="0000FF"/>
          <w:sz w:val="20"/>
          <w:szCs w:val="20"/>
          <w:lang w:eastAsia="en-GB"/>
        </w:rPr>
      </w:pPr>
    </w:p>
    <w:p w14:paraId="22CA24BB" w14:textId="02EE9BC8" w:rsidR="005D44AF" w:rsidRPr="00DD1DFA" w:rsidRDefault="005F7EFA" w:rsidP="005F7EFA">
      <w:pPr>
        <w:pStyle w:val="ManualHeading1"/>
        <w:rPr>
          <w:rFonts w:eastAsia="Times New Roman"/>
          <w:noProof/>
        </w:rPr>
      </w:pPr>
      <w:r w:rsidRPr="005F7EFA">
        <w:t>3.</w:t>
      </w:r>
      <w:r w:rsidRPr="005F7EFA">
        <w:tab/>
      </w:r>
      <w:r w:rsidR="005D44AF" w:rsidRPr="00DD1DFA">
        <w:rPr>
          <w:noProof/>
        </w:rPr>
        <w:t>Koszty administracyjne ogółem (wszystkie działy WRF)</w:t>
      </w:r>
    </w:p>
    <w:p w14:paraId="3FEFE131" w14:textId="77777777" w:rsidR="005D44AF" w:rsidRPr="00DD1DFA" w:rsidRDefault="005D44AF" w:rsidP="005D44AF">
      <w:pPr>
        <w:spacing w:before="0" w:after="0"/>
        <w:ind w:right="-496"/>
        <w:jc w:val="left"/>
        <w:rPr>
          <w:rFonts w:ascii="Arial Narrow" w:eastAsia="Times New Roman" w:hAnsi="Arial Narrow"/>
          <w:b/>
          <w:noProof/>
          <w:color w:val="0000FF"/>
          <w:sz w:val="20"/>
          <w:szCs w:val="20"/>
          <w:lang w:eastAsia="en-GB"/>
        </w:rPr>
      </w:pPr>
    </w:p>
    <w:p w14:paraId="709EE4AC" w14:textId="77777777" w:rsidR="005D44AF" w:rsidRPr="00DD1DFA" w:rsidRDefault="005D44AF" w:rsidP="005D44AF">
      <w:pPr>
        <w:spacing w:before="0" w:after="0"/>
        <w:ind w:right="-496"/>
        <w:jc w:val="right"/>
        <w:rPr>
          <w:rFonts w:eastAsia="Times New Roman"/>
          <w:i/>
          <w:iCs/>
          <w:noProof/>
          <w:sz w:val="20"/>
          <w:szCs w:val="20"/>
        </w:rPr>
      </w:pPr>
      <w:r w:rsidRPr="00DD1DFA">
        <w:rPr>
          <w:i/>
          <w:noProof/>
          <w:sz w:val="20"/>
          <w:szCs w:val="20"/>
        </w:rPr>
        <w:t>w mln EUR (do trzech miejsc po przecinku)</w:t>
      </w:r>
    </w:p>
    <w:tbl>
      <w:tblPr>
        <w:tblW w:w="13276" w:type="dxa"/>
        <w:jc w:val="center"/>
        <w:tblLook w:val="04A0" w:firstRow="1" w:lastRow="0" w:firstColumn="1" w:lastColumn="0" w:noHBand="0" w:noVBand="1"/>
      </w:tblPr>
      <w:tblGrid>
        <w:gridCol w:w="4346"/>
        <w:gridCol w:w="1273"/>
        <w:gridCol w:w="1247"/>
        <w:gridCol w:w="25"/>
        <w:gridCol w:w="1235"/>
        <w:gridCol w:w="38"/>
        <w:gridCol w:w="1273"/>
        <w:gridCol w:w="1273"/>
        <w:gridCol w:w="29"/>
        <w:gridCol w:w="1243"/>
        <w:gridCol w:w="60"/>
        <w:gridCol w:w="1213"/>
        <w:gridCol w:w="21"/>
      </w:tblGrid>
      <w:tr w:rsidR="005D44AF" w:rsidRPr="00DD1DFA" w14:paraId="7354AC72" w14:textId="77777777" w:rsidTr="00380F0F">
        <w:trPr>
          <w:trHeight w:val="660"/>
          <w:jc w:val="center"/>
        </w:trPr>
        <w:tc>
          <w:tcPr>
            <w:tcW w:w="43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B78C74"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Streszczenie</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0E93FC42"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5E4139B4"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2025</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074FA468"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2026</w:t>
            </w:r>
          </w:p>
        </w:tc>
        <w:tc>
          <w:tcPr>
            <w:tcW w:w="1311" w:type="dxa"/>
            <w:gridSpan w:val="2"/>
            <w:tcBorders>
              <w:top w:val="single" w:sz="4" w:space="0" w:color="auto"/>
              <w:left w:val="nil"/>
              <w:bottom w:val="single" w:sz="4" w:space="0" w:color="auto"/>
              <w:right w:val="single" w:sz="4" w:space="0" w:color="auto"/>
            </w:tcBorders>
            <w:shd w:val="clear" w:color="auto" w:fill="auto"/>
            <w:vAlign w:val="center"/>
            <w:hideMark/>
          </w:tcPr>
          <w:p w14:paraId="1562E07B"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2027</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14:paraId="0D4A9917"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2028</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14:paraId="01DFC8FF" w14:textId="77777777" w:rsidR="005D44AF" w:rsidRPr="00DD1DFA" w:rsidRDefault="005D44AF" w:rsidP="005D44AF">
            <w:pPr>
              <w:spacing w:before="0" w:after="0"/>
              <w:jc w:val="center"/>
              <w:rPr>
                <w:rFonts w:ascii="Arial Narrow" w:eastAsia="Times New Roman" w:hAnsi="Arial Narrow"/>
                <w:b/>
                <w:bCs/>
                <w:noProof/>
                <w:color w:val="0000FF"/>
                <w:sz w:val="20"/>
                <w:szCs w:val="20"/>
              </w:rPr>
            </w:pPr>
            <w:r w:rsidRPr="00DD1DFA">
              <w:rPr>
                <w:rFonts w:ascii="Arial Narrow" w:hAnsi="Arial Narrow"/>
                <w:b/>
                <w:bCs/>
                <w:noProof/>
                <w:color w:val="0000FF"/>
                <w:sz w:val="20"/>
                <w:szCs w:val="20"/>
              </w:rPr>
              <w:t>Rok 2029</w:t>
            </w:r>
          </w:p>
        </w:tc>
        <w:tc>
          <w:tcPr>
            <w:tcW w:w="1234" w:type="dxa"/>
            <w:gridSpan w:val="2"/>
            <w:tcBorders>
              <w:top w:val="single" w:sz="4" w:space="0" w:color="auto"/>
              <w:left w:val="nil"/>
              <w:bottom w:val="single" w:sz="4" w:space="0" w:color="auto"/>
              <w:right w:val="single" w:sz="4" w:space="0" w:color="auto"/>
            </w:tcBorders>
            <w:shd w:val="clear" w:color="auto" w:fill="auto"/>
            <w:vAlign w:val="center"/>
            <w:hideMark/>
          </w:tcPr>
          <w:p w14:paraId="012E969D"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Ogółem</w:t>
            </w:r>
          </w:p>
        </w:tc>
      </w:tr>
      <w:tr w:rsidR="005D44AF" w:rsidRPr="00DD1DFA" w14:paraId="582FC502" w14:textId="77777777" w:rsidTr="00380F0F">
        <w:trPr>
          <w:trHeight w:val="363"/>
          <w:jc w:val="center"/>
        </w:trPr>
        <w:tc>
          <w:tcPr>
            <w:tcW w:w="4346" w:type="dxa"/>
            <w:tcBorders>
              <w:top w:val="nil"/>
              <w:left w:val="single" w:sz="4" w:space="0" w:color="auto"/>
              <w:bottom w:val="single" w:sz="4" w:space="0" w:color="auto"/>
              <w:right w:val="single" w:sz="4" w:space="0" w:color="auto"/>
            </w:tcBorders>
            <w:shd w:val="clear" w:color="auto" w:fill="auto"/>
            <w:vAlign w:val="center"/>
            <w:hideMark/>
          </w:tcPr>
          <w:p w14:paraId="12689715"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Dział 7 – Zasoby ludzkie</w:t>
            </w:r>
          </w:p>
        </w:tc>
        <w:tc>
          <w:tcPr>
            <w:tcW w:w="1273" w:type="dxa"/>
            <w:tcBorders>
              <w:top w:val="nil"/>
              <w:left w:val="nil"/>
              <w:bottom w:val="single" w:sz="4" w:space="0" w:color="auto"/>
              <w:right w:val="single" w:sz="4" w:space="0" w:color="auto"/>
            </w:tcBorders>
            <w:shd w:val="clear" w:color="auto" w:fill="auto"/>
            <w:vAlign w:val="center"/>
            <w:hideMark/>
          </w:tcPr>
          <w:p w14:paraId="5178C93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1,099 </w:t>
            </w:r>
          </w:p>
        </w:tc>
        <w:tc>
          <w:tcPr>
            <w:tcW w:w="1247" w:type="dxa"/>
            <w:tcBorders>
              <w:top w:val="nil"/>
              <w:left w:val="nil"/>
              <w:bottom w:val="single" w:sz="4" w:space="0" w:color="auto"/>
              <w:right w:val="single" w:sz="4" w:space="0" w:color="auto"/>
            </w:tcBorders>
            <w:shd w:val="clear" w:color="auto" w:fill="auto"/>
            <w:vAlign w:val="center"/>
            <w:hideMark/>
          </w:tcPr>
          <w:p w14:paraId="21CCDD0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1,099</w:t>
            </w:r>
          </w:p>
        </w:tc>
        <w:tc>
          <w:tcPr>
            <w:tcW w:w="1260" w:type="dxa"/>
            <w:gridSpan w:val="2"/>
            <w:tcBorders>
              <w:top w:val="nil"/>
              <w:left w:val="nil"/>
              <w:bottom w:val="single" w:sz="4" w:space="0" w:color="auto"/>
              <w:right w:val="single" w:sz="4" w:space="0" w:color="auto"/>
            </w:tcBorders>
            <w:shd w:val="clear" w:color="auto" w:fill="auto"/>
            <w:vAlign w:val="center"/>
            <w:hideMark/>
          </w:tcPr>
          <w:p w14:paraId="4B478A3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1,099 </w:t>
            </w:r>
          </w:p>
        </w:tc>
        <w:tc>
          <w:tcPr>
            <w:tcW w:w="1311" w:type="dxa"/>
            <w:gridSpan w:val="2"/>
            <w:tcBorders>
              <w:top w:val="nil"/>
              <w:left w:val="nil"/>
              <w:bottom w:val="single" w:sz="4" w:space="0" w:color="auto"/>
              <w:right w:val="single" w:sz="4" w:space="0" w:color="auto"/>
            </w:tcBorders>
            <w:shd w:val="clear" w:color="auto" w:fill="auto"/>
            <w:vAlign w:val="center"/>
            <w:hideMark/>
          </w:tcPr>
          <w:p w14:paraId="128F315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0,942 </w:t>
            </w:r>
          </w:p>
        </w:tc>
        <w:tc>
          <w:tcPr>
            <w:tcW w:w="1302" w:type="dxa"/>
            <w:gridSpan w:val="2"/>
            <w:tcBorders>
              <w:top w:val="nil"/>
              <w:left w:val="nil"/>
              <w:bottom w:val="single" w:sz="4" w:space="0" w:color="auto"/>
              <w:right w:val="single" w:sz="4" w:space="0" w:color="auto"/>
            </w:tcBorders>
            <w:shd w:val="clear" w:color="auto" w:fill="auto"/>
            <w:vAlign w:val="center"/>
            <w:hideMark/>
          </w:tcPr>
          <w:p w14:paraId="1A6373C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0,942 </w:t>
            </w:r>
          </w:p>
        </w:tc>
        <w:tc>
          <w:tcPr>
            <w:tcW w:w="1303" w:type="dxa"/>
            <w:gridSpan w:val="2"/>
            <w:tcBorders>
              <w:top w:val="nil"/>
              <w:left w:val="nil"/>
              <w:bottom w:val="single" w:sz="4" w:space="0" w:color="auto"/>
              <w:right w:val="single" w:sz="4" w:space="0" w:color="auto"/>
            </w:tcBorders>
            <w:shd w:val="clear" w:color="auto" w:fill="auto"/>
            <w:vAlign w:val="center"/>
            <w:hideMark/>
          </w:tcPr>
          <w:p w14:paraId="745E399D"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0,628 </w:t>
            </w:r>
          </w:p>
        </w:tc>
        <w:tc>
          <w:tcPr>
            <w:tcW w:w="1234" w:type="dxa"/>
            <w:gridSpan w:val="2"/>
            <w:tcBorders>
              <w:top w:val="nil"/>
              <w:left w:val="nil"/>
              <w:bottom w:val="single" w:sz="4" w:space="0" w:color="auto"/>
              <w:right w:val="single" w:sz="4" w:space="0" w:color="auto"/>
            </w:tcBorders>
            <w:shd w:val="clear" w:color="auto" w:fill="auto"/>
            <w:vAlign w:val="center"/>
            <w:hideMark/>
          </w:tcPr>
          <w:p w14:paraId="5DD53A70"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5,809 </w:t>
            </w:r>
          </w:p>
        </w:tc>
      </w:tr>
      <w:tr w:rsidR="005D44AF" w:rsidRPr="00DD1DFA" w14:paraId="1E22FB98" w14:textId="77777777" w:rsidTr="00380F0F">
        <w:trPr>
          <w:trHeight w:val="300"/>
          <w:jc w:val="center"/>
        </w:trPr>
        <w:tc>
          <w:tcPr>
            <w:tcW w:w="4346" w:type="dxa"/>
            <w:tcBorders>
              <w:top w:val="nil"/>
              <w:left w:val="single" w:sz="4" w:space="0" w:color="auto"/>
              <w:bottom w:val="single" w:sz="4" w:space="0" w:color="auto"/>
              <w:right w:val="single" w:sz="4" w:space="0" w:color="auto"/>
            </w:tcBorders>
            <w:shd w:val="clear" w:color="auto" w:fill="auto"/>
            <w:vAlign w:val="center"/>
            <w:hideMark/>
          </w:tcPr>
          <w:p w14:paraId="3BA5D444"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Dział 7 – Inne wydatki administracyjne</w:t>
            </w:r>
          </w:p>
        </w:tc>
        <w:tc>
          <w:tcPr>
            <w:tcW w:w="1273" w:type="dxa"/>
            <w:tcBorders>
              <w:top w:val="nil"/>
              <w:left w:val="nil"/>
              <w:bottom w:val="single" w:sz="4" w:space="0" w:color="auto"/>
              <w:right w:val="single" w:sz="4" w:space="0" w:color="auto"/>
            </w:tcBorders>
            <w:shd w:val="clear" w:color="auto" w:fill="auto"/>
            <w:vAlign w:val="center"/>
            <w:hideMark/>
          </w:tcPr>
          <w:p w14:paraId="63CCF5D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0,170</w:t>
            </w:r>
          </w:p>
        </w:tc>
        <w:tc>
          <w:tcPr>
            <w:tcW w:w="1247" w:type="dxa"/>
            <w:tcBorders>
              <w:top w:val="nil"/>
              <w:left w:val="nil"/>
              <w:bottom w:val="single" w:sz="4" w:space="0" w:color="auto"/>
              <w:right w:val="single" w:sz="4" w:space="0" w:color="auto"/>
            </w:tcBorders>
            <w:shd w:val="clear" w:color="auto" w:fill="auto"/>
            <w:vAlign w:val="center"/>
            <w:hideMark/>
          </w:tcPr>
          <w:p w14:paraId="48FF26D8"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60" w:type="dxa"/>
            <w:gridSpan w:val="2"/>
            <w:tcBorders>
              <w:top w:val="nil"/>
              <w:left w:val="nil"/>
              <w:bottom w:val="single" w:sz="4" w:space="0" w:color="auto"/>
              <w:right w:val="single" w:sz="4" w:space="0" w:color="auto"/>
            </w:tcBorders>
            <w:shd w:val="clear" w:color="auto" w:fill="auto"/>
            <w:vAlign w:val="center"/>
            <w:hideMark/>
          </w:tcPr>
          <w:p w14:paraId="7F82171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311" w:type="dxa"/>
            <w:gridSpan w:val="2"/>
            <w:tcBorders>
              <w:top w:val="nil"/>
              <w:left w:val="nil"/>
              <w:bottom w:val="single" w:sz="4" w:space="0" w:color="auto"/>
              <w:right w:val="single" w:sz="4" w:space="0" w:color="auto"/>
            </w:tcBorders>
            <w:shd w:val="clear" w:color="auto" w:fill="auto"/>
            <w:vAlign w:val="center"/>
            <w:hideMark/>
          </w:tcPr>
          <w:p w14:paraId="3CBCB96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302" w:type="dxa"/>
            <w:gridSpan w:val="2"/>
            <w:tcBorders>
              <w:top w:val="nil"/>
              <w:left w:val="nil"/>
              <w:bottom w:val="single" w:sz="4" w:space="0" w:color="auto"/>
              <w:right w:val="single" w:sz="4" w:space="0" w:color="auto"/>
            </w:tcBorders>
            <w:shd w:val="clear" w:color="auto" w:fill="auto"/>
            <w:vAlign w:val="center"/>
            <w:hideMark/>
          </w:tcPr>
          <w:p w14:paraId="2F217B9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303" w:type="dxa"/>
            <w:gridSpan w:val="2"/>
            <w:tcBorders>
              <w:top w:val="nil"/>
              <w:left w:val="nil"/>
              <w:bottom w:val="single" w:sz="4" w:space="0" w:color="auto"/>
              <w:right w:val="single" w:sz="4" w:space="0" w:color="auto"/>
            </w:tcBorders>
            <w:shd w:val="clear" w:color="auto" w:fill="auto"/>
            <w:vAlign w:val="center"/>
            <w:hideMark/>
          </w:tcPr>
          <w:p w14:paraId="328E004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0,170</w:t>
            </w:r>
          </w:p>
        </w:tc>
        <w:tc>
          <w:tcPr>
            <w:tcW w:w="1234" w:type="dxa"/>
            <w:gridSpan w:val="2"/>
            <w:tcBorders>
              <w:top w:val="nil"/>
              <w:left w:val="nil"/>
              <w:bottom w:val="single" w:sz="4" w:space="0" w:color="auto"/>
              <w:right w:val="single" w:sz="4" w:space="0" w:color="auto"/>
            </w:tcBorders>
            <w:shd w:val="clear" w:color="auto" w:fill="auto"/>
            <w:vAlign w:val="center"/>
            <w:hideMark/>
          </w:tcPr>
          <w:p w14:paraId="0CAE84A2"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noProof/>
                <w:color w:val="000000"/>
                <w:sz w:val="20"/>
                <w:szCs w:val="20"/>
              </w:rPr>
              <w:t xml:space="preserve"> </w:t>
            </w:r>
            <w:r w:rsidRPr="00DD1DFA">
              <w:rPr>
                <w:rFonts w:ascii="Arial Narrow" w:hAnsi="Arial Narrow"/>
                <w:b/>
                <w:noProof/>
                <w:color w:val="000000"/>
                <w:sz w:val="20"/>
                <w:szCs w:val="20"/>
              </w:rPr>
              <w:t>1,020</w:t>
            </w:r>
          </w:p>
        </w:tc>
      </w:tr>
      <w:tr w:rsidR="005D44AF" w:rsidRPr="00DD1DFA" w14:paraId="66A936BE" w14:textId="77777777" w:rsidTr="00380F0F">
        <w:trPr>
          <w:trHeight w:val="401"/>
          <w:jc w:val="center"/>
        </w:trPr>
        <w:tc>
          <w:tcPr>
            <w:tcW w:w="4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AA74C"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Suma cząstkowa Działu 7</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14:paraId="7C90E77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1,269 </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14:paraId="5E0CF72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1,269</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327195AA"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1,269 </w:t>
            </w:r>
          </w:p>
        </w:tc>
        <w:tc>
          <w:tcPr>
            <w:tcW w:w="1311" w:type="dxa"/>
            <w:gridSpan w:val="2"/>
            <w:tcBorders>
              <w:top w:val="nil"/>
              <w:left w:val="single" w:sz="4" w:space="0" w:color="auto"/>
              <w:bottom w:val="single" w:sz="4" w:space="0" w:color="auto"/>
              <w:right w:val="single" w:sz="4" w:space="0" w:color="auto"/>
            </w:tcBorders>
            <w:shd w:val="clear" w:color="auto" w:fill="auto"/>
            <w:vAlign w:val="center"/>
            <w:hideMark/>
          </w:tcPr>
          <w:p w14:paraId="4A876B1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1,112 </w:t>
            </w:r>
          </w:p>
        </w:tc>
        <w:tc>
          <w:tcPr>
            <w:tcW w:w="1302" w:type="dxa"/>
            <w:gridSpan w:val="2"/>
            <w:tcBorders>
              <w:top w:val="nil"/>
              <w:left w:val="single" w:sz="4" w:space="0" w:color="auto"/>
              <w:bottom w:val="single" w:sz="4" w:space="0" w:color="auto"/>
              <w:right w:val="single" w:sz="4" w:space="0" w:color="auto"/>
            </w:tcBorders>
            <w:shd w:val="clear" w:color="auto" w:fill="auto"/>
            <w:vAlign w:val="center"/>
            <w:hideMark/>
          </w:tcPr>
          <w:p w14:paraId="4823D3A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1,112 </w:t>
            </w:r>
          </w:p>
        </w:tc>
        <w:tc>
          <w:tcPr>
            <w:tcW w:w="1303" w:type="dxa"/>
            <w:gridSpan w:val="2"/>
            <w:tcBorders>
              <w:top w:val="nil"/>
              <w:left w:val="single" w:sz="4" w:space="0" w:color="auto"/>
              <w:bottom w:val="single" w:sz="4" w:space="0" w:color="auto"/>
              <w:right w:val="single" w:sz="4" w:space="0" w:color="auto"/>
            </w:tcBorders>
            <w:shd w:val="clear" w:color="auto" w:fill="auto"/>
            <w:vAlign w:val="center"/>
            <w:hideMark/>
          </w:tcPr>
          <w:p w14:paraId="217C85E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0,798 </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12940D6"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6,829 </w:t>
            </w:r>
          </w:p>
        </w:tc>
      </w:tr>
      <w:tr w:rsidR="005D44AF" w:rsidRPr="00DD1DFA" w14:paraId="24145A2D" w14:textId="77777777" w:rsidTr="00380F0F">
        <w:trPr>
          <w:trHeight w:val="363"/>
          <w:jc w:val="center"/>
        </w:trPr>
        <w:tc>
          <w:tcPr>
            <w:tcW w:w="4346" w:type="dxa"/>
            <w:tcBorders>
              <w:top w:val="nil"/>
              <w:left w:val="single" w:sz="4" w:space="0" w:color="auto"/>
              <w:bottom w:val="single" w:sz="4" w:space="0" w:color="auto"/>
              <w:right w:val="single" w:sz="4" w:space="0" w:color="auto"/>
            </w:tcBorders>
            <w:shd w:val="clear" w:color="auto" w:fill="auto"/>
            <w:vAlign w:val="center"/>
            <w:hideMark/>
          </w:tcPr>
          <w:p w14:paraId="04A61189"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Poza działem 7 – Zasoby ludzkie</w:t>
            </w:r>
          </w:p>
        </w:tc>
        <w:tc>
          <w:tcPr>
            <w:tcW w:w="1273" w:type="dxa"/>
            <w:tcBorders>
              <w:top w:val="nil"/>
              <w:left w:val="nil"/>
              <w:bottom w:val="single" w:sz="4" w:space="0" w:color="auto"/>
              <w:right w:val="single" w:sz="4" w:space="0" w:color="auto"/>
            </w:tcBorders>
            <w:shd w:val="clear" w:color="auto" w:fill="auto"/>
            <w:vAlign w:val="center"/>
            <w:hideMark/>
          </w:tcPr>
          <w:p w14:paraId="71FB679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47" w:type="dxa"/>
            <w:tcBorders>
              <w:top w:val="nil"/>
              <w:left w:val="nil"/>
              <w:bottom w:val="single" w:sz="4" w:space="0" w:color="auto"/>
              <w:right w:val="single" w:sz="4" w:space="0" w:color="auto"/>
            </w:tcBorders>
            <w:shd w:val="clear" w:color="auto" w:fill="auto"/>
            <w:vAlign w:val="center"/>
            <w:hideMark/>
          </w:tcPr>
          <w:p w14:paraId="54C12BB9"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vAlign w:val="center"/>
            <w:hideMark/>
          </w:tcPr>
          <w:p w14:paraId="11B7306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11" w:type="dxa"/>
            <w:gridSpan w:val="2"/>
            <w:tcBorders>
              <w:top w:val="nil"/>
              <w:left w:val="nil"/>
              <w:bottom w:val="single" w:sz="4" w:space="0" w:color="auto"/>
              <w:right w:val="single" w:sz="4" w:space="0" w:color="auto"/>
            </w:tcBorders>
            <w:shd w:val="clear" w:color="auto" w:fill="auto"/>
            <w:vAlign w:val="center"/>
            <w:hideMark/>
          </w:tcPr>
          <w:p w14:paraId="3BC88AE1"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2" w:type="dxa"/>
            <w:gridSpan w:val="2"/>
            <w:tcBorders>
              <w:top w:val="nil"/>
              <w:left w:val="nil"/>
              <w:bottom w:val="single" w:sz="4" w:space="0" w:color="auto"/>
              <w:right w:val="single" w:sz="4" w:space="0" w:color="auto"/>
            </w:tcBorders>
            <w:shd w:val="clear" w:color="auto" w:fill="auto"/>
            <w:vAlign w:val="center"/>
            <w:hideMark/>
          </w:tcPr>
          <w:p w14:paraId="17849AB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3" w:type="dxa"/>
            <w:gridSpan w:val="2"/>
            <w:tcBorders>
              <w:top w:val="nil"/>
              <w:left w:val="nil"/>
              <w:bottom w:val="single" w:sz="4" w:space="0" w:color="auto"/>
              <w:right w:val="single" w:sz="4" w:space="0" w:color="auto"/>
            </w:tcBorders>
            <w:shd w:val="clear" w:color="auto" w:fill="auto"/>
            <w:vAlign w:val="center"/>
            <w:hideMark/>
          </w:tcPr>
          <w:p w14:paraId="552FB15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34" w:type="dxa"/>
            <w:gridSpan w:val="2"/>
            <w:tcBorders>
              <w:top w:val="nil"/>
              <w:left w:val="nil"/>
              <w:bottom w:val="single" w:sz="4" w:space="0" w:color="auto"/>
              <w:right w:val="single" w:sz="4" w:space="0" w:color="auto"/>
            </w:tcBorders>
            <w:shd w:val="clear" w:color="auto" w:fill="auto"/>
            <w:vAlign w:val="center"/>
            <w:hideMark/>
          </w:tcPr>
          <w:p w14:paraId="21B47C61"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3EE96C95" w14:textId="77777777" w:rsidTr="00380F0F">
        <w:trPr>
          <w:trHeight w:val="300"/>
          <w:jc w:val="center"/>
        </w:trPr>
        <w:tc>
          <w:tcPr>
            <w:tcW w:w="4346" w:type="dxa"/>
            <w:tcBorders>
              <w:top w:val="nil"/>
              <w:left w:val="single" w:sz="4" w:space="0" w:color="auto"/>
              <w:bottom w:val="single" w:sz="4" w:space="0" w:color="auto"/>
              <w:right w:val="single" w:sz="4" w:space="0" w:color="auto"/>
            </w:tcBorders>
            <w:shd w:val="clear" w:color="auto" w:fill="auto"/>
            <w:vAlign w:val="center"/>
            <w:hideMark/>
          </w:tcPr>
          <w:p w14:paraId="3BD42805" w14:textId="77777777" w:rsidR="005D44AF" w:rsidRPr="00DD1DFA" w:rsidRDefault="005D44AF" w:rsidP="005D44AF">
            <w:pPr>
              <w:spacing w:before="0" w:after="0"/>
              <w:jc w:val="left"/>
              <w:rPr>
                <w:rFonts w:ascii="Arial Narrow" w:eastAsia="Times New Roman" w:hAnsi="Arial Narrow"/>
                <w:noProof/>
                <w:color w:val="000000"/>
                <w:sz w:val="20"/>
                <w:szCs w:val="20"/>
              </w:rPr>
            </w:pPr>
            <w:r w:rsidRPr="00DD1DFA">
              <w:rPr>
                <w:rFonts w:ascii="Arial Narrow" w:hAnsi="Arial Narrow"/>
                <w:noProof/>
                <w:color w:val="000000"/>
                <w:sz w:val="20"/>
                <w:szCs w:val="20"/>
              </w:rPr>
              <w:t>Poza działem 7 – Inne wydatki administracyjne</w:t>
            </w:r>
          </w:p>
        </w:tc>
        <w:tc>
          <w:tcPr>
            <w:tcW w:w="1273" w:type="dxa"/>
            <w:tcBorders>
              <w:top w:val="nil"/>
              <w:left w:val="nil"/>
              <w:bottom w:val="single" w:sz="4" w:space="0" w:color="auto"/>
              <w:right w:val="single" w:sz="4" w:space="0" w:color="auto"/>
            </w:tcBorders>
            <w:shd w:val="clear" w:color="auto" w:fill="auto"/>
            <w:vAlign w:val="center"/>
            <w:hideMark/>
          </w:tcPr>
          <w:p w14:paraId="5510201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47" w:type="dxa"/>
            <w:tcBorders>
              <w:top w:val="nil"/>
              <w:left w:val="nil"/>
              <w:bottom w:val="single" w:sz="4" w:space="0" w:color="auto"/>
              <w:right w:val="single" w:sz="4" w:space="0" w:color="auto"/>
            </w:tcBorders>
            <w:shd w:val="clear" w:color="auto" w:fill="auto"/>
            <w:vAlign w:val="center"/>
            <w:hideMark/>
          </w:tcPr>
          <w:p w14:paraId="66AB9E6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60" w:type="dxa"/>
            <w:gridSpan w:val="2"/>
            <w:tcBorders>
              <w:top w:val="nil"/>
              <w:left w:val="nil"/>
              <w:bottom w:val="single" w:sz="4" w:space="0" w:color="auto"/>
              <w:right w:val="single" w:sz="4" w:space="0" w:color="auto"/>
            </w:tcBorders>
            <w:shd w:val="clear" w:color="auto" w:fill="auto"/>
            <w:vAlign w:val="center"/>
            <w:hideMark/>
          </w:tcPr>
          <w:p w14:paraId="60E95213"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11" w:type="dxa"/>
            <w:gridSpan w:val="2"/>
            <w:tcBorders>
              <w:top w:val="nil"/>
              <w:left w:val="nil"/>
              <w:bottom w:val="single" w:sz="4" w:space="0" w:color="auto"/>
              <w:right w:val="single" w:sz="4" w:space="0" w:color="auto"/>
            </w:tcBorders>
            <w:shd w:val="clear" w:color="auto" w:fill="auto"/>
            <w:vAlign w:val="center"/>
            <w:hideMark/>
          </w:tcPr>
          <w:p w14:paraId="71FE8F9F"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2" w:type="dxa"/>
            <w:gridSpan w:val="2"/>
            <w:tcBorders>
              <w:top w:val="nil"/>
              <w:left w:val="nil"/>
              <w:bottom w:val="single" w:sz="4" w:space="0" w:color="auto"/>
              <w:right w:val="single" w:sz="4" w:space="0" w:color="auto"/>
            </w:tcBorders>
            <w:shd w:val="clear" w:color="auto" w:fill="auto"/>
            <w:vAlign w:val="center"/>
            <w:hideMark/>
          </w:tcPr>
          <w:p w14:paraId="4DD8B61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3" w:type="dxa"/>
            <w:gridSpan w:val="2"/>
            <w:tcBorders>
              <w:top w:val="nil"/>
              <w:left w:val="nil"/>
              <w:bottom w:val="single" w:sz="4" w:space="0" w:color="auto"/>
              <w:right w:val="single" w:sz="4" w:space="0" w:color="auto"/>
            </w:tcBorders>
            <w:shd w:val="clear" w:color="auto" w:fill="auto"/>
            <w:vAlign w:val="center"/>
            <w:hideMark/>
          </w:tcPr>
          <w:p w14:paraId="0DCF00A7"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34" w:type="dxa"/>
            <w:gridSpan w:val="2"/>
            <w:tcBorders>
              <w:top w:val="nil"/>
              <w:left w:val="nil"/>
              <w:bottom w:val="single" w:sz="4" w:space="0" w:color="auto"/>
              <w:right w:val="single" w:sz="4" w:space="0" w:color="auto"/>
            </w:tcBorders>
            <w:shd w:val="clear" w:color="auto" w:fill="auto"/>
            <w:vAlign w:val="center"/>
            <w:hideMark/>
          </w:tcPr>
          <w:p w14:paraId="5958CE26"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2DABF4D6" w14:textId="77777777" w:rsidTr="00380F0F">
        <w:trPr>
          <w:trHeight w:val="431"/>
          <w:jc w:val="center"/>
        </w:trPr>
        <w:tc>
          <w:tcPr>
            <w:tcW w:w="4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75BC" w14:textId="77777777" w:rsidR="005D44AF" w:rsidRPr="00DD1DFA" w:rsidRDefault="005D44AF" w:rsidP="005D44AF">
            <w:pPr>
              <w:spacing w:before="0" w:after="0"/>
              <w:jc w:val="center"/>
              <w:rPr>
                <w:rFonts w:ascii="Arial Narrow" w:eastAsia="Times New Roman" w:hAnsi="Arial Narrow"/>
                <w:b/>
                <w:bCs/>
                <w:noProof/>
                <w:color w:val="000000"/>
                <w:sz w:val="22"/>
              </w:rPr>
            </w:pPr>
            <w:r w:rsidRPr="00DD1DFA">
              <w:rPr>
                <w:rFonts w:ascii="Arial Narrow" w:hAnsi="Arial Narrow"/>
                <w:b/>
                <w:bCs/>
                <w:noProof/>
                <w:color w:val="000000"/>
                <w:sz w:val="22"/>
              </w:rPr>
              <w:t>Suma cząstkowa innych działów</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14:paraId="7F6C6C75"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14:paraId="7D89C96C"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2A013D6E"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11" w:type="dxa"/>
            <w:gridSpan w:val="2"/>
            <w:tcBorders>
              <w:top w:val="nil"/>
              <w:left w:val="single" w:sz="4" w:space="0" w:color="auto"/>
              <w:bottom w:val="single" w:sz="4" w:space="0" w:color="auto"/>
              <w:right w:val="single" w:sz="4" w:space="0" w:color="auto"/>
            </w:tcBorders>
            <w:shd w:val="clear" w:color="auto" w:fill="auto"/>
            <w:vAlign w:val="center"/>
            <w:hideMark/>
          </w:tcPr>
          <w:p w14:paraId="0C9E6EEB"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2" w:type="dxa"/>
            <w:gridSpan w:val="2"/>
            <w:tcBorders>
              <w:top w:val="nil"/>
              <w:left w:val="single" w:sz="4" w:space="0" w:color="auto"/>
              <w:bottom w:val="single" w:sz="4" w:space="0" w:color="auto"/>
              <w:right w:val="single" w:sz="4" w:space="0" w:color="auto"/>
            </w:tcBorders>
            <w:shd w:val="clear" w:color="auto" w:fill="auto"/>
            <w:vAlign w:val="center"/>
            <w:hideMark/>
          </w:tcPr>
          <w:p w14:paraId="3511EB90"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303" w:type="dxa"/>
            <w:gridSpan w:val="2"/>
            <w:tcBorders>
              <w:top w:val="nil"/>
              <w:left w:val="single" w:sz="4" w:space="0" w:color="auto"/>
              <w:bottom w:val="single" w:sz="4" w:space="0" w:color="auto"/>
              <w:right w:val="single" w:sz="4" w:space="0" w:color="auto"/>
            </w:tcBorders>
            <w:shd w:val="clear" w:color="auto" w:fill="auto"/>
            <w:vAlign w:val="center"/>
            <w:hideMark/>
          </w:tcPr>
          <w:p w14:paraId="0B86C404" w14:textId="77777777" w:rsidR="005D44AF" w:rsidRPr="00DD1DFA" w:rsidRDefault="005D44AF" w:rsidP="005D44AF">
            <w:pPr>
              <w:spacing w:before="0" w:after="0"/>
              <w:jc w:val="center"/>
              <w:rPr>
                <w:rFonts w:ascii="Arial Narrow" w:eastAsia="Times New Roman" w:hAnsi="Arial Narrow"/>
                <w:noProof/>
                <w:color w:val="000000"/>
                <w:sz w:val="20"/>
                <w:szCs w:val="20"/>
              </w:rPr>
            </w:pPr>
            <w:r w:rsidRPr="00DD1DFA">
              <w:rPr>
                <w:rFonts w:ascii="Arial Narrow" w:hAnsi="Arial Narrow"/>
                <w:noProof/>
                <w:color w:val="000000"/>
                <w:sz w:val="20"/>
                <w:szCs w:val="20"/>
              </w:rPr>
              <w:t xml:space="preserve"> </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C1A729E" w14:textId="77777777" w:rsidR="005D44AF" w:rsidRPr="00DD1DFA" w:rsidRDefault="005D44AF" w:rsidP="005D44AF">
            <w:pPr>
              <w:spacing w:before="0" w:after="0"/>
              <w:jc w:val="center"/>
              <w:rPr>
                <w:rFonts w:ascii="Arial Narrow" w:eastAsia="Times New Roman" w:hAnsi="Arial Narrow"/>
                <w:b/>
                <w:bCs/>
                <w:noProof/>
                <w:color w:val="000000"/>
                <w:sz w:val="20"/>
                <w:szCs w:val="20"/>
              </w:rPr>
            </w:pPr>
            <w:r w:rsidRPr="00DD1DFA">
              <w:rPr>
                <w:rFonts w:ascii="Arial Narrow" w:hAnsi="Arial Narrow"/>
                <w:b/>
                <w:bCs/>
                <w:noProof/>
                <w:color w:val="000000"/>
                <w:sz w:val="20"/>
                <w:szCs w:val="20"/>
              </w:rPr>
              <w:t xml:space="preserve"> </w:t>
            </w:r>
          </w:p>
        </w:tc>
      </w:tr>
      <w:tr w:rsidR="005D44AF" w:rsidRPr="00DD1DFA" w14:paraId="024B245C" w14:textId="77777777" w:rsidTr="00380F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After w:val="1"/>
          <w:wAfter w:w="21" w:type="dxa"/>
          <w:trHeight w:val="289"/>
          <w:jc w:val="center"/>
        </w:trPr>
        <w:tc>
          <w:tcPr>
            <w:tcW w:w="4346" w:type="dxa"/>
            <w:tcBorders>
              <w:top w:val="single" w:sz="12" w:space="0" w:color="auto"/>
            </w:tcBorders>
            <w:vAlign w:val="center"/>
          </w:tcPr>
          <w:p w14:paraId="38DC7CA0" w14:textId="77777777" w:rsidR="005D44AF" w:rsidRPr="00DD1DFA" w:rsidRDefault="005D44AF" w:rsidP="00D810F6">
            <w:pPr>
              <w:numPr>
                <w:ilvl w:val="0"/>
                <w:numId w:val="36"/>
              </w:numPr>
              <w:spacing w:before="0" w:after="0"/>
              <w:ind w:left="0" w:firstLine="0"/>
              <w:jc w:val="center"/>
              <w:rPr>
                <w:rFonts w:ascii="Arial Narrow" w:eastAsia="Times New Roman" w:hAnsi="Arial Narrow"/>
                <w:b/>
                <w:noProof/>
                <w:sz w:val="22"/>
              </w:rPr>
            </w:pPr>
            <w:r w:rsidRPr="00DD1DFA">
              <w:rPr>
                <w:rFonts w:ascii="Arial Narrow" w:hAnsi="Arial Narrow"/>
                <w:b/>
                <w:noProof/>
                <w:sz w:val="22"/>
                <w:szCs w:val="24"/>
              </w:rPr>
              <w:t>OGÓŁEM</w:t>
            </w:r>
          </w:p>
          <w:p w14:paraId="7DA5D984" w14:textId="2952C5E9" w:rsidR="005D44AF" w:rsidRPr="00DD1DFA" w:rsidRDefault="005D44AF" w:rsidP="00D810F6">
            <w:pPr>
              <w:numPr>
                <w:ilvl w:val="0"/>
                <w:numId w:val="36"/>
              </w:numPr>
              <w:spacing w:before="0" w:after="0"/>
              <w:ind w:left="0" w:firstLine="0"/>
              <w:jc w:val="center"/>
              <w:rPr>
                <w:rFonts w:ascii="Arial Narrow" w:eastAsia="Times New Roman" w:hAnsi="Arial Narrow"/>
                <w:b/>
                <w:noProof/>
                <w:sz w:val="22"/>
              </w:rPr>
            </w:pPr>
            <w:r w:rsidRPr="00DD1DFA">
              <w:rPr>
                <w:rFonts w:ascii="Arial Narrow" w:hAnsi="Arial Narrow"/>
                <w:b/>
                <w:noProof/>
                <w:sz w:val="22"/>
                <w:szCs w:val="24"/>
              </w:rPr>
              <w:t>DZIAŁ 7</w:t>
            </w:r>
            <w:r w:rsidR="00DD1DFA" w:rsidRPr="00DD1DFA">
              <w:rPr>
                <w:rFonts w:ascii="Arial Narrow" w:hAnsi="Arial Narrow"/>
                <w:b/>
                <w:noProof/>
                <w:sz w:val="22"/>
                <w:szCs w:val="24"/>
              </w:rPr>
              <w:t xml:space="preserve"> i</w:t>
            </w:r>
            <w:r w:rsidR="00DD1DFA">
              <w:rPr>
                <w:rFonts w:ascii="Arial Narrow" w:hAnsi="Arial Narrow"/>
                <w:b/>
                <w:noProof/>
                <w:sz w:val="22"/>
                <w:szCs w:val="24"/>
              </w:rPr>
              <w:t> </w:t>
            </w:r>
            <w:r w:rsidR="00DD1DFA" w:rsidRPr="00DD1DFA">
              <w:rPr>
                <w:rFonts w:ascii="Arial Narrow" w:hAnsi="Arial Narrow"/>
                <w:b/>
                <w:noProof/>
                <w:sz w:val="22"/>
                <w:szCs w:val="24"/>
              </w:rPr>
              <w:t>poz</w:t>
            </w:r>
            <w:r w:rsidRPr="00DD1DFA">
              <w:rPr>
                <w:rFonts w:ascii="Arial Narrow" w:hAnsi="Arial Narrow"/>
                <w:b/>
                <w:noProof/>
                <w:sz w:val="22"/>
                <w:szCs w:val="24"/>
              </w:rPr>
              <w:t>a DZIAŁEM 7</w:t>
            </w:r>
          </w:p>
        </w:tc>
        <w:tc>
          <w:tcPr>
            <w:tcW w:w="1273" w:type="dxa"/>
            <w:tcBorders>
              <w:top w:val="single" w:sz="12" w:space="0" w:color="auto"/>
            </w:tcBorders>
            <w:vAlign w:val="center"/>
          </w:tcPr>
          <w:p w14:paraId="5E96A386" w14:textId="77777777" w:rsidR="005D44AF" w:rsidRPr="00DD1DFA" w:rsidRDefault="005D44AF" w:rsidP="005D44AF">
            <w:pPr>
              <w:jc w:val="center"/>
              <w:rPr>
                <w:rFonts w:ascii="Arial Narrow" w:eastAsia="Times New Roman" w:hAnsi="Arial Narrow"/>
                <w:noProof/>
                <w:sz w:val="20"/>
                <w:szCs w:val="20"/>
              </w:rPr>
            </w:pPr>
            <w:r w:rsidRPr="00DD1DFA">
              <w:rPr>
                <w:rFonts w:ascii="Arial Narrow" w:hAnsi="Arial Narrow"/>
                <w:noProof/>
                <w:color w:val="000000"/>
                <w:sz w:val="20"/>
                <w:szCs w:val="20"/>
              </w:rPr>
              <w:t>1,269 </w:t>
            </w:r>
          </w:p>
        </w:tc>
        <w:tc>
          <w:tcPr>
            <w:tcW w:w="1272" w:type="dxa"/>
            <w:gridSpan w:val="2"/>
            <w:tcBorders>
              <w:top w:val="single" w:sz="12" w:space="0" w:color="auto"/>
            </w:tcBorders>
            <w:vAlign w:val="center"/>
          </w:tcPr>
          <w:p w14:paraId="540C2E36" w14:textId="77777777" w:rsidR="005D44AF" w:rsidRPr="00DD1DFA" w:rsidRDefault="005D44AF" w:rsidP="005D44AF">
            <w:pPr>
              <w:jc w:val="center"/>
              <w:rPr>
                <w:rFonts w:ascii="Arial Narrow" w:eastAsia="Times New Roman" w:hAnsi="Arial Narrow"/>
                <w:noProof/>
                <w:sz w:val="20"/>
                <w:szCs w:val="20"/>
              </w:rPr>
            </w:pPr>
            <w:r w:rsidRPr="00DD1DFA">
              <w:rPr>
                <w:rFonts w:ascii="Arial Narrow" w:hAnsi="Arial Narrow"/>
                <w:noProof/>
                <w:color w:val="000000"/>
                <w:sz w:val="20"/>
                <w:szCs w:val="20"/>
              </w:rPr>
              <w:t> 1,269</w:t>
            </w:r>
          </w:p>
        </w:tc>
        <w:tc>
          <w:tcPr>
            <w:tcW w:w="1273" w:type="dxa"/>
            <w:gridSpan w:val="2"/>
            <w:tcBorders>
              <w:top w:val="single" w:sz="12" w:space="0" w:color="auto"/>
            </w:tcBorders>
            <w:vAlign w:val="center"/>
          </w:tcPr>
          <w:p w14:paraId="7255A1FC" w14:textId="77777777" w:rsidR="005D44AF" w:rsidRPr="00DD1DFA" w:rsidRDefault="005D44AF" w:rsidP="005D44AF">
            <w:pPr>
              <w:jc w:val="center"/>
              <w:rPr>
                <w:rFonts w:ascii="Arial Narrow" w:eastAsia="Times New Roman" w:hAnsi="Arial Narrow"/>
                <w:noProof/>
                <w:sz w:val="20"/>
                <w:szCs w:val="20"/>
              </w:rPr>
            </w:pPr>
            <w:r w:rsidRPr="00DD1DFA">
              <w:rPr>
                <w:rFonts w:ascii="Arial Narrow" w:hAnsi="Arial Narrow"/>
                <w:noProof/>
                <w:color w:val="000000"/>
                <w:sz w:val="20"/>
                <w:szCs w:val="20"/>
              </w:rPr>
              <w:t>1,269 </w:t>
            </w:r>
          </w:p>
        </w:tc>
        <w:tc>
          <w:tcPr>
            <w:tcW w:w="1273" w:type="dxa"/>
            <w:tcBorders>
              <w:top w:val="single" w:sz="12" w:space="0" w:color="auto"/>
            </w:tcBorders>
            <w:vAlign w:val="center"/>
          </w:tcPr>
          <w:p w14:paraId="5A342E9E" w14:textId="77777777" w:rsidR="005D44AF" w:rsidRPr="00DD1DFA" w:rsidRDefault="005D44AF" w:rsidP="005D44AF">
            <w:pPr>
              <w:jc w:val="center"/>
              <w:rPr>
                <w:rFonts w:ascii="Arial Narrow" w:eastAsia="Times New Roman" w:hAnsi="Arial Narrow"/>
                <w:noProof/>
                <w:sz w:val="20"/>
                <w:szCs w:val="20"/>
              </w:rPr>
            </w:pPr>
            <w:r w:rsidRPr="00DD1DFA">
              <w:rPr>
                <w:rFonts w:ascii="Arial Narrow" w:hAnsi="Arial Narrow"/>
                <w:noProof/>
                <w:color w:val="000000"/>
                <w:sz w:val="20"/>
                <w:szCs w:val="20"/>
              </w:rPr>
              <w:t>1,112 </w:t>
            </w:r>
          </w:p>
        </w:tc>
        <w:tc>
          <w:tcPr>
            <w:tcW w:w="1273" w:type="dxa"/>
            <w:tcBorders>
              <w:top w:val="single" w:sz="12" w:space="0" w:color="auto"/>
            </w:tcBorders>
            <w:vAlign w:val="center"/>
          </w:tcPr>
          <w:p w14:paraId="1EED36CC" w14:textId="77777777" w:rsidR="005D44AF" w:rsidRPr="00DD1DFA" w:rsidRDefault="005D44AF" w:rsidP="005D44AF">
            <w:pPr>
              <w:jc w:val="center"/>
              <w:rPr>
                <w:rFonts w:ascii="Arial Narrow" w:eastAsia="Times New Roman" w:hAnsi="Arial Narrow"/>
                <w:noProof/>
                <w:sz w:val="20"/>
                <w:szCs w:val="20"/>
              </w:rPr>
            </w:pPr>
            <w:r w:rsidRPr="00DD1DFA">
              <w:rPr>
                <w:rFonts w:ascii="Arial Narrow" w:hAnsi="Arial Narrow"/>
                <w:noProof/>
                <w:color w:val="000000"/>
                <w:sz w:val="20"/>
                <w:szCs w:val="20"/>
              </w:rPr>
              <w:t>1,112 </w:t>
            </w:r>
          </w:p>
        </w:tc>
        <w:tc>
          <w:tcPr>
            <w:tcW w:w="1272" w:type="dxa"/>
            <w:gridSpan w:val="2"/>
            <w:tcBorders>
              <w:top w:val="single" w:sz="12" w:space="0" w:color="auto"/>
            </w:tcBorders>
            <w:vAlign w:val="center"/>
          </w:tcPr>
          <w:p w14:paraId="0D5BE9F5" w14:textId="77777777" w:rsidR="005D44AF" w:rsidRPr="00DD1DFA" w:rsidRDefault="005D44AF" w:rsidP="005D44AF">
            <w:pPr>
              <w:jc w:val="center"/>
              <w:rPr>
                <w:rFonts w:ascii="Arial Narrow" w:eastAsia="Times New Roman" w:hAnsi="Arial Narrow"/>
                <w:noProof/>
                <w:sz w:val="20"/>
                <w:szCs w:val="20"/>
              </w:rPr>
            </w:pPr>
            <w:r w:rsidRPr="00DD1DFA">
              <w:rPr>
                <w:rFonts w:ascii="Arial Narrow" w:hAnsi="Arial Narrow"/>
                <w:noProof/>
                <w:color w:val="000000"/>
                <w:sz w:val="20"/>
                <w:szCs w:val="20"/>
              </w:rPr>
              <w:t>0,798 </w:t>
            </w:r>
          </w:p>
        </w:tc>
        <w:tc>
          <w:tcPr>
            <w:tcW w:w="1273" w:type="dxa"/>
            <w:gridSpan w:val="2"/>
            <w:tcBorders>
              <w:top w:val="single" w:sz="12" w:space="0" w:color="auto"/>
            </w:tcBorders>
            <w:vAlign w:val="center"/>
          </w:tcPr>
          <w:p w14:paraId="1A2B182D" w14:textId="77777777" w:rsidR="005D44AF" w:rsidRPr="00DD1DFA" w:rsidRDefault="005D44AF" w:rsidP="005D44AF">
            <w:pPr>
              <w:spacing w:before="0" w:after="0"/>
              <w:jc w:val="center"/>
              <w:rPr>
                <w:rFonts w:ascii="Arial Narrow" w:eastAsia="Times New Roman" w:hAnsi="Arial Narrow"/>
                <w:b/>
                <w:noProof/>
                <w:sz w:val="20"/>
                <w:szCs w:val="20"/>
              </w:rPr>
            </w:pPr>
            <w:r w:rsidRPr="00DD1DFA">
              <w:rPr>
                <w:rFonts w:ascii="Arial Narrow" w:hAnsi="Arial Narrow"/>
                <w:b/>
                <w:bCs/>
                <w:noProof/>
                <w:color w:val="000000"/>
                <w:sz w:val="20"/>
                <w:szCs w:val="20"/>
              </w:rPr>
              <w:t>6,829 </w:t>
            </w:r>
          </w:p>
        </w:tc>
      </w:tr>
    </w:tbl>
    <w:p w14:paraId="17BE7EC5" w14:textId="77777777" w:rsidR="005D44AF" w:rsidRPr="00DD1DFA" w:rsidRDefault="005D44AF" w:rsidP="005D44AF">
      <w:pPr>
        <w:spacing w:before="0" w:after="0"/>
        <w:ind w:right="-496"/>
        <w:jc w:val="right"/>
        <w:rPr>
          <w:rFonts w:ascii="Arial Narrow" w:eastAsia="Times New Roman" w:hAnsi="Arial Narrow"/>
          <w:i/>
          <w:iCs/>
          <w:noProof/>
          <w:sz w:val="20"/>
          <w:szCs w:val="20"/>
          <w:lang w:eastAsia="en-GB"/>
        </w:rPr>
      </w:pPr>
    </w:p>
    <w:p w14:paraId="0211F888" w14:textId="594E88D3" w:rsidR="005D44AF" w:rsidRPr="00DD1DFA" w:rsidRDefault="005D44AF" w:rsidP="00D26B0E">
      <w:pPr>
        <w:spacing w:before="0" w:after="0"/>
        <w:rPr>
          <w:rFonts w:eastAsia="Times New Roman"/>
          <w:iCs/>
          <w:noProof/>
          <w:sz w:val="18"/>
          <w:szCs w:val="18"/>
        </w:rPr>
      </w:pPr>
      <w:r w:rsidRPr="00DD1DFA">
        <w:rPr>
          <w:noProof/>
          <w:sz w:val="18"/>
          <w:szCs w:val="24"/>
        </w:rPr>
        <w:t>Potrzeby</w:t>
      </w:r>
      <w:r w:rsidR="00DD1DFA" w:rsidRPr="00DD1DFA">
        <w:rPr>
          <w:noProof/>
          <w:sz w:val="18"/>
          <w:szCs w:val="24"/>
        </w:rPr>
        <w:t xml:space="preserve"> w</w:t>
      </w:r>
      <w:r w:rsidR="00DD1DFA">
        <w:rPr>
          <w:noProof/>
          <w:sz w:val="18"/>
          <w:szCs w:val="24"/>
        </w:rPr>
        <w:t> </w:t>
      </w:r>
      <w:r w:rsidR="00DD1DFA" w:rsidRPr="00DD1DFA">
        <w:rPr>
          <w:noProof/>
          <w:sz w:val="18"/>
          <w:szCs w:val="24"/>
        </w:rPr>
        <w:t>zak</w:t>
      </w:r>
      <w:r w:rsidRPr="00DD1DFA">
        <w:rPr>
          <w:noProof/>
          <w:sz w:val="18"/>
          <w:szCs w:val="24"/>
        </w:rPr>
        <w:t>resie środków administracyjnych zostaną pokryte ze środków już przydzielonych na zarządzanie tym działaniem lub przesuniętych, uzupełnionych</w:t>
      </w:r>
      <w:r w:rsidR="00DD1DFA" w:rsidRPr="00DD1DFA">
        <w:rPr>
          <w:noProof/>
          <w:sz w:val="18"/>
          <w:szCs w:val="24"/>
        </w:rPr>
        <w:t xml:space="preserve"> w</w:t>
      </w:r>
      <w:r w:rsidR="00DD1DFA">
        <w:rPr>
          <w:noProof/>
          <w:sz w:val="18"/>
          <w:szCs w:val="24"/>
        </w:rPr>
        <w:t> </w:t>
      </w:r>
      <w:r w:rsidR="00DD1DFA" w:rsidRPr="00DD1DFA">
        <w:rPr>
          <w:noProof/>
          <w:sz w:val="18"/>
          <w:szCs w:val="24"/>
        </w:rPr>
        <w:t>raz</w:t>
      </w:r>
      <w:r w:rsidRPr="00DD1DFA">
        <w:rPr>
          <w:noProof/>
          <w:sz w:val="18"/>
          <w:szCs w:val="24"/>
        </w:rPr>
        <w:t>ie potrzeby wszelkimi dodatkowymi zasobami, które mogą zostać przydzielone zarządzającej dyrekcji generalnej</w:t>
      </w:r>
      <w:r w:rsidR="00DD1DFA" w:rsidRPr="00DD1DFA">
        <w:rPr>
          <w:noProof/>
          <w:sz w:val="18"/>
          <w:szCs w:val="24"/>
        </w:rPr>
        <w:t xml:space="preserve"> w</w:t>
      </w:r>
      <w:r w:rsidR="00DD1DFA">
        <w:rPr>
          <w:noProof/>
          <w:sz w:val="18"/>
          <w:szCs w:val="24"/>
        </w:rPr>
        <w:t> </w:t>
      </w:r>
      <w:r w:rsidR="00DD1DFA" w:rsidRPr="00DD1DFA">
        <w:rPr>
          <w:noProof/>
          <w:sz w:val="18"/>
          <w:szCs w:val="24"/>
        </w:rPr>
        <w:t>ram</w:t>
      </w:r>
      <w:r w:rsidRPr="00DD1DFA">
        <w:rPr>
          <w:noProof/>
          <w:sz w:val="18"/>
          <w:szCs w:val="24"/>
        </w:rPr>
        <w:t>ach procedury rocznego przydziału środków oraz</w:t>
      </w:r>
      <w:r w:rsidR="00DD1DFA" w:rsidRPr="00DD1DFA">
        <w:rPr>
          <w:noProof/>
          <w:sz w:val="18"/>
          <w:szCs w:val="24"/>
        </w:rPr>
        <w:t xml:space="preserve"> w</w:t>
      </w:r>
      <w:r w:rsidR="00DD1DFA">
        <w:rPr>
          <w:noProof/>
          <w:sz w:val="18"/>
          <w:szCs w:val="24"/>
        </w:rPr>
        <w:t> </w:t>
      </w:r>
      <w:r w:rsidR="00DD1DFA" w:rsidRPr="00DD1DFA">
        <w:rPr>
          <w:noProof/>
          <w:sz w:val="18"/>
          <w:szCs w:val="24"/>
        </w:rPr>
        <w:t>świ</w:t>
      </w:r>
      <w:r w:rsidRPr="00DD1DFA">
        <w:rPr>
          <w:noProof/>
          <w:sz w:val="18"/>
          <w:szCs w:val="24"/>
        </w:rPr>
        <w:t>etle istniejących ograniczeń budżetowych.</w:t>
      </w:r>
    </w:p>
    <w:p w14:paraId="06781CED" w14:textId="77777777" w:rsidR="005D44AF" w:rsidRPr="00DD1DFA" w:rsidRDefault="005D44AF" w:rsidP="005D44AF">
      <w:pPr>
        <w:spacing w:before="60" w:after="0"/>
        <w:ind w:left="-360" w:firstLine="900"/>
        <w:rPr>
          <w:rFonts w:eastAsia="Times New Roman"/>
          <w:noProof/>
          <w:sz w:val="20"/>
          <w:szCs w:val="20"/>
          <w:lang w:eastAsia="en-GB"/>
        </w:rPr>
      </w:pPr>
    </w:p>
    <w:p w14:paraId="48FA6752" w14:textId="77777777" w:rsidR="005D44AF" w:rsidRPr="00DD1DFA" w:rsidRDefault="005D44AF" w:rsidP="004040F6">
      <w:pPr>
        <w:keepNext/>
        <w:spacing w:before="240" w:after="0"/>
        <w:jc w:val="left"/>
        <w:rPr>
          <w:rFonts w:eastAsia="Times New Roman"/>
          <w:noProof/>
          <w:szCs w:val="24"/>
          <w:lang w:eastAsia="en-GB"/>
        </w:rPr>
        <w:sectPr w:rsidR="005D44AF" w:rsidRPr="00DD1DFA" w:rsidSect="0037392B">
          <w:pgSz w:w="15840" w:h="12240" w:orient="landscape" w:code="1"/>
          <w:pgMar w:top="1418" w:right="1247" w:bottom="1418" w:left="1247" w:header="709" w:footer="709" w:gutter="0"/>
          <w:cols w:space="708"/>
          <w:docGrid w:linePitch="360"/>
        </w:sectPr>
      </w:pPr>
    </w:p>
    <w:p w14:paraId="495AA09A" w14:textId="3EE7162D" w:rsidR="005D44AF" w:rsidRPr="00DD1DFA" w:rsidRDefault="005F7EFA" w:rsidP="005F7EFA">
      <w:pPr>
        <w:pStyle w:val="ManualHeading1"/>
        <w:rPr>
          <w:rFonts w:eastAsia="Times New Roman"/>
          <w:noProof/>
        </w:rPr>
      </w:pPr>
      <w:r w:rsidRPr="005F7EFA">
        <w:t>4.</w:t>
      </w:r>
      <w:r w:rsidRPr="005F7EFA">
        <w:tab/>
      </w:r>
      <w:r w:rsidR="005D44AF" w:rsidRPr="00DD1DFA">
        <w:rPr>
          <w:noProof/>
        </w:rPr>
        <w:t>Metody obliczania szacunkowych kosztów</w:t>
      </w:r>
    </w:p>
    <w:p w14:paraId="34D00D1C" w14:textId="07937473" w:rsidR="005D44AF" w:rsidRPr="00DD1DFA" w:rsidRDefault="005F7EFA" w:rsidP="005F7EFA">
      <w:pPr>
        <w:pStyle w:val="ManualHeading2"/>
        <w:rPr>
          <w:rFonts w:eastAsia="Times New Roman"/>
          <w:noProof/>
          <w:szCs w:val="28"/>
        </w:rPr>
      </w:pPr>
      <w:r w:rsidRPr="005F7EFA">
        <w:t>4.1.</w:t>
      </w:r>
      <w:r w:rsidRPr="005F7EFA">
        <w:tab/>
      </w:r>
      <w:r w:rsidR="005D44AF" w:rsidRPr="00DD1DFA">
        <w:rPr>
          <w:noProof/>
        </w:rPr>
        <w:t>Zasoby ludzkie</w:t>
      </w:r>
    </w:p>
    <w:p w14:paraId="2C93CADB" w14:textId="77777777" w:rsidR="005D44AF" w:rsidRPr="00DD1DFA" w:rsidRDefault="005D44AF" w:rsidP="005D44AF">
      <w:pPr>
        <w:spacing w:before="0" w:after="0"/>
        <w:ind w:left="-357" w:firstLine="902"/>
        <w:rPr>
          <w:rFonts w:eastAsia="Times New Roman"/>
          <w:noProof/>
          <w:sz w:val="20"/>
          <w:szCs w:val="20"/>
          <w:lang w:eastAsia="en-GB"/>
        </w:rPr>
      </w:pPr>
    </w:p>
    <w:p w14:paraId="3CDA0BAD" w14:textId="77777777" w:rsidR="005D44AF" w:rsidRPr="00DD1DFA" w:rsidRDefault="005D44AF" w:rsidP="005D44AF">
      <w:pPr>
        <w:spacing w:before="0" w:after="60"/>
        <w:jc w:val="center"/>
        <w:rPr>
          <w:rFonts w:eastAsia="Times New Roman"/>
          <w:i/>
          <w:noProof/>
          <w:sz w:val="20"/>
          <w:szCs w:val="20"/>
          <w:lang w:eastAsia="en-GB"/>
        </w:rPr>
      </w:pPr>
    </w:p>
    <w:p w14:paraId="13FEB6B4" w14:textId="3ECA2E3F" w:rsidR="005D44AF" w:rsidRPr="00DD1DFA" w:rsidRDefault="005D44AF" w:rsidP="005D44AF">
      <w:pPr>
        <w:spacing w:before="0" w:after="60"/>
        <w:jc w:val="center"/>
        <w:rPr>
          <w:rFonts w:eastAsia="Times New Roman"/>
          <w:i/>
          <w:noProof/>
          <w:sz w:val="20"/>
          <w:szCs w:val="20"/>
        </w:rPr>
      </w:pPr>
      <w:r w:rsidRPr="00DD1DFA">
        <w:rPr>
          <w:i/>
          <w:noProof/>
          <w:sz w:val="20"/>
          <w:szCs w:val="24"/>
        </w:rPr>
        <w:t>W niniejszej części określono metodę obliczania szacunkowych kosztów zasobów ludzkich uznanych za niezbędne (założenia co do obciążenia pracą,</w:t>
      </w:r>
      <w:r w:rsidR="00DD1DFA" w:rsidRPr="00DD1DFA">
        <w:rPr>
          <w:i/>
          <w:noProof/>
          <w:sz w:val="20"/>
          <w:szCs w:val="24"/>
        </w:rPr>
        <w:t xml:space="preserve"> w</w:t>
      </w:r>
      <w:r w:rsidR="00DD1DFA">
        <w:rPr>
          <w:i/>
          <w:noProof/>
          <w:sz w:val="20"/>
          <w:szCs w:val="24"/>
        </w:rPr>
        <w:t> </w:t>
      </w:r>
      <w:r w:rsidR="00DD1DFA" w:rsidRPr="00DD1DFA">
        <w:rPr>
          <w:i/>
          <w:noProof/>
          <w:sz w:val="20"/>
          <w:szCs w:val="24"/>
        </w:rPr>
        <w:t>tym</w:t>
      </w:r>
      <w:r w:rsidRPr="00DD1DFA">
        <w:rPr>
          <w:i/>
          <w:noProof/>
          <w:sz w:val="20"/>
          <w:szCs w:val="24"/>
        </w:rPr>
        <w:t xml:space="preserve"> konkretne stanowiska pracy (profile zawodowe wg Sysper 2), kategorie personelu</w:t>
      </w:r>
      <w:r w:rsidR="00DD1DFA" w:rsidRPr="00DD1DFA">
        <w:rPr>
          <w:i/>
          <w:noProof/>
          <w:sz w:val="20"/>
          <w:szCs w:val="24"/>
        </w:rPr>
        <w:t xml:space="preserve"> i</w:t>
      </w:r>
      <w:r w:rsidR="00DD1DFA">
        <w:rPr>
          <w:i/>
          <w:noProof/>
          <w:sz w:val="20"/>
          <w:szCs w:val="24"/>
        </w:rPr>
        <w:t> </w:t>
      </w:r>
      <w:r w:rsidR="00DD1DFA" w:rsidRPr="00DD1DFA">
        <w:rPr>
          <w:i/>
          <w:noProof/>
          <w:sz w:val="20"/>
          <w:szCs w:val="24"/>
        </w:rPr>
        <w:t>odp</w:t>
      </w:r>
      <w:r w:rsidRPr="00DD1DFA">
        <w:rPr>
          <w:i/>
          <w:noProof/>
          <w:sz w:val="20"/>
          <w:szCs w:val="24"/>
        </w:rPr>
        <w:t>owiadające im średnie koszty)</w:t>
      </w:r>
    </w:p>
    <w:p w14:paraId="2DB3DC7A" w14:textId="77777777" w:rsidR="005D44AF" w:rsidRPr="00DD1DFA" w:rsidRDefault="005D44AF" w:rsidP="005D44AF">
      <w:pPr>
        <w:spacing w:before="0" w:after="60"/>
        <w:ind w:left="540"/>
        <w:jc w:val="center"/>
        <w:rPr>
          <w:rFonts w:eastAsia="Times New Roman"/>
          <w:i/>
          <w:noProof/>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rsidR="005D44AF" w:rsidRPr="00DD1DFA" w14:paraId="6109EF7C" w14:textId="77777777" w:rsidTr="00380F0F">
        <w:trPr>
          <w:jc w:val="center"/>
        </w:trPr>
        <w:tc>
          <w:tcPr>
            <w:tcW w:w="12474" w:type="dxa"/>
            <w:tcBorders>
              <w:top w:val="single" w:sz="4" w:space="0" w:color="auto"/>
            </w:tcBorders>
          </w:tcPr>
          <w:p w14:paraId="681DF9ED" w14:textId="77777777" w:rsidR="005D44AF" w:rsidRPr="00DD1DFA" w:rsidRDefault="005D44AF" w:rsidP="004462EA">
            <w:pPr>
              <w:spacing w:before="60" w:after="60"/>
              <w:jc w:val="left"/>
              <w:rPr>
                <w:rFonts w:ascii="Arial Narrow" w:eastAsia="Times New Roman" w:hAnsi="Arial Narrow"/>
                <w:b/>
                <w:noProof/>
                <w:sz w:val="22"/>
              </w:rPr>
            </w:pPr>
            <w:r w:rsidRPr="00DD1DFA">
              <w:rPr>
                <w:rFonts w:ascii="Arial Narrow" w:hAnsi="Arial Narrow"/>
                <w:b/>
                <w:noProof/>
                <w:sz w:val="22"/>
              </w:rPr>
              <w:t>DZIAŁ 7</w:t>
            </w:r>
            <w:r w:rsidRPr="00DD1DFA">
              <w:rPr>
                <w:rFonts w:ascii="Arial Narrow" w:hAnsi="Arial Narrow"/>
                <w:noProof/>
                <w:sz w:val="22"/>
              </w:rPr>
              <w:t xml:space="preserve"> wieloletnich ram finansowych</w:t>
            </w:r>
          </w:p>
        </w:tc>
      </w:tr>
      <w:tr w:rsidR="005D44AF" w:rsidRPr="00DD1DFA" w14:paraId="6C8D378A" w14:textId="77777777" w:rsidTr="00380F0F">
        <w:trPr>
          <w:jc w:val="center"/>
        </w:trPr>
        <w:tc>
          <w:tcPr>
            <w:tcW w:w="12474" w:type="dxa"/>
          </w:tcPr>
          <w:p w14:paraId="55354196" w14:textId="613CAFE7" w:rsidR="005D44AF" w:rsidRPr="00DD1DFA" w:rsidRDefault="005D44AF" w:rsidP="004462EA">
            <w:pPr>
              <w:spacing w:before="20" w:after="20"/>
              <w:jc w:val="center"/>
              <w:rPr>
                <w:rFonts w:ascii="Arial Narrow" w:eastAsia="Times New Roman" w:hAnsi="Arial Narrow"/>
                <w:noProof/>
                <w:sz w:val="18"/>
                <w:szCs w:val="18"/>
              </w:rPr>
            </w:pPr>
            <w:r w:rsidRPr="00DD1DFA">
              <w:rPr>
                <w:rFonts w:ascii="Arial Narrow" w:hAnsi="Arial Narrow"/>
                <w:noProof/>
                <w:sz w:val="18"/>
                <w:szCs w:val="24"/>
                <w:u w:val="single"/>
              </w:rPr>
              <w:t>UWAGA:</w:t>
            </w:r>
            <w:r w:rsidRPr="00DD1DFA">
              <w:rPr>
                <w:rFonts w:ascii="Arial Narrow" w:hAnsi="Arial Narrow"/>
                <w:noProof/>
                <w:sz w:val="18"/>
                <w:szCs w:val="24"/>
              </w:rPr>
              <w:t xml:space="preserve"> średnie koszty dla poszczególnych kategorii pracowników</w:t>
            </w:r>
            <w:r w:rsidR="00DD1DFA" w:rsidRPr="00DD1DFA">
              <w:rPr>
                <w:rFonts w:ascii="Arial Narrow" w:hAnsi="Arial Narrow"/>
                <w:noProof/>
                <w:sz w:val="18"/>
                <w:szCs w:val="24"/>
              </w:rPr>
              <w:t xml:space="preserve"> w</w:t>
            </w:r>
            <w:r w:rsidR="00DD1DFA">
              <w:rPr>
                <w:rFonts w:ascii="Arial Narrow" w:hAnsi="Arial Narrow"/>
                <w:noProof/>
                <w:sz w:val="18"/>
                <w:szCs w:val="24"/>
              </w:rPr>
              <w:t> </w:t>
            </w:r>
            <w:r w:rsidR="00DD1DFA" w:rsidRPr="00DD1DFA">
              <w:rPr>
                <w:rFonts w:ascii="Arial Narrow" w:hAnsi="Arial Narrow"/>
                <w:noProof/>
                <w:sz w:val="18"/>
                <w:szCs w:val="24"/>
              </w:rPr>
              <w:t>cen</w:t>
            </w:r>
            <w:r w:rsidRPr="00DD1DFA">
              <w:rPr>
                <w:rFonts w:ascii="Arial Narrow" w:hAnsi="Arial Narrow"/>
                <w:noProof/>
                <w:sz w:val="18"/>
                <w:szCs w:val="24"/>
              </w:rPr>
              <w:t>trali są dostępne na stronie BudgWeb:</w:t>
            </w:r>
          </w:p>
          <w:p w14:paraId="7721F3A7" w14:textId="77777777" w:rsidR="005D44AF" w:rsidRPr="00DD1DFA" w:rsidRDefault="006656E8" w:rsidP="004462EA">
            <w:pPr>
              <w:spacing w:before="0" w:after="20"/>
              <w:jc w:val="center"/>
              <w:rPr>
                <w:rFonts w:ascii="Arial Narrow" w:eastAsia="Times New Roman" w:hAnsi="Arial Narrow"/>
                <w:noProof/>
                <w:sz w:val="18"/>
                <w:szCs w:val="18"/>
              </w:rPr>
            </w:pPr>
            <w:hyperlink r:id="rId31" w:history="1">
              <w:r w:rsidR="00C61D1F" w:rsidRPr="00DD1DFA">
                <w:rPr>
                  <w:rFonts w:ascii="Arial Narrow" w:hAnsi="Arial Narrow"/>
                  <w:noProof/>
                  <w:color w:val="0000FF"/>
                  <w:sz w:val="18"/>
                  <w:szCs w:val="18"/>
                  <w:u w:val="single"/>
                </w:rPr>
                <w:t>https://myintracomm.ec.europa.eu/budgweb/EN/pre/legalbasis/Pages/pre-040-020_preparation.aspx</w:t>
              </w:r>
            </w:hyperlink>
          </w:p>
        </w:tc>
      </w:tr>
      <w:tr w:rsidR="005D44AF" w:rsidRPr="00DD1DFA" w14:paraId="694D786B" w14:textId="77777777" w:rsidTr="00380F0F">
        <w:trPr>
          <w:jc w:val="center"/>
        </w:trPr>
        <w:tc>
          <w:tcPr>
            <w:tcW w:w="12474" w:type="dxa"/>
          </w:tcPr>
          <w:p w14:paraId="00989C4D" w14:textId="124BFB6A" w:rsidR="005D44AF" w:rsidRPr="00DD1DFA" w:rsidRDefault="005D44AF" w:rsidP="004462EA">
            <w:pPr>
              <w:spacing w:before="40" w:after="0"/>
              <w:jc w:val="left"/>
              <w:rPr>
                <w:rFonts w:ascii="Arial Narrow" w:eastAsia="Times New Roman" w:hAnsi="Arial Narrow"/>
                <w:bCs/>
                <w:iCs/>
                <w:noProof/>
                <w:sz w:val="20"/>
                <w:szCs w:val="20"/>
              </w:rPr>
            </w:pPr>
            <w:r w:rsidRPr="00DD1DFA">
              <w:rPr>
                <w:rFonts w:ascii="Arial Narrow" w:hAnsi="Arial Narrow"/>
                <w:b/>
                <w:noProof/>
                <w:szCs w:val="24"/>
              </w:rPr>
              <w:sym w:font="Wingdings" w:char="F09F"/>
            </w:r>
            <w:r w:rsidRPr="00DD1DFA">
              <w:rPr>
                <w:rFonts w:ascii="Arial Narrow" w:hAnsi="Arial Narrow"/>
                <w:b/>
                <w:noProof/>
                <w:szCs w:val="24"/>
              </w:rPr>
              <w:t xml:space="preserve"> </w:t>
            </w:r>
            <w:r w:rsidRPr="00DD1DFA">
              <w:rPr>
                <w:rFonts w:ascii="Arial Narrow" w:hAnsi="Arial Narrow"/>
                <w:noProof/>
                <w:sz w:val="22"/>
                <w:szCs w:val="24"/>
              </w:rPr>
              <w:t>Urzędnicy</w:t>
            </w:r>
            <w:r w:rsidR="00DD1DFA" w:rsidRPr="00DD1DFA">
              <w:rPr>
                <w:rFonts w:ascii="Arial Narrow" w:hAnsi="Arial Narrow"/>
                <w:noProof/>
                <w:sz w:val="22"/>
                <w:szCs w:val="24"/>
              </w:rPr>
              <w:t xml:space="preserve"> i</w:t>
            </w:r>
            <w:r w:rsidR="00DD1DFA">
              <w:rPr>
                <w:rFonts w:ascii="Arial Narrow" w:hAnsi="Arial Narrow"/>
                <w:noProof/>
                <w:sz w:val="22"/>
                <w:szCs w:val="24"/>
              </w:rPr>
              <w:t> </w:t>
            </w:r>
            <w:r w:rsidR="00DD1DFA" w:rsidRPr="00DD1DFA">
              <w:rPr>
                <w:rFonts w:ascii="Arial Narrow" w:hAnsi="Arial Narrow"/>
                <w:noProof/>
                <w:sz w:val="22"/>
                <w:szCs w:val="24"/>
              </w:rPr>
              <w:t>pra</w:t>
            </w:r>
            <w:r w:rsidRPr="00DD1DFA">
              <w:rPr>
                <w:rFonts w:ascii="Arial Narrow" w:hAnsi="Arial Narrow"/>
                <w:noProof/>
                <w:sz w:val="22"/>
                <w:szCs w:val="24"/>
              </w:rPr>
              <w:t>cownicy zatrudnieni na czas określony</w:t>
            </w:r>
          </w:p>
          <w:p w14:paraId="79B0F07D" w14:textId="4ABC9981" w:rsidR="005D44AF" w:rsidRPr="00DD1DFA" w:rsidRDefault="005D44AF" w:rsidP="00D810F6">
            <w:pPr>
              <w:numPr>
                <w:ilvl w:val="0"/>
                <w:numId w:val="37"/>
              </w:numPr>
              <w:spacing w:before="0" w:after="0"/>
              <w:jc w:val="left"/>
              <w:rPr>
                <w:rFonts w:ascii="Arial Narrow" w:eastAsia="Times New Roman" w:hAnsi="Arial Narrow"/>
                <w:noProof/>
                <w:sz w:val="22"/>
                <w:szCs w:val="24"/>
              </w:rPr>
            </w:pPr>
            <w:r w:rsidRPr="00DD1DFA">
              <w:rPr>
                <w:rFonts w:ascii="Arial Narrow" w:hAnsi="Arial Narrow"/>
                <w:noProof/>
                <w:sz w:val="22"/>
                <w:szCs w:val="24"/>
              </w:rPr>
              <w:t>Po rewizji zakres rozporządzenia</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spr</w:t>
            </w:r>
            <w:r w:rsidRPr="00DD1DFA">
              <w:rPr>
                <w:rFonts w:ascii="Arial Narrow" w:hAnsi="Arial Narrow"/>
                <w:noProof/>
                <w:sz w:val="22"/>
                <w:szCs w:val="24"/>
              </w:rPr>
              <w:t>awie wyrobów budowlanych zostanie rozszerzony zarówno pod względem wyrobów objętych rozporządzeniem, jak</w:t>
            </w:r>
            <w:r w:rsidR="00DD1DFA" w:rsidRPr="00DD1DFA">
              <w:rPr>
                <w:rFonts w:ascii="Arial Narrow" w:hAnsi="Arial Narrow"/>
                <w:noProof/>
                <w:sz w:val="22"/>
                <w:szCs w:val="24"/>
              </w:rPr>
              <w:t xml:space="preserve"> i</w:t>
            </w:r>
            <w:r w:rsidR="00DD1DFA">
              <w:rPr>
                <w:rFonts w:ascii="Arial Narrow" w:hAnsi="Arial Narrow"/>
                <w:noProof/>
                <w:sz w:val="22"/>
                <w:szCs w:val="24"/>
              </w:rPr>
              <w:t> </w:t>
            </w:r>
            <w:r w:rsidR="00DD1DFA" w:rsidRPr="00DD1DFA">
              <w:rPr>
                <w:rFonts w:ascii="Arial Narrow" w:hAnsi="Arial Narrow"/>
                <w:noProof/>
                <w:sz w:val="22"/>
                <w:szCs w:val="24"/>
              </w:rPr>
              <w:t>wym</w:t>
            </w:r>
            <w:r w:rsidRPr="00DD1DFA">
              <w:rPr>
                <w:rFonts w:ascii="Arial Narrow" w:hAnsi="Arial Narrow"/>
                <w:noProof/>
                <w:sz w:val="22"/>
                <w:szCs w:val="24"/>
              </w:rPr>
              <w:t>ogów (np. wymogów</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zak</w:t>
            </w:r>
            <w:r w:rsidRPr="00DD1DFA">
              <w:rPr>
                <w:rFonts w:ascii="Arial Narrow" w:hAnsi="Arial Narrow"/>
                <w:noProof/>
                <w:sz w:val="22"/>
                <w:szCs w:val="24"/>
              </w:rPr>
              <w:t>resie ochrony środowiska/zrównoważonego rozwoju</w:t>
            </w:r>
            <w:r w:rsidR="00DD1DFA" w:rsidRPr="00DD1DFA">
              <w:rPr>
                <w:rFonts w:ascii="Arial Narrow" w:hAnsi="Arial Narrow"/>
                <w:noProof/>
                <w:sz w:val="22"/>
                <w:szCs w:val="24"/>
              </w:rPr>
              <w:t xml:space="preserve"> i</w:t>
            </w:r>
            <w:r w:rsidR="00DD1DFA">
              <w:rPr>
                <w:rFonts w:ascii="Arial Narrow" w:hAnsi="Arial Narrow"/>
                <w:noProof/>
                <w:sz w:val="22"/>
                <w:szCs w:val="24"/>
              </w:rPr>
              <w:t> </w:t>
            </w:r>
            <w:r w:rsidR="00DD1DFA" w:rsidRPr="00DD1DFA">
              <w:rPr>
                <w:rFonts w:ascii="Arial Narrow" w:hAnsi="Arial Narrow"/>
                <w:noProof/>
                <w:sz w:val="22"/>
                <w:szCs w:val="24"/>
              </w:rPr>
              <w:t>bez</w:t>
            </w:r>
            <w:r w:rsidRPr="00DD1DFA">
              <w:rPr>
                <w:rFonts w:ascii="Arial Narrow" w:hAnsi="Arial Narrow"/>
                <w:noProof/>
                <w:sz w:val="22"/>
                <w:szCs w:val="24"/>
              </w:rPr>
              <w:t>pieczeństwa). Pojawi się więcej norm zharmonizowanych, które będą bardziej złożone</w:t>
            </w:r>
            <w:r w:rsidR="00DD1DFA" w:rsidRPr="00DD1DFA">
              <w:rPr>
                <w:rFonts w:ascii="Arial Narrow" w:hAnsi="Arial Narrow"/>
                <w:noProof/>
                <w:sz w:val="22"/>
                <w:szCs w:val="24"/>
              </w:rPr>
              <w:t>. W</w:t>
            </w:r>
            <w:r w:rsidR="00DD1DFA">
              <w:rPr>
                <w:rFonts w:ascii="Arial Narrow" w:hAnsi="Arial Narrow"/>
                <w:noProof/>
                <w:sz w:val="22"/>
                <w:szCs w:val="24"/>
              </w:rPr>
              <w:t> </w:t>
            </w:r>
            <w:r w:rsidR="00DD1DFA" w:rsidRPr="00DD1DFA">
              <w:rPr>
                <w:rFonts w:ascii="Arial Narrow" w:hAnsi="Arial Narrow"/>
                <w:noProof/>
                <w:sz w:val="22"/>
                <w:szCs w:val="24"/>
              </w:rPr>
              <w:t>zwi</w:t>
            </w:r>
            <w:r w:rsidRPr="00DD1DFA">
              <w:rPr>
                <w:rFonts w:ascii="Arial Narrow" w:hAnsi="Arial Narrow"/>
                <w:noProof/>
                <w:sz w:val="22"/>
                <w:szCs w:val="24"/>
              </w:rPr>
              <w:t>ązku</w:t>
            </w:r>
            <w:r w:rsidR="00DD1DFA" w:rsidRPr="00DD1DFA">
              <w:rPr>
                <w:rFonts w:ascii="Arial Narrow" w:hAnsi="Arial Narrow"/>
                <w:noProof/>
                <w:sz w:val="22"/>
                <w:szCs w:val="24"/>
              </w:rPr>
              <w:t xml:space="preserve"> z</w:t>
            </w:r>
            <w:r w:rsidR="00DD1DFA">
              <w:rPr>
                <w:rFonts w:ascii="Arial Narrow" w:hAnsi="Arial Narrow"/>
                <w:noProof/>
                <w:sz w:val="22"/>
                <w:szCs w:val="24"/>
              </w:rPr>
              <w:t> </w:t>
            </w:r>
            <w:r w:rsidR="00DD1DFA" w:rsidRPr="00DD1DFA">
              <w:rPr>
                <w:rFonts w:ascii="Arial Narrow" w:hAnsi="Arial Narrow"/>
                <w:noProof/>
                <w:sz w:val="22"/>
                <w:szCs w:val="24"/>
              </w:rPr>
              <w:t>tym w</w:t>
            </w:r>
            <w:r w:rsidR="00DD1DFA">
              <w:rPr>
                <w:rFonts w:ascii="Arial Narrow" w:hAnsi="Arial Narrow"/>
                <w:noProof/>
                <w:sz w:val="22"/>
                <w:szCs w:val="24"/>
              </w:rPr>
              <w:t> </w:t>
            </w:r>
            <w:r w:rsidR="00DD1DFA" w:rsidRPr="00DD1DFA">
              <w:rPr>
                <w:rFonts w:ascii="Arial Narrow" w:hAnsi="Arial Narrow"/>
                <w:noProof/>
                <w:sz w:val="22"/>
                <w:szCs w:val="24"/>
              </w:rPr>
              <w:t>prz</w:t>
            </w:r>
            <w:r w:rsidRPr="00DD1DFA">
              <w:rPr>
                <w:rFonts w:ascii="Arial Narrow" w:hAnsi="Arial Narrow"/>
                <w:noProof/>
                <w:sz w:val="22"/>
                <w:szCs w:val="24"/>
              </w:rPr>
              <w:t>ypadku norm zharmonizowanych ocena będzie wymagała takich samych zasobów, jak obecnie</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prz</w:t>
            </w:r>
            <w:r w:rsidRPr="00DD1DFA">
              <w:rPr>
                <w:rFonts w:ascii="Arial Narrow" w:hAnsi="Arial Narrow"/>
                <w:noProof/>
                <w:sz w:val="22"/>
                <w:szCs w:val="24"/>
              </w:rPr>
              <w:t>ypadku europejskich dokumentów oceny, tj.</w:t>
            </w:r>
            <w:r w:rsidR="00DD1DFA" w:rsidRPr="00DD1DFA">
              <w:rPr>
                <w:rFonts w:ascii="Arial Narrow" w:hAnsi="Arial Narrow"/>
                <w:noProof/>
                <w:sz w:val="22"/>
                <w:szCs w:val="24"/>
              </w:rPr>
              <w:t> </w:t>
            </w:r>
            <w:r w:rsidRPr="00DD1DFA">
              <w:rPr>
                <w:rFonts w:ascii="Arial Narrow" w:hAnsi="Arial Narrow"/>
                <w:noProof/>
                <w:sz w:val="22"/>
                <w:szCs w:val="24"/>
              </w:rPr>
              <w:t xml:space="preserve">2,5 dni roboczych na normę zharmonizowaną. </w:t>
            </w:r>
          </w:p>
          <w:p w14:paraId="1406E64C" w14:textId="180F1720" w:rsidR="005D44AF" w:rsidRPr="00DD1DFA" w:rsidRDefault="005D44AF" w:rsidP="00D810F6">
            <w:pPr>
              <w:numPr>
                <w:ilvl w:val="0"/>
                <w:numId w:val="37"/>
              </w:numPr>
              <w:spacing w:before="0" w:after="0"/>
              <w:jc w:val="left"/>
              <w:rPr>
                <w:rFonts w:ascii="Arial Narrow" w:eastAsia="Times New Roman" w:hAnsi="Arial Narrow"/>
                <w:noProof/>
                <w:sz w:val="22"/>
                <w:szCs w:val="24"/>
              </w:rPr>
            </w:pPr>
            <w:r w:rsidRPr="00DD1DFA">
              <w:rPr>
                <w:rFonts w:ascii="Arial Narrow" w:hAnsi="Arial Narrow"/>
                <w:noProof/>
                <w:sz w:val="22"/>
                <w:szCs w:val="24"/>
              </w:rPr>
              <w:t>Biorąc pod uwagę konieczność rewizji około 600 norm zharmonizowanych</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cią</w:t>
            </w:r>
            <w:r w:rsidRPr="00DD1DFA">
              <w:rPr>
                <w:rFonts w:ascii="Arial Narrow" w:hAnsi="Arial Narrow"/>
                <w:noProof/>
                <w:sz w:val="22"/>
                <w:szCs w:val="24"/>
              </w:rPr>
              <w:t>gu 5 lat od wejścia</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życ</w:t>
            </w:r>
            <w:r w:rsidRPr="00DD1DFA">
              <w:rPr>
                <w:rFonts w:ascii="Arial Narrow" w:hAnsi="Arial Narrow"/>
                <w:noProof/>
                <w:sz w:val="22"/>
                <w:szCs w:val="24"/>
              </w:rPr>
              <w:t>ie, można założyć, że co roku trzeba będzie ocenić 120 norm, x2,5 dnia roboczego na jedną ocenę, co daje 300 dni roboczych.</w:t>
            </w:r>
          </w:p>
          <w:p w14:paraId="67BDAC6D" w14:textId="2F295ECF" w:rsidR="005D44AF" w:rsidRPr="00DD1DFA" w:rsidRDefault="005D44AF" w:rsidP="00D810F6">
            <w:pPr>
              <w:numPr>
                <w:ilvl w:val="0"/>
                <w:numId w:val="37"/>
              </w:numPr>
              <w:spacing w:before="0" w:after="0"/>
              <w:jc w:val="left"/>
              <w:rPr>
                <w:rFonts w:ascii="Arial Narrow" w:eastAsia="Times New Roman" w:hAnsi="Arial Narrow"/>
                <w:noProof/>
                <w:sz w:val="22"/>
                <w:szCs w:val="24"/>
              </w:rPr>
            </w:pPr>
            <w:r w:rsidRPr="00DD1DFA">
              <w:rPr>
                <w:rFonts w:ascii="Arial Narrow" w:hAnsi="Arial Narrow"/>
                <w:noProof/>
                <w:sz w:val="22"/>
                <w:szCs w:val="24"/>
              </w:rPr>
              <w:t>Równolegle będą trwały prace nad dorobkiem związanym</w:t>
            </w:r>
            <w:r w:rsidR="00DD1DFA" w:rsidRPr="00DD1DFA">
              <w:rPr>
                <w:rFonts w:ascii="Arial Narrow" w:hAnsi="Arial Narrow"/>
                <w:noProof/>
                <w:sz w:val="22"/>
                <w:szCs w:val="24"/>
              </w:rPr>
              <w:t xml:space="preserve"> z</w:t>
            </w:r>
            <w:r w:rsidR="00DD1DFA">
              <w:rPr>
                <w:rFonts w:ascii="Arial Narrow" w:hAnsi="Arial Narrow"/>
                <w:noProof/>
                <w:sz w:val="22"/>
                <w:szCs w:val="24"/>
              </w:rPr>
              <w:t> </w:t>
            </w:r>
            <w:r w:rsidR="00DD1DFA" w:rsidRPr="00DD1DFA">
              <w:rPr>
                <w:rFonts w:ascii="Arial Narrow" w:hAnsi="Arial Narrow"/>
                <w:noProof/>
                <w:sz w:val="22"/>
                <w:szCs w:val="24"/>
              </w:rPr>
              <w:t>roz</w:t>
            </w:r>
            <w:r w:rsidRPr="00DD1DFA">
              <w:rPr>
                <w:rFonts w:ascii="Arial Narrow" w:hAnsi="Arial Narrow"/>
                <w:noProof/>
                <w:sz w:val="22"/>
                <w:szCs w:val="24"/>
              </w:rPr>
              <w:t>porządzeniem</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spr</w:t>
            </w:r>
            <w:r w:rsidRPr="00DD1DFA">
              <w:rPr>
                <w:rFonts w:ascii="Arial Narrow" w:hAnsi="Arial Narrow"/>
                <w:noProof/>
                <w:sz w:val="22"/>
                <w:szCs w:val="24"/>
              </w:rPr>
              <w:t>awie wyrobów budowlanych oraz opracowywanie nowych zleceń normalizacji lub aktów wykonawczych. Dorobek wymaga jednego EPC, co daje 220 dni roboczych.</w:t>
            </w:r>
          </w:p>
          <w:p w14:paraId="728CC1FD" w14:textId="4CBE4C93" w:rsidR="005D44AF" w:rsidRPr="00DD1DFA" w:rsidRDefault="005D44AF" w:rsidP="00D810F6">
            <w:pPr>
              <w:numPr>
                <w:ilvl w:val="0"/>
                <w:numId w:val="37"/>
              </w:numPr>
              <w:spacing w:before="0" w:after="0"/>
              <w:jc w:val="left"/>
              <w:rPr>
                <w:rFonts w:ascii="Arial Narrow" w:eastAsia="Times New Roman" w:hAnsi="Arial Narrow"/>
                <w:noProof/>
                <w:sz w:val="22"/>
                <w:szCs w:val="24"/>
              </w:rPr>
            </w:pPr>
            <w:r w:rsidRPr="00DD1DFA">
              <w:rPr>
                <w:rFonts w:ascii="Arial Narrow" w:hAnsi="Arial Narrow"/>
                <w:noProof/>
                <w:sz w:val="22"/>
                <w:szCs w:val="24"/>
              </w:rPr>
              <w:t>Biorąc pod uwagę 5 aktów prawnych rocznie (nowe zlecenia normalizacji, dokumenty oceny lub akty wykonawcze)</w:t>
            </w:r>
            <w:r w:rsidR="00DD1DFA" w:rsidRPr="00DD1DFA">
              <w:rPr>
                <w:rFonts w:ascii="Arial Narrow" w:hAnsi="Arial Narrow"/>
                <w:noProof/>
                <w:sz w:val="22"/>
                <w:szCs w:val="24"/>
              </w:rPr>
              <w:t xml:space="preserve"> i</w:t>
            </w:r>
            <w:r w:rsidR="00DD1DFA">
              <w:rPr>
                <w:rFonts w:ascii="Arial Narrow" w:hAnsi="Arial Narrow"/>
                <w:noProof/>
                <w:sz w:val="22"/>
                <w:szCs w:val="24"/>
              </w:rPr>
              <w:t> </w:t>
            </w:r>
            <w:r w:rsidR="00DD1DFA" w:rsidRPr="00DD1DFA">
              <w:rPr>
                <w:rFonts w:ascii="Arial Narrow" w:hAnsi="Arial Narrow"/>
                <w:noProof/>
                <w:sz w:val="22"/>
                <w:szCs w:val="24"/>
              </w:rPr>
              <w:t>oko</w:t>
            </w:r>
            <w:r w:rsidRPr="00DD1DFA">
              <w:rPr>
                <w:rFonts w:ascii="Arial Narrow" w:hAnsi="Arial Narrow"/>
                <w:noProof/>
                <w:sz w:val="22"/>
                <w:szCs w:val="24"/>
              </w:rPr>
              <w:t>ło 30 dni roboczych na opracowanie każdego aktu, daje to</w:t>
            </w:r>
            <w:r w:rsidR="00DD1DFA" w:rsidRPr="00DD1DFA">
              <w:rPr>
                <w:rFonts w:ascii="Arial Narrow" w:hAnsi="Arial Narrow"/>
                <w:noProof/>
                <w:sz w:val="22"/>
                <w:szCs w:val="24"/>
              </w:rPr>
              <w:t> </w:t>
            </w:r>
            <w:r w:rsidRPr="00DD1DFA">
              <w:rPr>
                <w:rFonts w:ascii="Arial Narrow" w:hAnsi="Arial Narrow"/>
                <w:noProof/>
                <w:sz w:val="22"/>
                <w:szCs w:val="24"/>
              </w:rPr>
              <w:t>150 dni roboczych (w tym wsparcie prawnika znacznie przekraczające zwykłe 0,2 EPC).</w:t>
            </w:r>
          </w:p>
          <w:p w14:paraId="1CFAF26F" w14:textId="5840500C" w:rsidR="005D44AF" w:rsidRPr="00DD1DFA" w:rsidRDefault="005D44AF" w:rsidP="00D810F6">
            <w:pPr>
              <w:numPr>
                <w:ilvl w:val="0"/>
                <w:numId w:val="37"/>
              </w:numPr>
              <w:spacing w:before="0" w:after="0"/>
              <w:jc w:val="left"/>
              <w:rPr>
                <w:rFonts w:ascii="Arial Narrow" w:eastAsia="Times New Roman" w:hAnsi="Arial Narrow"/>
                <w:noProof/>
                <w:sz w:val="22"/>
                <w:szCs w:val="24"/>
              </w:rPr>
            </w:pPr>
            <w:r w:rsidRPr="00DD1DFA">
              <w:rPr>
                <w:rFonts w:ascii="Arial Narrow" w:hAnsi="Arial Narrow"/>
                <w:noProof/>
                <w:sz w:val="22"/>
                <w:szCs w:val="24"/>
              </w:rPr>
              <w:t>Ścieżka EOTA (europejskie dokumenty oceny) będzie ograniczona do wyrobów, które</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ogó</w:t>
            </w:r>
            <w:r w:rsidRPr="00DD1DFA">
              <w:rPr>
                <w:rFonts w:ascii="Arial Narrow" w:hAnsi="Arial Narrow"/>
                <w:noProof/>
                <w:sz w:val="22"/>
                <w:szCs w:val="24"/>
              </w:rPr>
              <w:t>le nie są objęte normami zharmonizowanymi. Nie wprowadzono nowych wymogów dotyczących europejskich dokumentów oceny,</w:t>
            </w:r>
            <w:r w:rsidR="00DD1DFA" w:rsidRPr="00DD1DFA">
              <w:rPr>
                <w:rFonts w:ascii="Arial Narrow" w:hAnsi="Arial Narrow"/>
                <w:noProof/>
                <w:sz w:val="22"/>
                <w:szCs w:val="24"/>
              </w:rPr>
              <w:t xml:space="preserve"> a</w:t>
            </w:r>
            <w:r w:rsidR="00DD1DFA">
              <w:rPr>
                <w:rFonts w:ascii="Arial Narrow" w:hAnsi="Arial Narrow"/>
                <w:noProof/>
                <w:sz w:val="22"/>
                <w:szCs w:val="24"/>
              </w:rPr>
              <w:t> </w:t>
            </w:r>
            <w:r w:rsidR="00DD1DFA" w:rsidRPr="00DD1DFA">
              <w:rPr>
                <w:rFonts w:ascii="Arial Narrow" w:hAnsi="Arial Narrow"/>
                <w:noProof/>
                <w:sz w:val="22"/>
                <w:szCs w:val="24"/>
              </w:rPr>
              <w:t>zat</w:t>
            </w:r>
            <w:r w:rsidRPr="00DD1DFA">
              <w:rPr>
                <w:rFonts w:ascii="Arial Narrow" w:hAnsi="Arial Narrow"/>
                <w:noProof/>
                <w:sz w:val="22"/>
                <w:szCs w:val="24"/>
              </w:rPr>
              <w:t>em można założyć taki sam czas oceny jak obecnie (2,5 dnia roboczego)</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odn</w:t>
            </w:r>
            <w:r w:rsidRPr="00DD1DFA">
              <w:rPr>
                <w:rFonts w:ascii="Arial Narrow" w:hAnsi="Arial Narrow"/>
                <w:noProof/>
                <w:sz w:val="22"/>
                <w:szCs w:val="24"/>
              </w:rPr>
              <w:t>iesieniu do maksymalnie 30 europejskich dokumentów oceny rocznie. Daje to</w:t>
            </w:r>
            <w:r w:rsidR="00DD1DFA" w:rsidRPr="00DD1DFA">
              <w:rPr>
                <w:rFonts w:ascii="Arial Narrow" w:hAnsi="Arial Narrow"/>
                <w:noProof/>
                <w:sz w:val="22"/>
                <w:szCs w:val="24"/>
              </w:rPr>
              <w:t> </w:t>
            </w:r>
            <w:r w:rsidRPr="00DD1DFA">
              <w:rPr>
                <w:rFonts w:ascii="Arial Narrow" w:hAnsi="Arial Narrow"/>
                <w:noProof/>
                <w:sz w:val="22"/>
                <w:szCs w:val="24"/>
              </w:rPr>
              <w:t>75 dni roboczych.</w:t>
            </w:r>
          </w:p>
          <w:p w14:paraId="623358F9" w14:textId="2378FA1F" w:rsidR="005D44AF" w:rsidRPr="00DD1DFA" w:rsidRDefault="005D44AF" w:rsidP="00D810F6">
            <w:pPr>
              <w:numPr>
                <w:ilvl w:val="0"/>
                <w:numId w:val="37"/>
              </w:numPr>
              <w:spacing w:before="0" w:after="0"/>
              <w:jc w:val="left"/>
              <w:rPr>
                <w:rFonts w:ascii="Arial Narrow" w:eastAsia="Times New Roman" w:hAnsi="Arial Narrow"/>
                <w:noProof/>
                <w:sz w:val="22"/>
                <w:szCs w:val="24"/>
              </w:rPr>
            </w:pPr>
            <w:r w:rsidRPr="00DD1DFA">
              <w:rPr>
                <w:rFonts w:ascii="Arial Narrow" w:hAnsi="Arial Narrow"/>
                <w:noProof/>
                <w:sz w:val="22"/>
                <w:szCs w:val="24"/>
              </w:rPr>
              <w:t>W nowym rozporządzeniu</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spr</w:t>
            </w:r>
            <w:r w:rsidRPr="00DD1DFA">
              <w:rPr>
                <w:rFonts w:ascii="Arial Narrow" w:hAnsi="Arial Narrow"/>
                <w:noProof/>
                <w:sz w:val="22"/>
                <w:szCs w:val="24"/>
              </w:rPr>
              <w:t>awie wyrobów budowlanych określono szereg dodatkowych przepisów, które będą wymagały zaangażowania pracowników technicznych</w:t>
            </w:r>
            <w:r w:rsidR="00DD1DFA" w:rsidRPr="00DD1DFA">
              <w:rPr>
                <w:rFonts w:ascii="Arial Narrow" w:hAnsi="Arial Narrow"/>
                <w:noProof/>
                <w:sz w:val="22"/>
                <w:szCs w:val="24"/>
              </w:rPr>
              <w:t xml:space="preserve"> w</w:t>
            </w:r>
            <w:r w:rsidR="00DD1DFA">
              <w:rPr>
                <w:rFonts w:ascii="Arial Narrow" w:hAnsi="Arial Narrow"/>
                <w:noProof/>
                <w:sz w:val="22"/>
                <w:szCs w:val="24"/>
              </w:rPr>
              <w:t> </w:t>
            </w:r>
            <w:r w:rsidR="00DD1DFA" w:rsidRPr="00DD1DFA">
              <w:rPr>
                <w:rFonts w:ascii="Arial Narrow" w:hAnsi="Arial Narrow"/>
                <w:noProof/>
                <w:sz w:val="22"/>
                <w:szCs w:val="24"/>
              </w:rPr>
              <w:t>wym</w:t>
            </w:r>
            <w:r w:rsidRPr="00DD1DFA">
              <w:rPr>
                <w:rFonts w:ascii="Arial Narrow" w:hAnsi="Arial Narrow"/>
                <w:noProof/>
                <w:sz w:val="22"/>
                <w:szCs w:val="24"/>
              </w:rPr>
              <w:t>iarze 0,5 EPC, czyli ok.</w:t>
            </w:r>
            <w:r w:rsidR="00DD1DFA" w:rsidRPr="00DD1DFA">
              <w:rPr>
                <w:rFonts w:ascii="Arial Narrow" w:hAnsi="Arial Narrow"/>
                <w:noProof/>
                <w:sz w:val="22"/>
                <w:szCs w:val="24"/>
              </w:rPr>
              <w:t> </w:t>
            </w:r>
            <w:r w:rsidRPr="00DD1DFA">
              <w:rPr>
                <w:rFonts w:ascii="Arial Narrow" w:hAnsi="Arial Narrow"/>
                <w:noProof/>
                <w:sz w:val="22"/>
                <w:szCs w:val="24"/>
              </w:rPr>
              <w:t>110 dni roboczych;</w:t>
            </w:r>
          </w:p>
          <w:p w14:paraId="66E941B0" w14:textId="77777777" w:rsidR="005D44AF" w:rsidRPr="00DD1DFA" w:rsidRDefault="005D44AF" w:rsidP="005D44AF">
            <w:pPr>
              <w:spacing w:before="0" w:after="0"/>
              <w:ind w:left="720"/>
              <w:rPr>
                <w:rFonts w:ascii="Calibri" w:hAnsi="Calibri" w:cs="Calibri"/>
                <w:noProof/>
                <w:color w:val="1F497D" w:themeColor="text2"/>
                <w:sz w:val="22"/>
              </w:rPr>
            </w:pPr>
          </w:p>
          <w:p w14:paraId="1D89F919" w14:textId="60CD364C" w:rsidR="005D44AF" w:rsidRPr="00DD1DFA" w:rsidRDefault="005D44AF" w:rsidP="005D44AF">
            <w:pPr>
              <w:spacing w:before="0" w:after="0"/>
              <w:rPr>
                <w:rFonts w:ascii="Arial Narrow" w:eastAsia="Times New Roman" w:hAnsi="Arial Narrow"/>
                <w:noProof/>
                <w:szCs w:val="24"/>
              </w:rPr>
            </w:pPr>
            <w:r w:rsidRPr="00DD1DFA">
              <w:rPr>
                <w:rFonts w:ascii="Arial Narrow" w:hAnsi="Arial Narrow"/>
                <w:noProof/>
                <w:szCs w:val="24"/>
              </w:rPr>
              <w:t>300+220+150+75+110=855 dni roboczych; biorąc pod uwagę wcześniejsze oszacowanie zasobów, gdzie na harmonizację techniczną przeznaczono 0,66 EPC inżyniera, 855/(220*0,666)=5 EPC inżynierów (w zaokrągleniu</w:t>
            </w:r>
            <w:r w:rsidR="00DD1DFA" w:rsidRPr="00DD1DFA">
              <w:rPr>
                <w:rFonts w:ascii="Arial Narrow" w:hAnsi="Arial Narrow"/>
                <w:noProof/>
                <w:szCs w:val="24"/>
              </w:rPr>
              <w:t xml:space="preserve"> w</w:t>
            </w:r>
            <w:r w:rsidR="00DD1DFA">
              <w:rPr>
                <w:rFonts w:ascii="Arial Narrow" w:hAnsi="Arial Narrow"/>
                <w:noProof/>
                <w:szCs w:val="24"/>
              </w:rPr>
              <w:t> </w:t>
            </w:r>
            <w:r w:rsidR="00DD1DFA" w:rsidRPr="00DD1DFA">
              <w:rPr>
                <w:rFonts w:ascii="Arial Narrow" w:hAnsi="Arial Narrow"/>
                <w:noProof/>
                <w:szCs w:val="24"/>
              </w:rPr>
              <w:t>dół</w:t>
            </w:r>
            <w:r w:rsidRPr="00DD1DFA">
              <w:rPr>
                <w:rFonts w:ascii="Arial Narrow" w:hAnsi="Arial Narrow"/>
                <w:noProof/>
                <w:szCs w:val="24"/>
              </w:rPr>
              <w:t xml:space="preserve"> ze względu na możliwe przesunięcia zadań</w:t>
            </w:r>
            <w:r w:rsidR="00DD1DFA" w:rsidRPr="00DD1DFA">
              <w:rPr>
                <w:rFonts w:ascii="Arial Narrow" w:hAnsi="Arial Narrow"/>
                <w:noProof/>
                <w:szCs w:val="24"/>
              </w:rPr>
              <w:t xml:space="preserve"> w</w:t>
            </w:r>
            <w:r w:rsidR="00DD1DFA">
              <w:rPr>
                <w:rFonts w:ascii="Arial Narrow" w:hAnsi="Arial Narrow"/>
                <w:noProof/>
                <w:szCs w:val="24"/>
              </w:rPr>
              <w:t> </w:t>
            </w:r>
            <w:r w:rsidR="00DD1DFA" w:rsidRPr="00DD1DFA">
              <w:rPr>
                <w:rFonts w:ascii="Arial Narrow" w:hAnsi="Arial Narrow"/>
                <w:noProof/>
                <w:szCs w:val="24"/>
              </w:rPr>
              <w:t>ram</w:t>
            </w:r>
            <w:r w:rsidRPr="00DD1DFA">
              <w:rPr>
                <w:rFonts w:ascii="Arial Narrow" w:hAnsi="Arial Narrow"/>
                <w:noProof/>
                <w:szCs w:val="24"/>
              </w:rPr>
              <w:t xml:space="preserve">ach obecnego zespołu). </w:t>
            </w:r>
          </w:p>
          <w:p w14:paraId="5125E6BC" w14:textId="77777777" w:rsidR="005D44AF" w:rsidRPr="00DD1DFA" w:rsidRDefault="005D44AF" w:rsidP="005D44AF">
            <w:pPr>
              <w:spacing w:before="0" w:after="0"/>
              <w:rPr>
                <w:rFonts w:ascii="Arial Narrow" w:eastAsia="Times New Roman" w:hAnsi="Arial Narrow"/>
                <w:noProof/>
                <w:szCs w:val="24"/>
                <w:lang w:eastAsia="en-GB"/>
              </w:rPr>
            </w:pPr>
          </w:p>
          <w:p w14:paraId="36118C0B" w14:textId="013A7B89" w:rsidR="005D44AF" w:rsidRPr="00DD1DFA" w:rsidRDefault="005D44AF" w:rsidP="005D44AF">
            <w:pPr>
              <w:spacing w:before="0" w:after="0"/>
              <w:rPr>
                <w:rFonts w:ascii="Arial Narrow" w:eastAsia="Times New Roman" w:hAnsi="Arial Narrow"/>
                <w:noProof/>
                <w:szCs w:val="24"/>
              </w:rPr>
            </w:pPr>
            <w:r w:rsidRPr="00DD1DFA">
              <w:rPr>
                <w:rFonts w:ascii="Arial Narrow" w:hAnsi="Arial Narrow"/>
                <w:noProof/>
                <w:szCs w:val="24"/>
              </w:rPr>
              <w:t>Jeśli chodzi</w:t>
            </w:r>
            <w:r w:rsidR="00DD1DFA" w:rsidRPr="00DD1DFA">
              <w:rPr>
                <w:rFonts w:ascii="Arial Narrow" w:hAnsi="Arial Narrow"/>
                <w:noProof/>
                <w:szCs w:val="24"/>
              </w:rPr>
              <w:t xml:space="preserve"> o</w:t>
            </w:r>
            <w:r w:rsidR="00DD1DFA">
              <w:rPr>
                <w:rFonts w:ascii="Arial Narrow" w:hAnsi="Arial Narrow"/>
                <w:noProof/>
                <w:szCs w:val="24"/>
              </w:rPr>
              <w:t> </w:t>
            </w:r>
            <w:r w:rsidR="00DD1DFA" w:rsidRPr="00DD1DFA">
              <w:rPr>
                <w:rFonts w:ascii="Arial Narrow" w:hAnsi="Arial Narrow"/>
                <w:noProof/>
                <w:szCs w:val="24"/>
              </w:rPr>
              <w:t>wsp</w:t>
            </w:r>
            <w:r w:rsidRPr="00DD1DFA">
              <w:rPr>
                <w:rFonts w:ascii="Arial Narrow" w:hAnsi="Arial Narrow"/>
                <w:noProof/>
                <w:szCs w:val="24"/>
              </w:rPr>
              <w:t>arcie prawne</w:t>
            </w:r>
            <w:r w:rsidR="00DD1DFA" w:rsidRPr="00DD1DFA">
              <w:rPr>
                <w:rFonts w:ascii="Arial Narrow" w:hAnsi="Arial Narrow"/>
                <w:noProof/>
                <w:szCs w:val="24"/>
              </w:rPr>
              <w:t xml:space="preserve"> i</w:t>
            </w:r>
            <w:r w:rsidR="00DD1DFA">
              <w:rPr>
                <w:rFonts w:ascii="Arial Narrow" w:hAnsi="Arial Narrow"/>
                <w:noProof/>
                <w:szCs w:val="24"/>
              </w:rPr>
              <w:t> </w:t>
            </w:r>
            <w:r w:rsidR="00DD1DFA" w:rsidRPr="00DD1DFA">
              <w:rPr>
                <w:rFonts w:ascii="Arial Narrow" w:hAnsi="Arial Narrow"/>
                <w:noProof/>
                <w:szCs w:val="24"/>
              </w:rPr>
              <w:t>adm</w:t>
            </w:r>
            <w:r w:rsidRPr="00DD1DFA">
              <w:rPr>
                <w:rFonts w:ascii="Arial Narrow" w:hAnsi="Arial Narrow"/>
                <w:noProof/>
                <w:szCs w:val="24"/>
              </w:rPr>
              <w:t>inistracyjne, biorąc pod uwagę zaangażowanie 0,2 EPC na każde działanie inżyniera</w:t>
            </w:r>
            <w:r w:rsidR="00DD1DFA" w:rsidRPr="00DD1DFA">
              <w:rPr>
                <w:rFonts w:ascii="Arial Narrow" w:hAnsi="Arial Narrow"/>
                <w:noProof/>
                <w:szCs w:val="24"/>
              </w:rPr>
              <w:t xml:space="preserve"> i</w:t>
            </w:r>
            <w:r w:rsidR="00DD1DFA">
              <w:rPr>
                <w:rFonts w:ascii="Arial Narrow" w:hAnsi="Arial Narrow"/>
                <w:noProof/>
                <w:szCs w:val="24"/>
              </w:rPr>
              <w:t> </w:t>
            </w:r>
            <w:r w:rsidR="00DD1DFA" w:rsidRPr="00DD1DFA">
              <w:rPr>
                <w:rFonts w:ascii="Arial Narrow" w:hAnsi="Arial Narrow"/>
                <w:noProof/>
                <w:szCs w:val="24"/>
              </w:rPr>
              <w:t>oko</w:t>
            </w:r>
            <w:r w:rsidRPr="00DD1DFA">
              <w:rPr>
                <w:rFonts w:ascii="Arial Narrow" w:hAnsi="Arial Narrow"/>
                <w:noProof/>
                <w:szCs w:val="24"/>
              </w:rPr>
              <w:t>ło 1 EPC prawnika na</w:t>
            </w:r>
            <w:r w:rsidR="00DD1DFA" w:rsidRPr="00DD1DFA">
              <w:rPr>
                <w:rFonts w:ascii="Arial Narrow" w:hAnsi="Arial Narrow"/>
                <w:noProof/>
                <w:szCs w:val="24"/>
              </w:rPr>
              <w:t> </w:t>
            </w:r>
            <w:r w:rsidRPr="00DD1DFA">
              <w:rPr>
                <w:rFonts w:ascii="Arial Narrow" w:hAnsi="Arial Narrow"/>
                <w:noProof/>
                <w:szCs w:val="24"/>
              </w:rPr>
              <w:t>5 aktów prawnych rocznie, potrzeba co najmniej 1 EPC prawnika + 1 AST</w:t>
            </w:r>
            <w:r w:rsidR="00DD1DFA" w:rsidRPr="00DD1DFA">
              <w:rPr>
                <w:rFonts w:ascii="Arial Narrow" w:hAnsi="Arial Narrow"/>
                <w:noProof/>
                <w:szCs w:val="24"/>
              </w:rPr>
              <w:t xml:space="preserve"> w</w:t>
            </w:r>
            <w:r w:rsidR="00DD1DFA">
              <w:rPr>
                <w:rFonts w:ascii="Arial Narrow" w:hAnsi="Arial Narrow"/>
                <w:noProof/>
                <w:szCs w:val="24"/>
              </w:rPr>
              <w:t> </w:t>
            </w:r>
            <w:r w:rsidR="00DD1DFA" w:rsidRPr="00DD1DFA">
              <w:rPr>
                <w:rFonts w:ascii="Arial Narrow" w:hAnsi="Arial Narrow"/>
                <w:noProof/>
                <w:szCs w:val="24"/>
              </w:rPr>
              <w:t>cel</w:t>
            </w:r>
            <w:r w:rsidRPr="00DD1DFA">
              <w:rPr>
                <w:rFonts w:ascii="Arial Narrow" w:hAnsi="Arial Narrow"/>
                <w:noProof/>
                <w:szCs w:val="24"/>
              </w:rPr>
              <w:t>u koordynowania wszystkich procedur.</w:t>
            </w:r>
          </w:p>
          <w:p w14:paraId="5A36625A" w14:textId="77777777" w:rsidR="005D44AF" w:rsidRPr="00DD1DFA" w:rsidRDefault="005D44AF" w:rsidP="005D44AF">
            <w:pPr>
              <w:spacing w:before="0" w:after="0"/>
              <w:rPr>
                <w:rFonts w:ascii="Arial Narrow" w:eastAsia="Times New Roman" w:hAnsi="Arial Narrow"/>
                <w:noProof/>
                <w:szCs w:val="24"/>
                <w:lang w:eastAsia="en-GB"/>
              </w:rPr>
            </w:pPr>
          </w:p>
          <w:p w14:paraId="73680729" w14:textId="77777777" w:rsidR="005D44AF" w:rsidRPr="00DD1DFA" w:rsidRDefault="005D44AF" w:rsidP="005D44AF">
            <w:pPr>
              <w:spacing w:before="0" w:after="0"/>
              <w:rPr>
                <w:rFonts w:ascii="Arial Narrow" w:eastAsia="Times New Roman" w:hAnsi="Arial Narrow"/>
                <w:noProof/>
                <w:szCs w:val="24"/>
              </w:rPr>
            </w:pPr>
            <w:r w:rsidRPr="00DD1DFA">
              <w:rPr>
                <w:rFonts w:ascii="Arial Narrow" w:hAnsi="Arial Narrow"/>
                <w:noProof/>
                <w:szCs w:val="24"/>
              </w:rPr>
              <w:t>Daje to zatem łącznie 7 EPC.</w:t>
            </w:r>
          </w:p>
          <w:p w14:paraId="78E7A262" w14:textId="77777777" w:rsidR="005D44AF" w:rsidRPr="00DD1DFA" w:rsidRDefault="005D44AF" w:rsidP="004462EA">
            <w:pPr>
              <w:spacing w:before="60" w:after="0"/>
              <w:jc w:val="left"/>
              <w:rPr>
                <w:rFonts w:ascii="Arial Narrow" w:eastAsia="Times New Roman" w:hAnsi="Arial Narrow"/>
                <w:noProof/>
                <w:sz w:val="18"/>
                <w:szCs w:val="18"/>
                <w:u w:val="single"/>
                <w:lang w:eastAsia="en-GB"/>
              </w:rPr>
            </w:pPr>
          </w:p>
        </w:tc>
      </w:tr>
      <w:tr w:rsidR="005D44AF" w:rsidRPr="00DD1DFA" w14:paraId="26419779" w14:textId="77777777" w:rsidTr="00380F0F">
        <w:trPr>
          <w:jc w:val="center"/>
        </w:trPr>
        <w:tc>
          <w:tcPr>
            <w:tcW w:w="12474" w:type="dxa"/>
            <w:tcBorders>
              <w:bottom w:val="single" w:sz="4" w:space="0" w:color="auto"/>
            </w:tcBorders>
          </w:tcPr>
          <w:p w14:paraId="5C119396" w14:textId="77777777" w:rsidR="005D44AF" w:rsidRPr="00DD1DFA" w:rsidRDefault="005D44AF" w:rsidP="004462EA">
            <w:pPr>
              <w:spacing w:before="40" w:after="0"/>
              <w:jc w:val="left"/>
              <w:rPr>
                <w:rFonts w:ascii="Arial Narrow" w:eastAsia="Times New Roman" w:hAnsi="Arial Narrow"/>
                <w:noProof/>
                <w:sz w:val="20"/>
                <w:szCs w:val="20"/>
              </w:rPr>
            </w:pPr>
            <w:r w:rsidRPr="00DD1DFA">
              <w:rPr>
                <w:rFonts w:ascii="Arial Narrow" w:hAnsi="Arial Narrow"/>
                <w:b/>
                <w:noProof/>
                <w:szCs w:val="24"/>
              </w:rPr>
              <w:sym w:font="Wingdings" w:char="F09F"/>
            </w:r>
            <w:r w:rsidRPr="00DD1DFA">
              <w:rPr>
                <w:rFonts w:ascii="Arial Narrow" w:hAnsi="Arial Narrow"/>
                <w:b/>
                <w:noProof/>
                <w:szCs w:val="24"/>
              </w:rPr>
              <w:t xml:space="preserve"> </w:t>
            </w:r>
            <w:r w:rsidRPr="00DD1DFA">
              <w:rPr>
                <w:rFonts w:ascii="Arial Narrow" w:hAnsi="Arial Narrow"/>
                <w:noProof/>
                <w:sz w:val="22"/>
                <w:szCs w:val="24"/>
              </w:rPr>
              <w:t>Personel zewnętrzny</w:t>
            </w:r>
          </w:p>
          <w:p w14:paraId="2957BEDB" w14:textId="77777777" w:rsidR="005D44AF" w:rsidRPr="00DD1DFA" w:rsidRDefault="005D44AF" w:rsidP="004462EA">
            <w:pPr>
              <w:spacing w:before="60" w:after="0"/>
              <w:jc w:val="left"/>
              <w:rPr>
                <w:rFonts w:ascii="Arial Narrow" w:eastAsia="Times New Roman" w:hAnsi="Arial Narrow"/>
                <w:noProof/>
                <w:sz w:val="18"/>
                <w:szCs w:val="18"/>
                <w:u w:val="single"/>
                <w:lang w:eastAsia="en-GB"/>
              </w:rPr>
            </w:pPr>
          </w:p>
        </w:tc>
      </w:tr>
    </w:tbl>
    <w:p w14:paraId="3D5CD479" w14:textId="77777777" w:rsidR="005D44AF" w:rsidRPr="00DD1DFA" w:rsidRDefault="005D44AF" w:rsidP="005D44AF">
      <w:pPr>
        <w:spacing w:before="0" w:after="0"/>
        <w:jc w:val="left"/>
        <w:rPr>
          <w:rFonts w:ascii="Arial Narrow" w:eastAsia="Times New Roman" w:hAnsi="Arial Narrow"/>
          <w:noProof/>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rsidR="005D44AF" w:rsidRPr="00DD1DFA" w14:paraId="71FAFC6F" w14:textId="77777777" w:rsidTr="00380F0F">
        <w:trPr>
          <w:jc w:val="center"/>
        </w:trPr>
        <w:tc>
          <w:tcPr>
            <w:tcW w:w="12474" w:type="dxa"/>
            <w:tcBorders>
              <w:top w:val="single" w:sz="4" w:space="0" w:color="auto"/>
            </w:tcBorders>
          </w:tcPr>
          <w:p w14:paraId="2D5005CB" w14:textId="77777777" w:rsidR="005D44AF" w:rsidRPr="00DD1DFA" w:rsidRDefault="005D44AF" w:rsidP="004462EA">
            <w:pPr>
              <w:spacing w:before="60" w:after="60"/>
              <w:jc w:val="left"/>
              <w:rPr>
                <w:rFonts w:ascii="Arial Narrow" w:eastAsia="Times New Roman" w:hAnsi="Arial Narrow"/>
                <w:b/>
                <w:noProof/>
                <w:sz w:val="22"/>
              </w:rPr>
            </w:pPr>
            <w:r w:rsidRPr="00DD1DFA">
              <w:rPr>
                <w:rFonts w:ascii="Arial Narrow" w:hAnsi="Arial Narrow"/>
                <w:b/>
                <w:noProof/>
                <w:sz w:val="22"/>
              </w:rPr>
              <w:t>Poza DZIAŁEM 7</w:t>
            </w:r>
            <w:r w:rsidRPr="00DD1DFA">
              <w:rPr>
                <w:rFonts w:ascii="Arial Narrow" w:hAnsi="Arial Narrow"/>
                <w:noProof/>
                <w:sz w:val="22"/>
              </w:rPr>
              <w:t xml:space="preserve"> wieloletnich ram finansowych</w:t>
            </w:r>
          </w:p>
        </w:tc>
      </w:tr>
      <w:tr w:rsidR="005D44AF" w:rsidRPr="00DD1DFA" w14:paraId="605565A2" w14:textId="77777777" w:rsidTr="00380F0F">
        <w:trPr>
          <w:jc w:val="center"/>
        </w:trPr>
        <w:tc>
          <w:tcPr>
            <w:tcW w:w="12474" w:type="dxa"/>
          </w:tcPr>
          <w:p w14:paraId="44B3174C" w14:textId="6D8C3EB6" w:rsidR="005D44AF" w:rsidRPr="00DD1DFA" w:rsidRDefault="005D44AF" w:rsidP="004462EA">
            <w:pPr>
              <w:spacing w:before="40" w:after="0"/>
              <w:jc w:val="left"/>
              <w:rPr>
                <w:rFonts w:ascii="Arial Narrow" w:eastAsia="Times New Roman" w:hAnsi="Arial Narrow"/>
                <w:bCs/>
                <w:iCs/>
                <w:noProof/>
                <w:sz w:val="20"/>
                <w:szCs w:val="20"/>
              </w:rPr>
            </w:pPr>
            <w:r w:rsidRPr="00DD1DFA">
              <w:rPr>
                <w:rFonts w:ascii="Arial Narrow" w:hAnsi="Arial Narrow"/>
                <w:b/>
                <w:noProof/>
                <w:szCs w:val="24"/>
              </w:rPr>
              <w:sym w:font="Wingdings" w:char="F09F"/>
            </w:r>
            <w:r w:rsidRPr="00DD1DFA">
              <w:rPr>
                <w:rFonts w:ascii="Arial Narrow" w:hAnsi="Arial Narrow"/>
                <w:b/>
                <w:noProof/>
                <w:szCs w:val="24"/>
              </w:rPr>
              <w:t xml:space="preserve"> </w:t>
            </w:r>
            <w:r w:rsidRPr="00DD1DFA">
              <w:rPr>
                <w:rFonts w:ascii="Arial Narrow" w:hAnsi="Arial Narrow"/>
                <w:noProof/>
                <w:szCs w:val="24"/>
              </w:rPr>
              <w:t>Jedynie stanowiska finansowane</w:t>
            </w:r>
            <w:r w:rsidR="00DD1DFA" w:rsidRPr="00DD1DFA">
              <w:rPr>
                <w:rFonts w:ascii="Arial Narrow" w:hAnsi="Arial Narrow"/>
                <w:noProof/>
                <w:szCs w:val="24"/>
              </w:rPr>
              <w:t xml:space="preserve"> z</w:t>
            </w:r>
            <w:r w:rsidR="00DD1DFA">
              <w:rPr>
                <w:rFonts w:ascii="Arial Narrow" w:hAnsi="Arial Narrow"/>
                <w:noProof/>
                <w:szCs w:val="24"/>
              </w:rPr>
              <w:t> </w:t>
            </w:r>
            <w:r w:rsidR="00DD1DFA" w:rsidRPr="00DD1DFA">
              <w:rPr>
                <w:rFonts w:ascii="Arial Narrow" w:hAnsi="Arial Narrow"/>
                <w:noProof/>
                <w:szCs w:val="24"/>
              </w:rPr>
              <w:t>bud</w:t>
            </w:r>
            <w:r w:rsidRPr="00DD1DFA">
              <w:rPr>
                <w:rFonts w:ascii="Arial Narrow" w:hAnsi="Arial Narrow"/>
                <w:noProof/>
                <w:szCs w:val="24"/>
              </w:rPr>
              <w:t>żetu na badania naukowe</w:t>
            </w:r>
            <w:r w:rsidRPr="00DD1DFA">
              <w:rPr>
                <w:rFonts w:ascii="Arial Narrow" w:hAnsi="Arial Narrow"/>
                <w:noProof/>
                <w:sz w:val="22"/>
                <w:szCs w:val="24"/>
              </w:rPr>
              <w:t xml:space="preserve"> </w:t>
            </w:r>
          </w:p>
          <w:p w14:paraId="2591AAE2" w14:textId="77777777" w:rsidR="005D44AF" w:rsidRPr="00DD1DFA" w:rsidRDefault="005D44AF" w:rsidP="004462EA">
            <w:pPr>
              <w:spacing w:before="60" w:after="0"/>
              <w:jc w:val="left"/>
              <w:rPr>
                <w:rFonts w:ascii="Arial Narrow" w:eastAsia="Times New Roman" w:hAnsi="Arial Narrow"/>
                <w:noProof/>
                <w:sz w:val="18"/>
                <w:szCs w:val="18"/>
                <w:u w:val="single"/>
                <w:lang w:eastAsia="en-GB"/>
              </w:rPr>
            </w:pPr>
          </w:p>
        </w:tc>
      </w:tr>
      <w:tr w:rsidR="005D44AF" w:rsidRPr="00DD1DFA" w14:paraId="4EF6FE5B" w14:textId="77777777" w:rsidTr="00380F0F">
        <w:trPr>
          <w:jc w:val="center"/>
        </w:trPr>
        <w:tc>
          <w:tcPr>
            <w:tcW w:w="12474" w:type="dxa"/>
            <w:tcBorders>
              <w:bottom w:val="single" w:sz="4" w:space="0" w:color="auto"/>
            </w:tcBorders>
          </w:tcPr>
          <w:p w14:paraId="4728E745" w14:textId="77777777" w:rsidR="005D44AF" w:rsidRPr="00DD1DFA" w:rsidRDefault="005D44AF" w:rsidP="004462EA">
            <w:pPr>
              <w:spacing w:before="40" w:after="0"/>
              <w:jc w:val="left"/>
              <w:rPr>
                <w:rFonts w:ascii="Arial Narrow" w:eastAsia="Times New Roman" w:hAnsi="Arial Narrow"/>
                <w:noProof/>
                <w:sz w:val="20"/>
                <w:szCs w:val="20"/>
              </w:rPr>
            </w:pPr>
            <w:r w:rsidRPr="00DD1DFA">
              <w:rPr>
                <w:rFonts w:ascii="Arial Narrow" w:hAnsi="Arial Narrow"/>
                <w:b/>
                <w:noProof/>
                <w:szCs w:val="24"/>
              </w:rPr>
              <w:sym w:font="Wingdings" w:char="F09F"/>
            </w:r>
            <w:r w:rsidRPr="00DD1DFA">
              <w:rPr>
                <w:rFonts w:ascii="Arial Narrow" w:hAnsi="Arial Narrow"/>
                <w:b/>
                <w:noProof/>
                <w:szCs w:val="24"/>
              </w:rPr>
              <w:t xml:space="preserve"> </w:t>
            </w:r>
            <w:r w:rsidRPr="00DD1DFA">
              <w:rPr>
                <w:rFonts w:ascii="Arial Narrow" w:hAnsi="Arial Narrow"/>
                <w:noProof/>
                <w:sz w:val="22"/>
                <w:szCs w:val="24"/>
              </w:rPr>
              <w:t>Personel zewnętrzny</w:t>
            </w:r>
          </w:p>
          <w:p w14:paraId="073D1FBB" w14:textId="77777777" w:rsidR="005D44AF" w:rsidRPr="00DD1DFA" w:rsidRDefault="005D44AF" w:rsidP="004462EA">
            <w:pPr>
              <w:spacing w:before="60" w:after="0"/>
              <w:jc w:val="left"/>
              <w:rPr>
                <w:rFonts w:ascii="Arial Narrow" w:eastAsia="Times New Roman" w:hAnsi="Arial Narrow"/>
                <w:noProof/>
                <w:sz w:val="18"/>
                <w:szCs w:val="18"/>
                <w:u w:val="single"/>
                <w:lang w:eastAsia="en-GB"/>
              </w:rPr>
            </w:pPr>
          </w:p>
        </w:tc>
      </w:tr>
    </w:tbl>
    <w:p w14:paraId="7488D673" w14:textId="77777777" w:rsidR="005D44AF" w:rsidRPr="00DD1DFA" w:rsidRDefault="005D44AF" w:rsidP="005D44AF">
      <w:pPr>
        <w:spacing w:before="60" w:after="0"/>
        <w:ind w:left="-360" w:firstLine="900"/>
        <w:rPr>
          <w:rFonts w:eastAsia="Times New Roman"/>
          <w:noProof/>
          <w:sz w:val="20"/>
          <w:szCs w:val="20"/>
          <w:lang w:eastAsia="en-GB"/>
        </w:rPr>
      </w:pPr>
    </w:p>
    <w:p w14:paraId="40980179" w14:textId="07C40F81" w:rsidR="005D44AF" w:rsidRPr="00DD1DFA" w:rsidRDefault="005F7EFA" w:rsidP="005F7EFA">
      <w:pPr>
        <w:pStyle w:val="ManualHeading2"/>
        <w:rPr>
          <w:rFonts w:eastAsia="Times New Roman"/>
          <w:noProof/>
          <w:szCs w:val="28"/>
        </w:rPr>
      </w:pPr>
      <w:r w:rsidRPr="005F7EFA">
        <w:t>4.2.</w:t>
      </w:r>
      <w:r w:rsidRPr="005F7EFA">
        <w:tab/>
      </w:r>
      <w:r w:rsidR="005D44AF" w:rsidRPr="00DD1DFA">
        <w:rPr>
          <w:noProof/>
        </w:rPr>
        <w:t>Pozostałe wydatki administracyjne</w:t>
      </w:r>
    </w:p>
    <w:p w14:paraId="227D5700" w14:textId="77777777" w:rsidR="005D44AF" w:rsidRPr="00DD1DFA" w:rsidRDefault="005D44AF" w:rsidP="005D44AF">
      <w:pPr>
        <w:spacing w:before="0" w:after="0"/>
        <w:ind w:left="-357" w:firstLine="902"/>
        <w:rPr>
          <w:rFonts w:eastAsia="Times New Roman"/>
          <w:noProof/>
          <w:sz w:val="20"/>
          <w:szCs w:val="20"/>
          <w:lang w:eastAsia="en-GB"/>
        </w:rPr>
      </w:pPr>
    </w:p>
    <w:p w14:paraId="3D7F5EE3" w14:textId="4E32B55B" w:rsidR="005D44AF" w:rsidRPr="00DD1DFA" w:rsidRDefault="005D44AF" w:rsidP="005D44AF">
      <w:pPr>
        <w:spacing w:before="60" w:after="0"/>
        <w:ind w:left="539"/>
        <w:jc w:val="center"/>
        <w:rPr>
          <w:rFonts w:eastAsia="Times New Roman"/>
          <w:i/>
          <w:noProof/>
          <w:sz w:val="20"/>
          <w:szCs w:val="20"/>
        </w:rPr>
      </w:pPr>
      <w:r w:rsidRPr="00DD1DFA">
        <w:rPr>
          <w:i/>
          <w:noProof/>
          <w:sz w:val="20"/>
          <w:szCs w:val="24"/>
        </w:rPr>
        <w:t>Należy wskazać metodę obliczeń zastosowaną</w:t>
      </w:r>
      <w:r w:rsidR="00DD1DFA" w:rsidRPr="00DD1DFA">
        <w:rPr>
          <w:i/>
          <w:noProof/>
          <w:sz w:val="20"/>
          <w:szCs w:val="24"/>
        </w:rPr>
        <w:t xml:space="preserve"> w</w:t>
      </w:r>
      <w:r w:rsidR="00DD1DFA">
        <w:rPr>
          <w:i/>
          <w:noProof/>
          <w:sz w:val="20"/>
          <w:szCs w:val="24"/>
        </w:rPr>
        <w:t> </w:t>
      </w:r>
      <w:r w:rsidR="00DD1DFA" w:rsidRPr="00DD1DFA">
        <w:rPr>
          <w:i/>
          <w:noProof/>
          <w:sz w:val="20"/>
          <w:szCs w:val="24"/>
        </w:rPr>
        <w:t>odn</w:t>
      </w:r>
      <w:r w:rsidRPr="00DD1DFA">
        <w:rPr>
          <w:i/>
          <w:noProof/>
          <w:sz w:val="20"/>
          <w:szCs w:val="24"/>
        </w:rPr>
        <w:t xml:space="preserve">iesieniu do poszczególnych linii budżetowych, </w:t>
      </w:r>
    </w:p>
    <w:p w14:paraId="5A67F3AB" w14:textId="5E3038B5" w:rsidR="005D44AF" w:rsidRPr="00DD1DFA" w:rsidRDefault="005D44AF" w:rsidP="005D44AF">
      <w:pPr>
        <w:spacing w:before="0" w:after="60"/>
        <w:ind w:left="539"/>
        <w:jc w:val="center"/>
        <w:rPr>
          <w:rFonts w:eastAsia="Times New Roman"/>
          <w:i/>
          <w:noProof/>
          <w:sz w:val="20"/>
          <w:szCs w:val="20"/>
        </w:rPr>
      </w:pPr>
      <w:r w:rsidRPr="00DD1DFA">
        <w:rPr>
          <w:i/>
          <w:noProof/>
          <w:sz w:val="20"/>
          <w:szCs w:val="24"/>
        </w:rPr>
        <w:t>a</w:t>
      </w:r>
      <w:r w:rsidR="00DD1DFA" w:rsidRPr="00DD1DFA">
        <w:rPr>
          <w:i/>
          <w:noProof/>
          <w:sz w:val="20"/>
          <w:szCs w:val="24"/>
        </w:rPr>
        <w:t xml:space="preserve"> w</w:t>
      </w:r>
      <w:r w:rsidR="00DD1DFA">
        <w:rPr>
          <w:i/>
          <w:noProof/>
          <w:sz w:val="20"/>
          <w:szCs w:val="24"/>
        </w:rPr>
        <w:t> </w:t>
      </w:r>
      <w:r w:rsidR="00DD1DFA" w:rsidRPr="00DD1DFA">
        <w:rPr>
          <w:i/>
          <w:noProof/>
          <w:sz w:val="20"/>
          <w:szCs w:val="24"/>
        </w:rPr>
        <w:t>szc</w:t>
      </w:r>
      <w:r w:rsidRPr="00DD1DFA">
        <w:rPr>
          <w:i/>
          <w:noProof/>
          <w:sz w:val="20"/>
          <w:szCs w:val="24"/>
        </w:rPr>
        <w:t>zególności założenia będące podstawą obliczeń (np. liczba spotkań rocznie, średnie koszty itp.).</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rsidR="005D44AF" w:rsidRPr="00DD1DFA" w14:paraId="37CFB064" w14:textId="77777777" w:rsidTr="00380F0F">
        <w:trPr>
          <w:jc w:val="center"/>
        </w:trPr>
        <w:tc>
          <w:tcPr>
            <w:tcW w:w="9537" w:type="dxa"/>
            <w:tcBorders>
              <w:top w:val="single" w:sz="4" w:space="0" w:color="auto"/>
            </w:tcBorders>
          </w:tcPr>
          <w:p w14:paraId="60FBD2B7" w14:textId="77777777" w:rsidR="005D44AF" w:rsidRPr="00DD1DFA" w:rsidRDefault="005D44AF" w:rsidP="004462EA">
            <w:pPr>
              <w:spacing w:before="60" w:after="60"/>
              <w:jc w:val="left"/>
              <w:rPr>
                <w:rFonts w:ascii="Arial Narrow" w:eastAsia="Times New Roman" w:hAnsi="Arial Narrow"/>
                <w:b/>
                <w:noProof/>
                <w:sz w:val="22"/>
              </w:rPr>
            </w:pPr>
            <w:r w:rsidRPr="00DD1DFA">
              <w:rPr>
                <w:rFonts w:ascii="Arial Narrow" w:hAnsi="Arial Narrow"/>
                <w:b/>
                <w:noProof/>
                <w:sz w:val="22"/>
              </w:rPr>
              <w:t>DZIAŁ 7</w:t>
            </w:r>
            <w:r w:rsidRPr="00DD1DFA">
              <w:rPr>
                <w:rFonts w:ascii="Arial Narrow" w:hAnsi="Arial Narrow"/>
                <w:noProof/>
                <w:sz w:val="22"/>
              </w:rPr>
              <w:t xml:space="preserve"> wieloletnich ram finansowych</w:t>
            </w:r>
          </w:p>
        </w:tc>
      </w:tr>
      <w:tr w:rsidR="005D44AF" w:rsidRPr="00DD1DFA" w14:paraId="7F2EC955" w14:textId="77777777" w:rsidTr="00380F0F">
        <w:trPr>
          <w:jc w:val="center"/>
        </w:trPr>
        <w:tc>
          <w:tcPr>
            <w:tcW w:w="9537" w:type="dxa"/>
            <w:tcBorders>
              <w:bottom w:val="single" w:sz="4" w:space="0" w:color="auto"/>
            </w:tcBorders>
          </w:tcPr>
          <w:p w14:paraId="35AEB41C" w14:textId="77777777" w:rsidR="005D44AF" w:rsidRPr="00DD1DFA" w:rsidRDefault="005D44AF" w:rsidP="004462EA">
            <w:pPr>
              <w:spacing w:before="0" w:after="0"/>
              <w:jc w:val="left"/>
              <w:rPr>
                <w:rFonts w:ascii="Arial Narrow" w:eastAsia="Times New Roman" w:hAnsi="Arial Narrow"/>
                <w:noProof/>
                <w:sz w:val="22"/>
                <w:lang w:eastAsia="en-GB"/>
              </w:rPr>
            </w:pPr>
          </w:p>
          <w:p w14:paraId="0A407077" w14:textId="1B0B22F0" w:rsidR="005D44AF" w:rsidRPr="00DD1DFA" w:rsidRDefault="005D44AF" w:rsidP="004462EA">
            <w:pPr>
              <w:spacing w:before="0" w:after="0"/>
              <w:jc w:val="left"/>
              <w:rPr>
                <w:rFonts w:ascii="Arial Narrow" w:eastAsia="Times New Roman" w:hAnsi="Arial Narrow"/>
                <w:noProof/>
                <w:sz w:val="22"/>
              </w:rPr>
            </w:pPr>
            <w:r w:rsidRPr="00DD1DFA">
              <w:rPr>
                <w:rFonts w:ascii="Arial Narrow" w:hAnsi="Arial Narrow"/>
                <w:noProof/>
                <w:sz w:val="22"/>
              </w:rPr>
              <w:t>Liczba spotkań po wejściu</w:t>
            </w:r>
            <w:r w:rsidR="00DD1DFA" w:rsidRPr="00DD1DFA">
              <w:rPr>
                <w:rFonts w:ascii="Arial Narrow" w:hAnsi="Arial Narrow"/>
                <w:noProof/>
                <w:sz w:val="22"/>
              </w:rPr>
              <w:t xml:space="preserve"> w</w:t>
            </w:r>
            <w:r w:rsidR="00DD1DFA">
              <w:rPr>
                <w:rFonts w:ascii="Arial Narrow" w:hAnsi="Arial Narrow"/>
                <w:noProof/>
                <w:sz w:val="22"/>
              </w:rPr>
              <w:t> </w:t>
            </w:r>
            <w:r w:rsidR="00DD1DFA" w:rsidRPr="00DD1DFA">
              <w:rPr>
                <w:rFonts w:ascii="Arial Narrow" w:hAnsi="Arial Narrow"/>
                <w:noProof/>
                <w:sz w:val="22"/>
              </w:rPr>
              <w:t>życ</w:t>
            </w:r>
            <w:r w:rsidRPr="00DD1DFA">
              <w:rPr>
                <w:rFonts w:ascii="Arial Narrow" w:hAnsi="Arial Narrow"/>
                <w:noProof/>
                <w:sz w:val="22"/>
              </w:rPr>
              <w:t>ie wniosku powinna odzwierciedlać sytuację sprzed pandemii COVID-19 na podstawie rozporządzenia</w:t>
            </w:r>
            <w:r w:rsidR="00DD1DFA" w:rsidRPr="00DD1DFA">
              <w:rPr>
                <w:rFonts w:ascii="Arial Narrow" w:hAnsi="Arial Narrow"/>
                <w:noProof/>
                <w:sz w:val="22"/>
              </w:rPr>
              <w:t xml:space="preserve"> w</w:t>
            </w:r>
            <w:r w:rsidR="00DD1DFA">
              <w:rPr>
                <w:rFonts w:ascii="Arial Narrow" w:hAnsi="Arial Narrow"/>
                <w:noProof/>
                <w:sz w:val="22"/>
              </w:rPr>
              <w:t> </w:t>
            </w:r>
            <w:r w:rsidR="00DD1DFA" w:rsidRPr="00DD1DFA">
              <w:rPr>
                <w:rFonts w:ascii="Arial Narrow" w:hAnsi="Arial Narrow"/>
                <w:noProof/>
                <w:sz w:val="22"/>
              </w:rPr>
              <w:t>spr</w:t>
            </w:r>
            <w:r w:rsidRPr="00DD1DFA">
              <w:rPr>
                <w:rFonts w:ascii="Arial Narrow" w:hAnsi="Arial Narrow"/>
                <w:noProof/>
                <w:sz w:val="22"/>
              </w:rPr>
              <w:t>awie wyrobów budowlanych, tj.:</w:t>
            </w:r>
          </w:p>
          <w:p w14:paraId="652733FC" w14:textId="1FEBA0E3" w:rsidR="005D44AF" w:rsidRPr="00DD1DFA" w:rsidRDefault="005D44AF" w:rsidP="00D810F6">
            <w:pPr>
              <w:numPr>
                <w:ilvl w:val="0"/>
                <w:numId w:val="38"/>
              </w:numPr>
              <w:spacing w:before="0" w:after="0"/>
              <w:jc w:val="left"/>
              <w:rPr>
                <w:rFonts w:ascii="Arial Narrow" w:eastAsia="Times New Roman" w:hAnsi="Arial Narrow"/>
                <w:noProof/>
                <w:sz w:val="22"/>
              </w:rPr>
            </w:pPr>
            <w:r w:rsidRPr="00DD1DFA">
              <w:rPr>
                <w:rFonts w:ascii="Arial Narrow" w:hAnsi="Arial Narrow"/>
                <w:noProof/>
                <w:sz w:val="22"/>
              </w:rPr>
              <w:t>grupa doradcza ds. rozporządzenia</w:t>
            </w:r>
            <w:r w:rsidR="00DD1DFA" w:rsidRPr="00DD1DFA">
              <w:rPr>
                <w:rFonts w:ascii="Arial Narrow" w:hAnsi="Arial Narrow"/>
                <w:noProof/>
                <w:sz w:val="22"/>
              </w:rPr>
              <w:t xml:space="preserve"> w</w:t>
            </w:r>
            <w:r w:rsidR="00DD1DFA">
              <w:rPr>
                <w:rFonts w:ascii="Arial Narrow" w:hAnsi="Arial Narrow"/>
                <w:noProof/>
                <w:sz w:val="22"/>
              </w:rPr>
              <w:t> </w:t>
            </w:r>
            <w:r w:rsidR="00DD1DFA" w:rsidRPr="00DD1DFA">
              <w:rPr>
                <w:rFonts w:ascii="Arial Narrow" w:hAnsi="Arial Narrow"/>
                <w:noProof/>
                <w:sz w:val="22"/>
              </w:rPr>
              <w:t>spr</w:t>
            </w:r>
            <w:r w:rsidRPr="00DD1DFA">
              <w:rPr>
                <w:rFonts w:ascii="Arial Narrow" w:hAnsi="Arial Narrow"/>
                <w:noProof/>
                <w:sz w:val="22"/>
              </w:rPr>
              <w:t>awie wyrobów budowlanych: 2 spotkania rocznie (średnio 54 uczestników, średni koszt 450 EUR na uczestnika), ok.</w:t>
            </w:r>
            <w:r w:rsidR="00DD1DFA" w:rsidRPr="00DD1DFA">
              <w:rPr>
                <w:rFonts w:ascii="Arial Narrow" w:hAnsi="Arial Narrow"/>
                <w:noProof/>
                <w:sz w:val="22"/>
              </w:rPr>
              <w:t> </w:t>
            </w:r>
            <w:r w:rsidRPr="00DD1DFA">
              <w:rPr>
                <w:rFonts w:ascii="Arial Narrow" w:hAnsi="Arial Narrow"/>
                <w:noProof/>
                <w:sz w:val="22"/>
              </w:rPr>
              <w:t xml:space="preserve">48 600 EUR </w:t>
            </w:r>
          </w:p>
          <w:p w14:paraId="2C023193" w14:textId="4DFF3E99" w:rsidR="005D44AF" w:rsidRPr="00DD1DFA" w:rsidRDefault="005D44AF" w:rsidP="00D810F6">
            <w:pPr>
              <w:numPr>
                <w:ilvl w:val="0"/>
                <w:numId w:val="38"/>
              </w:numPr>
              <w:spacing w:before="0" w:after="0"/>
              <w:jc w:val="left"/>
              <w:rPr>
                <w:rFonts w:ascii="Arial Narrow" w:eastAsia="Times New Roman" w:hAnsi="Arial Narrow"/>
                <w:noProof/>
                <w:sz w:val="22"/>
              </w:rPr>
            </w:pPr>
            <w:r w:rsidRPr="00DD1DFA">
              <w:rPr>
                <w:rFonts w:ascii="Arial Narrow" w:hAnsi="Arial Narrow"/>
                <w:noProof/>
                <w:sz w:val="22"/>
              </w:rPr>
              <w:t>Stały Komitet ds. Budownictwa: 2 spotkania rocznie (średnio 54 uczestników, średni koszt 450 EUR na uczestnika), ok.</w:t>
            </w:r>
            <w:r w:rsidR="00DD1DFA" w:rsidRPr="00DD1DFA">
              <w:rPr>
                <w:rFonts w:ascii="Arial Narrow" w:hAnsi="Arial Narrow"/>
                <w:noProof/>
                <w:sz w:val="22"/>
              </w:rPr>
              <w:t> </w:t>
            </w:r>
            <w:r w:rsidRPr="00DD1DFA">
              <w:rPr>
                <w:rFonts w:ascii="Arial Narrow" w:hAnsi="Arial Narrow"/>
                <w:noProof/>
                <w:sz w:val="22"/>
              </w:rPr>
              <w:t xml:space="preserve">48 600 EUR </w:t>
            </w:r>
          </w:p>
          <w:p w14:paraId="6B34A4DF" w14:textId="371B2B22" w:rsidR="005D44AF" w:rsidRPr="00DD1DFA" w:rsidRDefault="005D44AF" w:rsidP="00D810F6">
            <w:pPr>
              <w:numPr>
                <w:ilvl w:val="0"/>
                <w:numId w:val="38"/>
              </w:numPr>
              <w:spacing w:before="0" w:after="0"/>
              <w:jc w:val="left"/>
              <w:rPr>
                <w:rFonts w:ascii="Arial Narrow" w:eastAsia="Times New Roman" w:hAnsi="Arial Narrow"/>
                <w:noProof/>
                <w:sz w:val="22"/>
              </w:rPr>
            </w:pPr>
            <w:r w:rsidRPr="00DD1DFA">
              <w:rPr>
                <w:rFonts w:ascii="Arial Narrow" w:hAnsi="Arial Narrow"/>
                <w:noProof/>
                <w:sz w:val="22"/>
              </w:rPr>
              <w:t>grupa sterująca ds. dorobku związanego</w:t>
            </w:r>
            <w:r w:rsidR="00DD1DFA" w:rsidRPr="00DD1DFA">
              <w:rPr>
                <w:rFonts w:ascii="Arial Narrow" w:hAnsi="Arial Narrow"/>
                <w:noProof/>
                <w:sz w:val="22"/>
              </w:rPr>
              <w:t xml:space="preserve"> z</w:t>
            </w:r>
            <w:r w:rsidR="00DD1DFA">
              <w:rPr>
                <w:rFonts w:ascii="Arial Narrow" w:hAnsi="Arial Narrow"/>
                <w:noProof/>
                <w:sz w:val="22"/>
              </w:rPr>
              <w:t> </w:t>
            </w:r>
            <w:r w:rsidR="00DD1DFA" w:rsidRPr="00DD1DFA">
              <w:rPr>
                <w:rFonts w:ascii="Arial Narrow" w:hAnsi="Arial Narrow"/>
                <w:noProof/>
                <w:sz w:val="22"/>
              </w:rPr>
              <w:t>roz</w:t>
            </w:r>
            <w:r w:rsidRPr="00DD1DFA">
              <w:rPr>
                <w:rFonts w:ascii="Arial Narrow" w:hAnsi="Arial Narrow"/>
                <w:noProof/>
                <w:sz w:val="22"/>
              </w:rPr>
              <w:t>porządzeniem</w:t>
            </w:r>
            <w:r w:rsidR="00DD1DFA" w:rsidRPr="00DD1DFA">
              <w:rPr>
                <w:rFonts w:ascii="Arial Narrow" w:hAnsi="Arial Narrow"/>
                <w:noProof/>
                <w:sz w:val="22"/>
              </w:rPr>
              <w:t xml:space="preserve"> w</w:t>
            </w:r>
            <w:r w:rsidR="00DD1DFA">
              <w:rPr>
                <w:rFonts w:ascii="Arial Narrow" w:hAnsi="Arial Narrow"/>
                <w:noProof/>
                <w:sz w:val="22"/>
              </w:rPr>
              <w:t> </w:t>
            </w:r>
            <w:r w:rsidR="00DD1DFA" w:rsidRPr="00DD1DFA">
              <w:rPr>
                <w:rFonts w:ascii="Arial Narrow" w:hAnsi="Arial Narrow"/>
                <w:noProof/>
                <w:sz w:val="22"/>
              </w:rPr>
              <w:t>spr</w:t>
            </w:r>
            <w:r w:rsidRPr="00DD1DFA">
              <w:rPr>
                <w:rFonts w:ascii="Arial Narrow" w:hAnsi="Arial Narrow"/>
                <w:noProof/>
                <w:sz w:val="22"/>
              </w:rPr>
              <w:t>awie wyrobów budowlanych: 3 spotkania rocznie (średnio 54 uczestników, średni koszt 450 EUR), ok.</w:t>
            </w:r>
            <w:r w:rsidR="00DD1DFA" w:rsidRPr="00DD1DFA">
              <w:rPr>
                <w:rFonts w:ascii="Arial Narrow" w:hAnsi="Arial Narrow"/>
                <w:noProof/>
                <w:sz w:val="22"/>
              </w:rPr>
              <w:t> </w:t>
            </w:r>
            <w:r w:rsidRPr="00DD1DFA">
              <w:rPr>
                <w:rFonts w:ascii="Arial Narrow" w:hAnsi="Arial Narrow"/>
                <w:noProof/>
                <w:sz w:val="22"/>
              </w:rPr>
              <w:t xml:space="preserve">73 000 EUR </w:t>
            </w:r>
          </w:p>
          <w:p w14:paraId="5DA6025C" w14:textId="77777777" w:rsidR="005D44AF" w:rsidRPr="00DD1DFA" w:rsidRDefault="005D44AF" w:rsidP="004462EA">
            <w:pPr>
              <w:spacing w:before="0" w:after="0"/>
              <w:jc w:val="left"/>
              <w:rPr>
                <w:rFonts w:ascii="Arial Narrow" w:eastAsia="Times New Roman" w:hAnsi="Arial Narrow"/>
                <w:noProof/>
                <w:sz w:val="22"/>
              </w:rPr>
            </w:pPr>
            <w:r w:rsidRPr="00DD1DFA">
              <w:rPr>
                <w:rFonts w:ascii="Arial Narrow" w:hAnsi="Arial Narrow"/>
                <w:noProof/>
                <w:sz w:val="22"/>
              </w:rPr>
              <w:t xml:space="preserve">OGÓŁEM 170 000 EUR </w:t>
            </w:r>
          </w:p>
          <w:p w14:paraId="44B56D4C" w14:textId="77777777" w:rsidR="005D44AF" w:rsidRPr="00DD1DFA" w:rsidRDefault="005D44AF" w:rsidP="003036BA">
            <w:pPr>
              <w:spacing w:before="60" w:after="0"/>
              <w:jc w:val="left"/>
              <w:rPr>
                <w:rFonts w:ascii="Arial Narrow" w:eastAsia="Times New Roman" w:hAnsi="Arial Narrow"/>
                <w:noProof/>
                <w:sz w:val="22"/>
                <w:u w:val="single"/>
                <w:lang w:eastAsia="en-GB"/>
              </w:rPr>
            </w:pPr>
          </w:p>
        </w:tc>
      </w:tr>
    </w:tbl>
    <w:p w14:paraId="40EEC215" w14:textId="77777777" w:rsidR="005D44AF" w:rsidRPr="00DD1DFA" w:rsidRDefault="005D44AF" w:rsidP="005D44AF">
      <w:pPr>
        <w:spacing w:before="0" w:after="0"/>
        <w:jc w:val="left"/>
        <w:rPr>
          <w:rFonts w:ascii="Arial Narrow" w:eastAsia="Times New Roman" w:hAnsi="Arial Narrow"/>
          <w:noProof/>
          <w:sz w:val="22"/>
          <w:lang w:eastAsia="en-GB"/>
        </w:rPr>
      </w:pPr>
    </w:p>
    <w:tbl>
      <w:tblPr>
        <w:tblW w:w="9295"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95"/>
      </w:tblGrid>
      <w:tr w:rsidR="005D44AF" w:rsidRPr="00DD1DFA" w14:paraId="4D42503B" w14:textId="77777777" w:rsidTr="00380F0F">
        <w:trPr>
          <w:jc w:val="center"/>
        </w:trPr>
        <w:tc>
          <w:tcPr>
            <w:tcW w:w="9295" w:type="dxa"/>
            <w:tcBorders>
              <w:top w:val="single" w:sz="4" w:space="0" w:color="auto"/>
            </w:tcBorders>
          </w:tcPr>
          <w:p w14:paraId="22987161" w14:textId="77777777" w:rsidR="005D44AF" w:rsidRPr="00DD1DFA" w:rsidRDefault="005D44AF" w:rsidP="003036BA">
            <w:pPr>
              <w:spacing w:before="60" w:after="60"/>
              <w:jc w:val="left"/>
              <w:rPr>
                <w:rFonts w:ascii="Arial Narrow" w:eastAsia="Times New Roman" w:hAnsi="Arial Narrow"/>
                <w:b/>
                <w:noProof/>
                <w:sz w:val="22"/>
              </w:rPr>
            </w:pPr>
            <w:r w:rsidRPr="00DD1DFA">
              <w:rPr>
                <w:rFonts w:ascii="Arial Narrow" w:hAnsi="Arial Narrow"/>
                <w:b/>
                <w:noProof/>
                <w:sz w:val="22"/>
              </w:rPr>
              <w:t>Poza DZIAŁEM 7</w:t>
            </w:r>
            <w:r w:rsidRPr="00DD1DFA">
              <w:rPr>
                <w:rFonts w:ascii="Arial Narrow" w:hAnsi="Arial Narrow"/>
                <w:noProof/>
                <w:sz w:val="22"/>
              </w:rPr>
              <w:t xml:space="preserve"> wieloletnich ram finansowych</w:t>
            </w:r>
          </w:p>
        </w:tc>
      </w:tr>
      <w:tr w:rsidR="005D44AF" w:rsidRPr="00DD1DFA" w14:paraId="3E023427" w14:textId="77777777" w:rsidTr="00380F0F">
        <w:trPr>
          <w:jc w:val="center"/>
        </w:trPr>
        <w:tc>
          <w:tcPr>
            <w:tcW w:w="9295" w:type="dxa"/>
            <w:tcBorders>
              <w:bottom w:val="single" w:sz="4" w:space="0" w:color="auto"/>
            </w:tcBorders>
          </w:tcPr>
          <w:p w14:paraId="040CD7E8" w14:textId="77777777" w:rsidR="005D44AF" w:rsidRPr="00DD1DFA" w:rsidRDefault="005D44AF" w:rsidP="003036BA">
            <w:pPr>
              <w:spacing w:before="0" w:after="0"/>
              <w:jc w:val="left"/>
              <w:rPr>
                <w:rFonts w:ascii="Arial Narrow" w:eastAsia="Times New Roman" w:hAnsi="Arial Narrow"/>
                <w:noProof/>
                <w:sz w:val="20"/>
                <w:szCs w:val="20"/>
                <w:u w:val="single"/>
                <w:lang w:eastAsia="en-GB"/>
              </w:rPr>
            </w:pPr>
          </w:p>
          <w:p w14:paraId="7BC3850B" w14:textId="77777777" w:rsidR="005D44AF" w:rsidRPr="00DD1DFA" w:rsidRDefault="005D44AF" w:rsidP="003036BA">
            <w:pPr>
              <w:spacing w:before="0" w:after="0"/>
              <w:jc w:val="left"/>
              <w:rPr>
                <w:rFonts w:ascii="Arial Narrow" w:eastAsia="Times New Roman" w:hAnsi="Arial Narrow"/>
                <w:noProof/>
                <w:sz w:val="20"/>
                <w:szCs w:val="20"/>
                <w:u w:val="single"/>
                <w:lang w:eastAsia="en-GB"/>
              </w:rPr>
            </w:pPr>
          </w:p>
          <w:p w14:paraId="16D3E5D1" w14:textId="77777777" w:rsidR="005D44AF" w:rsidRPr="00DD1DFA" w:rsidRDefault="005D44AF" w:rsidP="003036BA">
            <w:pPr>
              <w:spacing w:before="0" w:after="0"/>
              <w:jc w:val="left"/>
              <w:rPr>
                <w:rFonts w:ascii="Arial Narrow" w:eastAsia="Times New Roman" w:hAnsi="Arial Narrow"/>
                <w:noProof/>
                <w:sz w:val="20"/>
                <w:szCs w:val="20"/>
                <w:u w:val="single"/>
                <w:lang w:eastAsia="en-GB"/>
              </w:rPr>
            </w:pPr>
          </w:p>
          <w:p w14:paraId="5A244F47" w14:textId="77777777" w:rsidR="005D44AF" w:rsidRPr="00DD1DFA" w:rsidRDefault="005D44AF" w:rsidP="003036BA">
            <w:pPr>
              <w:spacing w:before="60" w:after="0"/>
              <w:jc w:val="left"/>
              <w:rPr>
                <w:rFonts w:ascii="Arial Narrow" w:eastAsia="Times New Roman" w:hAnsi="Arial Narrow"/>
                <w:noProof/>
                <w:sz w:val="18"/>
                <w:szCs w:val="18"/>
                <w:u w:val="single"/>
                <w:lang w:eastAsia="en-GB"/>
              </w:rPr>
            </w:pPr>
          </w:p>
        </w:tc>
      </w:tr>
    </w:tbl>
    <w:p w14:paraId="7597A271" w14:textId="77777777" w:rsidR="005D44AF" w:rsidRPr="00DD1DFA" w:rsidRDefault="005D44AF" w:rsidP="005D44AF">
      <w:pPr>
        <w:spacing w:before="0" w:after="0"/>
        <w:jc w:val="left"/>
        <w:rPr>
          <w:rFonts w:eastAsia="Times New Roman"/>
          <w:noProof/>
          <w:szCs w:val="24"/>
          <w:lang w:eastAsia="en-GB"/>
        </w:rPr>
      </w:pPr>
    </w:p>
    <w:sectPr w:rsidR="005D44AF" w:rsidRPr="00DD1DFA" w:rsidSect="0037392B">
      <w:headerReference w:type="default" r:id="rId32"/>
      <w:footerReference w:type="default" r:id="rId33"/>
      <w:headerReference w:type="first" r:id="rId34"/>
      <w:footerReference w:type="first" r:id="rId35"/>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723C" w14:textId="77777777" w:rsidR="006656E8" w:rsidRPr="00DD1DFA" w:rsidRDefault="006656E8" w:rsidP="00BB2C85">
      <w:pPr>
        <w:spacing w:before="0" w:after="0"/>
      </w:pPr>
      <w:r w:rsidRPr="00DD1DFA">
        <w:separator/>
      </w:r>
    </w:p>
  </w:endnote>
  <w:endnote w:type="continuationSeparator" w:id="0">
    <w:p w14:paraId="79645F73" w14:textId="77777777" w:rsidR="006656E8" w:rsidRPr="00DD1DFA" w:rsidRDefault="006656E8" w:rsidP="00BB2C85">
      <w:pPr>
        <w:spacing w:before="0" w:after="0"/>
      </w:pPr>
      <w:r w:rsidRPr="00DD1D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5F61" w14:textId="7B287481" w:rsidR="003C1B3E" w:rsidRPr="0037392B" w:rsidRDefault="0037392B" w:rsidP="0037392B">
    <w:pPr>
      <w:pStyle w:val="Stopka"/>
      <w:rPr>
        <w:rFonts w:ascii="Arial" w:hAnsi="Arial" w:cs="Arial"/>
        <w:b/>
        <w:sz w:val="48"/>
      </w:rPr>
    </w:pPr>
    <w:r w:rsidRPr="0037392B">
      <w:rPr>
        <w:rFonts w:ascii="Arial" w:hAnsi="Arial" w:cs="Arial"/>
        <w:b/>
        <w:sz w:val="48"/>
      </w:rPr>
      <w:t>PL</w:t>
    </w:r>
    <w:r w:rsidRPr="0037392B">
      <w:rPr>
        <w:rFonts w:ascii="Arial" w:hAnsi="Arial" w:cs="Arial"/>
        <w:b/>
        <w:sz w:val="48"/>
      </w:rPr>
      <w:tab/>
    </w:r>
    <w:r w:rsidRPr="0037392B">
      <w:rPr>
        <w:rFonts w:ascii="Arial" w:hAnsi="Arial" w:cs="Arial"/>
        <w:b/>
        <w:sz w:val="48"/>
      </w:rPr>
      <w:tab/>
    </w:r>
    <w:r w:rsidRPr="0037392B">
      <w:tab/>
    </w:r>
    <w:r w:rsidRPr="0037392B">
      <w:rPr>
        <w:rFonts w:ascii="Arial" w:hAnsi="Arial" w:cs="Arial"/>
        <w:b/>
        <w:sz w:val="48"/>
      </w:rPr>
      <w:t>PL</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48A0" w14:textId="1DFD8ED1" w:rsidR="003C1B3E" w:rsidRPr="0037392B" w:rsidRDefault="0037392B" w:rsidP="0037392B">
    <w:pPr>
      <w:pStyle w:val="FooterLandscape"/>
      <w:rPr>
        <w:rFonts w:ascii="Arial" w:hAnsi="Arial" w:cs="Arial"/>
        <w:b/>
        <w:sz w:val="48"/>
      </w:rPr>
    </w:pPr>
    <w:r w:rsidRPr="0037392B">
      <w:rPr>
        <w:rFonts w:ascii="Arial" w:hAnsi="Arial" w:cs="Arial"/>
        <w:b/>
        <w:sz w:val="48"/>
      </w:rPr>
      <w:t>PL</w:t>
    </w:r>
    <w:r w:rsidRPr="0037392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7392B">
      <w:tab/>
    </w:r>
    <w:r w:rsidRPr="0037392B">
      <w:rPr>
        <w:rFonts w:ascii="Arial" w:hAnsi="Arial" w:cs="Arial"/>
        <w:b/>
        <w:sz w:val="48"/>
      </w:rPr>
      <w:t>PL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42EC" w14:textId="77777777" w:rsidR="0037392B" w:rsidRPr="0037392B" w:rsidRDefault="0037392B" w:rsidP="0037392B">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CE83" w14:textId="1907429A" w:rsidR="0037392B" w:rsidRPr="0037392B" w:rsidRDefault="0037392B" w:rsidP="0037392B">
    <w:pPr>
      <w:pStyle w:val="Stopka"/>
      <w:rPr>
        <w:rFonts w:ascii="Arial" w:hAnsi="Arial" w:cs="Arial"/>
        <w:b/>
        <w:sz w:val="48"/>
      </w:rPr>
    </w:pPr>
    <w:r w:rsidRPr="0037392B">
      <w:rPr>
        <w:rFonts w:ascii="Arial" w:hAnsi="Arial" w:cs="Arial"/>
        <w:b/>
        <w:sz w:val="48"/>
      </w:rPr>
      <w:t>PL</w:t>
    </w:r>
    <w:r w:rsidRPr="0037392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7392B">
      <w:tab/>
    </w:r>
    <w:r w:rsidRPr="0037392B">
      <w:rPr>
        <w:rFonts w:ascii="Arial" w:hAnsi="Arial" w:cs="Arial"/>
        <w:b/>
        <w:sz w:val="48"/>
      </w:rPr>
      <w:t>PL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297A" w14:textId="77777777" w:rsidR="0037392B" w:rsidRPr="0037392B" w:rsidRDefault="0037392B" w:rsidP="003739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16E5" w14:textId="5868A4F1" w:rsidR="0037392B" w:rsidRPr="0037392B" w:rsidRDefault="0037392B" w:rsidP="0037392B">
    <w:pPr>
      <w:pStyle w:val="Stopka"/>
      <w:rPr>
        <w:rFonts w:ascii="Arial" w:hAnsi="Arial" w:cs="Arial"/>
        <w:b/>
        <w:sz w:val="48"/>
      </w:rPr>
    </w:pPr>
    <w:r w:rsidRPr="0037392B">
      <w:rPr>
        <w:rFonts w:ascii="Arial" w:hAnsi="Arial" w:cs="Arial"/>
        <w:b/>
        <w:sz w:val="48"/>
      </w:rPr>
      <w:t>PL</w:t>
    </w:r>
    <w:r w:rsidRPr="0037392B">
      <w:rPr>
        <w:rFonts w:ascii="Arial" w:hAnsi="Arial" w:cs="Arial"/>
        <w:b/>
        <w:sz w:val="48"/>
      </w:rPr>
      <w:tab/>
    </w:r>
    <w:r>
      <w:fldChar w:fldCharType="begin"/>
    </w:r>
    <w:r>
      <w:instrText xml:space="preserve"> PAGE  \* MERGEFORMAT </w:instrText>
    </w:r>
    <w:r>
      <w:fldChar w:fldCharType="separate"/>
    </w:r>
    <w:r w:rsidR="00C96D7B">
      <w:rPr>
        <w:noProof/>
      </w:rPr>
      <w:t>116</w:t>
    </w:r>
    <w:r>
      <w:fldChar w:fldCharType="end"/>
    </w:r>
    <w:r>
      <w:tab/>
    </w:r>
    <w:r w:rsidRPr="0037392B">
      <w:tab/>
    </w:r>
    <w:r w:rsidRPr="0037392B">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E779" w14:textId="77777777" w:rsidR="0037392B" w:rsidRPr="0037392B" w:rsidRDefault="0037392B" w:rsidP="0037392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ADDF" w14:textId="4DD8D44E" w:rsidR="0037392B" w:rsidRPr="0037392B" w:rsidRDefault="0037392B" w:rsidP="0037392B">
    <w:pPr>
      <w:pStyle w:val="FooterLandscape"/>
      <w:rPr>
        <w:rFonts w:ascii="Arial" w:hAnsi="Arial" w:cs="Arial"/>
        <w:b/>
        <w:sz w:val="48"/>
      </w:rPr>
    </w:pPr>
    <w:r w:rsidRPr="0037392B">
      <w:rPr>
        <w:rFonts w:ascii="Arial" w:hAnsi="Arial" w:cs="Arial"/>
        <w:b/>
        <w:sz w:val="48"/>
      </w:rPr>
      <w:t>PL</w:t>
    </w:r>
    <w:r w:rsidRPr="0037392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7392B">
      <w:tab/>
    </w:r>
    <w:r w:rsidRPr="0037392B">
      <w:rPr>
        <w:rFonts w:ascii="Arial" w:hAnsi="Arial" w:cs="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4EDD" w14:textId="77777777" w:rsidR="0037392B" w:rsidRPr="0037392B" w:rsidRDefault="0037392B" w:rsidP="0037392B">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818" w14:textId="15E07656" w:rsidR="0037392B" w:rsidRPr="0037392B" w:rsidRDefault="0037392B" w:rsidP="0037392B">
    <w:pPr>
      <w:pStyle w:val="Stopka"/>
      <w:rPr>
        <w:rFonts w:ascii="Arial" w:hAnsi="Arial" w:cs="Arial"/>
        <w:b/>
        <w:sz w:val="48"/>
      </w:rPr>
    </w:pPr>
    <w:r w:rsidRPr="0037392B">
      <w:rPr>
        <w:rFonts w:ascii="Arial" w:hAnsi="Arial" w:cs="Arial"/>
        <w:b/>
        <w:sz w:val="48"/>
      </w:rPr>
      <w:t>PL</w:t>
    </w:r>
    <w:r w:rsidRPr="0037392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7392B">
      <w:tab/>
    </w:r>
    <w:r w:rsidRPr="0037392B">
      <w:rPr>
        <w:rFonts w:ascii="Arial" w:hAnsi="Arial" w:cs="Arial"/>
        <w:b/>
        <w:sz w:val="48"/>
      </w:rPr>
      <w:t>PL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D3F6" w14:textId="77777777" w:rsidR="0037392B" w:rsidRPr="0037392B" w:rsidRDefault="0037392B" w:rsidP="0037392B">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359B" w14:textId="00DE8F23" w:rsidR="0037392B" w:rsidRPr="0037392B" w:rsidRDefault="0037392B" w:rsidP="0037392B">
    <w:pPr>
      <w:pStyle w:val="Stopka"/>
      <w:rPr>
        <w:rFonts w:ascii="Arial" w:hAnsi="Arial" w:cs="Arial"/>
        <w:b/>
        <w:sz w:val="48"/>
      </w:rPr>
    </w:pPr>
    <w:r w:rsidRPr="0037392B">
      <w:rPr>
        <w:rFonts w:ascii="Arial" w:hAnsi="Arial" w:cs="Arial"/>
        <w:b/>
        <w:sz w:val="48"/>
      </w:rPr>
      <w:t>PL</w:t>
    </w:r>
    <w:r w:rsidRPr="0037392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7392B">
      <w:tab/>
    </w:r>
    <w:r w:rsidRPr="0037392B">
      <w:rPr>
        <w:rFonts w:ascii="Arial" w:hAnsi="Arial" w:cs="Arial"/>
        <w:b/>
        <w:sz w:val="48"/>
      </w:rPr>
      <w:t>PL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8666" w14:textId="77777777" w:rsidR="0037392B" w:rsidRPr="0037392B" w:rsidRDefault="0037392B" w:rsidP="00373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90F3" w14:textId="77777777" w:rsidR="006656E8" w:rsidRPr="00DD1DFA" w:rsidRDefault="006656E8" w:rsidP="00BB2C85">
      <w:pPr>
        <w:spacing w:before="0" w:after="0"/>
      </w:pPr>
      <w:r w:rsidRPr="00DD1DFA">
        <w:separator/>
      </w:r>
    </w:p>
  </w:footnote>
  <w:footnote w:type="continuationSeparator" w:id="0">
    <w:p w14:paraId="5886E90F" w14:textId="77777777" w:rsidR="006656E8" w:rsidRPr="00DD1DFA" w:rsidRDefault="006656E8" w:rsidP="00BB2C85">
      <w:pPr>
        <w:spacing w:before="0" w:after="0"/>
      </w:pPr>
      <w:r w:rsidRPr="00DD1DFA">
        <w:continuationSeparator/>
      </w:r>
    </w:p>
  </w:footnote>
  <w:footnote w:id="1">
    <w:p w14:paraId="7ED0D6DC" w14:textId="2D10B6B3" w:rsidR="003C1B3E" w:rsidRPr="00DD1DFA" w:rsidRDefault="003C1B3E" w:rsidP="004E75DC">
      <w:pPr>
        <w:pStyle w:val="Tekstprzypisudolnego"/>
        <w:ind w:left="0" w:firstLine="0"/>
      </w:pPr>
      <w:r w:rsidRPr="00DD1DFA">
        <w:rPr>
          <w:rStyle w:val="Odwoanieprzypisudolnego"/>
        </w:rPr>
        <w:footnoteRef/>
      </w:r>
      <w:r w:rsidRPr="00DD1DFA">
        <w:tab/>
        <w:t>Rozporządzenie Parlamentu Europejskiego i</w:t>
      </w:r>
      <w:r>
        <w:t> </w:t>
      </w:r>
      <w:r w:rsidRPr="00DD1DFA">
        <w:t>Rady (UE) nr 305/2011 z</w:t>
      </w:r>
      <w:r>
        <w:t> </w:t>
      </w:r>
      <w:r w:rsidRPr="00DD1DFA">
        <w:t>dnia 9 marca 2011 r. ustanawiające zharmonizowane warunki wprowadzania do obrotu wyrobów budowlanych i</w:t>
      </w:r>
      <w:r>
        <w:t> </w:t>
      </w:r>
      <w:r w:rsidRPr="00DD1DFA">
        <w:t>uchylające dyrektywę Rady 89/106/EWG (Dz.U. L 88 z</w:t>
      </w:r>
      <w:r>
        <w:t> </w:t>
      </w:r>
      <w:r w:rsidRPr="00DD1DFA">
        <w:t>4.4.2011, s. 5).</w:t>
      </w:r>
    </w:p>
  </w:footnote>
  <w:footnote w:id="2">
    <w:p w14:paraId="2CCFA844" w14:textId="4FC91F64" w:rsidR="003C1B3E" w:rsidRPr="00DD1DFA" w:rsidRDefault="003C1B3E" w:rsidP="004E75DC">
      <w:pPr>
        <w:pStyle w:val="Tekstprzypisudolnego"/>
        <w:ind w:left="0" w:firstLine="0"/>
      </w:pPr>
      <w:r w:rsidRPr="00DD1DFA">
        <w:rPr>
          <w:rStyle w:val="Odwoanieprzypisudolnego"/>
        </w:rPr>
        <w:footnoteRef/>
      </w:r>
      <w:r w:rsidRPr="00DD1DFA">
        <w:tab/>
        <w:t>Sprawozdanie Komisji dla Parlamentu Europejskiego i</w:t>
      </w:r>
      <w:r>
        <w:t> </w:t>
      </w:r>
      <w:r w:rsidRPr="00DD1DFA">
        <w:t>Rady w</w:t>
      </w:r>
      <w:r>
        <w:t> </w:t>
      </w:r>
      <w:r w:rsidRPr="00DD1DFA">
        <w:t>sprawie wdrożenia rozporządzenia Parlamentu Europejskiego i</w:t>
      </w:r>
      <w:r>
        <w:t> </w:t>
      </w:r>
      <w:r w:rsidRPr="00DD1DFA">
        <w:t>Rady (UE) nr 305/2011 z</w:t>
      </w:r>
      <w:r>
        <w:t> </w:t>
      </w:r>
      <w:r w:rsidRPr="00DD1DFA">
        <w:t>dnia 9 marca 2011 r. ustanawiającego zharmonizowane warunki wprowadzania do obrotu wyrobów budowlanych i</w:t>
      </w:r>
      <w:r>
        <w:t> </w:t>
      </w:r>
      <w:r w:rsidRPr="00DD1DFA">
        <w:t>uchylającego dyrektywę Rady 89/106/EWG, COM(2016) 445 final.</w:t>
      </w:r>
    </w:p>
  </w:footnote>
  <w:footnote w:id="3">
    <w:p w14:paraId="3576F35F" w14:textId="74F9A87D" w:rsidR="003C1B3E" w:rsidRPr="00DD1DFA" w:rsidRDefault="003C1B3E" w:rsidP="004E75DC">
      <w:pPr>
        <w:pStyle w:val="Tekstprzypisudolnego"/>
        <w:ind w:left="0" w:firstLine="0"/>
      </w:pPr>
      <w:r w:rsidRPr="00DD1DFA">
        <w:rPr>
          <w:rStyle w:val="Odwoanieprzypisudolnego"/>
        </w:rPr>
        <w:footnoteRef/>
      </w:r>
      <w:r w:rsidRPr="00DD1DFA">
        <w:tab/>
        <w:t>Dokument roboczy służb Komisji SWD(2019) 1770 – Ocena rozporządzenia (UE) nr 305/2011 ustanawiającego zharmonizowane warunki wprowadzania do obrotu wyrobów budowlanych i</w:t>
      </w:r>
      <w:r>
        <w:t> </w:t>
      </w:r>
      <w:r w:rsidRPr="00DD1DFA">
        <w:t>uchylającego dyrektywę Rady 89/106/EWG.</w:t>
      </w:r>
    </w:p>
  </w:footnote>
  <w:footnote w:id="4">
    <w:p w14:paraId="2F6365F8" w14:textId="77777777" w:rsidR="003C1B3E" w:rsidRPr="00DD1DFA" w:rsidRDefault="003C1B3E" w:rsidP="004E75DC">
      <w:pPr>
        <w:pStyle w:val="Tekstprzypisudolnego"/>
        <w:ind w:left="0" w:firstLine="0"/>
        <w:rPr>
          <w:rStyle w:val="Odwoanieprzypisudolnego"/>
          <w:sz w:val="24"/>
          <w:szCs w:val="22"/>
        </w:rPr>
      </w:pPr>
      <w:r w:rsidRPr="00DD1DFA">
        <w:rPr>
          <w:rStyle w:val="Odwoanieprzypisudolnego"/>
        </w:rPr>
        <w:footnoteRef/>
      </w:r>
      <w:r w:rsidRPr="00DD1DFA">
        <w:tab/>
        <w:t>Komunikat Komisji do Parlamentu Europejskiego, Rady, Europejskiego Komitetu Ekonomiczno-Społecznego, Komitetu Regionów oraz Europejskiego Banku Inwestycyjnego „Czysta energia dla wszystkich Europejczyków”, COM(2016) 860.</w:t>
      </w:r>
    </w:p>
  </w:footnote>
  <w:footnote w:id="5">
    <w:p w14:paraId="134BA87F" w14:textId="3DCF819D" w:rsidR="003C1B3E" w:rsidRPr="00DD1DFA" w:rsidRDefault="003C1B3E" w:rsidP="004E75DC">
      <w:pPr>
        <w:pStyle w:val="Tekstprzypisudolnego"/>
        <w:ind w:left="0" w:firstLine="0"/>
      </w:pPr>
      <w:r w:rsidRPr="00DD1DFA">
        <w:rPr>
          <w:rStyle w:val="Odwoanieprzypisudolnego"/>
        </w:rPr>
        <w:footnoteRef/>
      </w:r>
      <w:r w:rsidRPr="00DD1DFA">
        <w:tab/>
        <w:t>Komunikat Komisji do Parlamentu Europejskiego, Rady Europejskiej, Rady, Komitetu Ekonomiczno-Społecznego i</w:t>
      </w:r>
      <w:r>
        <w:t> </w:t>
      </w:r>
      <w:r w:rsidRPr="00DD1DFA">
        <w:t>Komitetu Regionów – Europejski Zielony Ład, COM(2019) 640.</w:t>
      </w:r>
    </w:p>
  </w:footnote>
  <w:footnote w:id="6">
    <w:p w14:paraId="588BDBF7" w14:textId="0CA5C9B5" w:rsidR="003C1B3E" w:rsidRPr="00DD1DFA" w:rsidRDefault="003C1B3E" w:rsidP="004E75DC">
      <w:pPr>
        <w:pStyle w:val="Tekstprzypisudolnego"/>
        <w:ind w:left="0" w:firstLine="0"/>
      </w:pPr>
      <w:r w:rsidRPr="00DD1DFA">
        <w:rPr>
          <w:rStyle w:val="Odwoanieprzypisudolnego"/>
        </w:rPr>
        <w:footnoteRef/>
      </w:r>
      <w:r w:rsidRPr="00DD1DFA">
        <w:tab/>
        <w:t>Komunikat Komisji do Parlamentu Europejskiego, Rady, Europejskiego Komitetu Ekonomiczno-Społecznego i</w:t>
      </w:r>
      <w:r>
        <w:t> </w:t>
      </w:r>
      <w:r w:rsidRPr="00DD1DFA">
        <w:t>Komitetu Regionów, Nowy plan działania UE dotyczący gospodarki o</w:t>
      </w:r>
      <w:r>
        <w:t> </w:t>
      </w:r>
      <w:r w:rsidRPr="00DD1DFA">
        <w:t>obiegu zamkniętym.</w:t>
      </w:r>
    </w:p>
  </w:footnote>
  <w:footnote w:id="7">
    <w:p w14:paraId="088265AE" w14:textId="77777777" w:rsidR="003C1B3E" w:rsidRPr="00DD1DFA" w:rsidRDefault="003C1B3E" w:rsidP="004E75DC">
      <w:pPr>
        <w:pStyle w:val="Tekstprzypisudolnego"/>
        <w:ind w:left="0" w:firstLine="0"/>
      </w:pPr>
      <w:r w:rsidRPr="00DD1DFA">
        <w:rPr>
          <w:rStyle w:val="Odwoanieprzypisudolnego"/>
        </w:rPr>
        <w:footnoteRef/>
      </w:r>
      <w:r w:rsidRPr="00DD1DFA">
        <w:tab/>
        <w:t>COM(2020) 662 final.</w:t>
      </w:r>
    </w:p>
  </w:footnote>
  <w:footnote w:id="8">
    <w:p w14:paraId="0D837A9D" w14:textId="5DD78DFA" w:rsidR="003C1B3E" w:rsidRPr="00DD1DFA" w:rsidRDefault="003C1B3E" w:rsidP="004E75DC">
      <w:pPr>
        <w:pStyle w:val="Tekstprzypisudolnego"/>
      </w:pPr>
      <w:r w:rsidRPr="00DD1DFA">
        <w:rPr>
          <w:rStyle w:val="Odwoanieprzypisudolnego"/>
        </w:rPr>
        <w:footnoteRef/>
      </w:r>
      <w:r w:rsidRPr="00DD1DFA">
        <w:tab/>
        <w:t>Wniosek dotyczący dyrektywy Parlamentu Europejskiego i</w:t>
      </w:r>
      <w:r>
        <w:t> </w:t>
      </w:r>
      <w:r w:rsidRPr="00DD1DFA">
        <w:t>Rady w</w:t>
      </w:r>
      <w:r>
        <w:t> </w:t>
      </w:r>
      <w:r w:rsidRPr="00DD1DFA">
        <w:t>sprawie charakterystyki energetycznej budynków (wersja przekształcona) COM/2021/802 final.</w:t>
      </w:r>
    </w:p>
  </w:footnote>
  <w:footnote w:id="9">
    <w:p w14:paraId="08038792" w14:textId="3AADF7BF" w:rsidR="003C1B3E" w:rsidRPr="00DD1DFA" w:rsidRDefault="003C1B3E" w:rsidP="004E75DC">
      <w:pPr>
        <w:pStyle w:val="Tekstprzypisudolnego"/>
      </w:pPr>
      <w:r w:rsidRPr="00DD1DFA">
        <w:rPr>
          <w:rStyle w:val="Odwoanieprzypisudolnego"/>
        </w:rPr>
        <w:footnoteRef/>
      </w:r>
      <w:r w:rsidRPr="00DD1DFA">
        <w:tab/>
        <w:t>Komunikat Komisji do Parlamentu Europejskiego, Rady, Europejskiego Komitetu Ekonomiczno-Społecznego i</w:t>
      </w:r>
      <w:r>
        <w:t> </w:t>
      </w:r>
      <w:r w:rsidRPr="00DD1DFA">
        <w:t>Komitetu Regionów: Nowa strategia leśna UE 2030, COM(2021) 572 final.</w:t>
      </w:r>
    </w:p>
  </w:footnote>
  <w:footnote w:id="10">
    <w:p w14:paraId="0A7497CD" w14:textId="7590D2C3" w:rsidR="003C1B3E" w:rsidRPr="00DD1DFA" w:rsidRDefault="003C1B3E" w:rsidP="004E75DC">
      <w:pPr>
        <w:pStyle w:val="Tekstprzypisudolnego"/>
      </w:pPr>
      <w:r w:rsidRPr="00DD1DFA">
        <w:rPr>
          <w:rStyle w:val="Odwoanieprzypisudolnego"/>
        </w:rPr>
        <w:footnoteRef/>
      </w:r>
      <w:r w:rsidRPr="00DD1DFA">
        <w:tab/>
        <w:t>Komunikat Komisji do Parlamentu Europejskiego, Rady, Europejskiego Komitetu Ekonomiczno-Społecznego i</w:t>
      </w:r>
      <w:r>
        <w:t> </w:t>
      </w:r>
      <w:r w:rsidRPr="00DD1DFA">
        <w:t>Komitetu Regionów: Zrównoważony obieg węgla, COM (2021) 800 final.</w:t>
      </w:r>
    </w:p>
  </w:footnote>
  <w:footnote w:id="11">
    <w:p w14:paraId="35F049F2" w14:textId="2BA1314E" w:rsidR="003C1B3E" w:rsidRPr="00DD1DFA" w:rsidRDefault="003C1B3E" w:rsidP="004E75DC">
      <w:pPr>
        <w:pStyle w:val="Tekstprzypisudolnego"/>
        <w:ind w:left="0" w:firstLine="0"/>
      </w:pPr>
      <w:r w:rsidRPr="00DD1DFA">
        <w:rPr>
          <w:rStyle w:val="Odwoanieprzypisudolnego"/>
        </w:rPr>
        <w:footnoteRef/>
      </w:r>
      <w:r w:rsidRPr="00DD1DFA">
        <w:tab/>
        <w:t>Wykonanie rozporządzenia (UE) nr 305/2011 ustanawiającego zharmonizowane warunki wprowadzania do obrotu wyrobów budowlanych (rozporządzenie w</w:t>
      </w:r>
      <w:r>
        <w:t> </w:t>
      </w:r>
      <w:r w:rsidRPr="00DD1DFA">
        <w:t xml:space="preserve">sprawie wyrobów budowlanych) (2020/2028(INI)) oraz </w:t>
      </w:r>
      <w:hyperlink r:id="rId1" w:history="1">
        <w:r w:rsidRPr="00DD1DFA">
          <w:rPr>
            <w:rStyle w:val="Hipercze"/>
          </w:rPr>
          <w:t>https://www.consilium.europa.eu/media/41508/st14523-en19.pdf</w:t>
        </w:r>
      </w:hyperlink>
    </w:p>
  </w:footnote>
  <w:footnote w:id="12">
    <w:p w14:paraId="5E51A4C6" w14:textId="10BFD390" w:rsidR="003C1B3E" w:rsidRPr="00DD1DFA" w:rsidRDefault="003C1B3E" w:rsidP="004E75DC">
      <w:pPr>
        <w:pStyle w:val="Tekstprzypisudolnego"/>
        <w:ind w:left="0" w:firstLine="0"/>
      </w:pPr>
      <w:r w:rsidRPr="00DD1DFA">
        <w:rPr>
          <w:rStyle w:val="Odwoanieprzypisudolnego"/>
        </w:rPr>
        <w:footnoteRef/>
      </w:r>
      <w:r w:rsidRPr="00DD1DFA">
        <w:tab/>
        <w:t>W celu wykazania uproszczenia i</w:t>
      </w:r>
      <w:r>
        <w:t> </w:t>
      </w:r>
      <w:r w:rsidRPr="00DD1DFA">
        <w:t>ograniczenia niepotrzebnych kosztów regulacyjnych, przy jednoczesnym osiągnięciu podstawowych celów politycznych, w</w:t>
      </w:r>
      <w:r>
        <w:t> </w:t>
      </w:r>
      <w:r w:rsidRPr="00DD1DFA">
        <w:t>ocenie skutków opracowano tabelę przedstawiającą oszczędności kosztów wynikające z REFIT w</w:t>
      </w:r>
      <w:r>
        <w:t> </w:t>
      </w:r>
      <w:r w:rsidRPr="00DD1DFA">
        <w:t>przypadku preferowanego wariantu. Ponadto zastosowano nowe podejście „jedno więcej – jedno mniej” wzmacniające program REFIT.</w:t>
      </w:r>
    </w:p>
  </w:footnote>
  <w:footnote w:id="13">
    <w:p w14:paraId="7D2B344A" w14:textId="01FFC3EF" w:rsidR="003C1B3E" w:rsidRPr="00DD1DFA" w:rsidRDefault="003C1B3E" w:rsidP="004E75DC">
      <w:pPr>
        <w:pStyle w:val="Tekstprzypisudolnego"/>
      </w:pPr>
      <w:r w:rsidRPr="00DD1DFA">
        <w:rPr>
          <w:rStyle w:val="Odwoanieprzypisudolnego"/>
        </w:rPr>
        <w:footnoteRef/>
      </w:r>
      <w:r w:rsidRPr="00DD1DFA">
        <w:tab/>
        <w:t>Dyrektywa Parlamentu Europejskiego i</w:t>
      </w:r>
      <w:r>
        <w:t> </w:t>
      </w:r>
      <w:r w:rsidRPr="00DD1DFA">
        <w:t>Rady 2009/125/WE z</w:t>
      </w:r>
      <w:r>
        <w:t> </w:t>
      </w:r>
      <w:r w:rsidRPr="00DD1DFA">
        <w:t>dnia 21 października 2009 r. ustanawiająca ogólne zasady ustalania wymogów dotyczących ekoprojektu dla produktów związanych z</w:t>
      </w:r>
      <w:r>
        <w:t> </w:t>
      </w:r>
      <w:r w:rsidRPr="00DD1DFA">
        <w:t>energią.</w:t>
      </w:r>
    </w:p>
  </w:footnote>
  <w:footnote w:id="14">
    <w:p w14:paraId="7D81FE74" w14:textId="12791952" w:rsidR="003C1B3E" w:rsidRPr="00DD1DFA" w:rsidRDefault="003C1B3E" w:rsidP="004E75DC">
      <w:pPr>
        <w:pStyle w:val="Tekstprzypisudolnego"/>
        <w:ind w:left="0" w:firstLine="0"/>
      </w:pPr>
      <w:r w:rsidRPr="00DD1DFA">
        <w:rPr>
          <w:rStyle w:val="Odwoanieprzypisudolnego"/>
        </w:rPr>
        <w:footnoteRef/>
      </w:r>
      <w:r w:rsidRPr="00DD1DFA">
        <w:tab/>
        <w:t>Tj. art. 5 (odstępstwa od sporządzania deklaracji właściwości użytkowych), art. 36 (mający na celu uniknięcie zbędnego powtarzania badań), art. 37 (procedury uproszczone dla mikroprzedsiębiorstw) i</w:t>
      </w:r>
      <w:r>
        <w:t> </w:t>
      </w:r>
      <w:r w:rsidRPr="00DD1DFA">
        <w:t>art. 38 (procedury uproszczone dla wyrobów produkowanych jednostkowo lub na zamówienie w</w:t>
      </w:r>
      <w:r>
        <w:t> </w:t>
      </w:r>
      <w:r w:rsidRPr="00DD1DFA">
        <w:t>nieseryjnym procesie produkcyjnym).</w:t>
      </w:r>
    </w:p>
  </w:footnote>
  <w:footnote w:id="15">
    <w:p w14:paraId="7F0BA6D7" w14:textId="2B02E95C" w:rsidR="003C1B3E" w:rsidRPr="00DD1DFA" w:rsidRDefault="003C1B3E" w:rsidP="004E75DC">
      <w:pPr>
        <w:pStyle w:val="Tekstprzypisudolnego"/>
        <w:ind w:left="0" w:firstLine="0"/>
      </w:pPr>
      <w:r w:rsidRPr="00DD1DFA">
        <w:rPr>
          <w:rStyle w:val="Odwoanieprzypisudolnego"/>
        </w:rPr>
        <w:footnoteRef/>
      </w:r>
      <w:r w:rsidRPr="00DD1DFA">
        <w:tab/>
        <w:t>Cyfrowy dziennik budynku to dynamiczne narzędzie, które umożliwia rejestrowanie, udostępnianie, wzbogacanie i</w:t>
      </w:r>
      <w:r>
        <w:t> </w:t>
      </w:r>
      <w:r w:rsidRPr="00DD1DFA">
        <w:t>organizowanie różnych danych, informacji i</w:t>
      </w:r>
      <w:r>
        <w:t> </w:t>
      </w:r>
      <w:r w:rsidRPr="00DD1DFA">
        <w:t>dokumentów w</w:t>
      </w:r>
      <w:r>
        <w:t> </w:t>
      </w:r>
      <w:r w:rsidRPr="00DD1DFA">
        <w:t>ramach określonych kategorii. Stanowi on zapis głównych wydarzeń i</w:t>
      </w:r>
      <w:r>
        <w:t> </w:t>
      </w:r>
      <w:r w:rsidRPr="00DD1DFA">
        <w:t>zmian w</w:t>
      </w:r>
      <w:r>
        <w:t> </w:t>
      </w:r>
      <w:r w:rsidRPr="00DD1DFA">
        <w:t>cyklu życia budynku, takich jak zmiana właściciela, dzierżawy lub sposobu użytkowania, konserwacja, modernizacja i</w:t>
      </w:r>
      <w:r>
        <w:t> </w:t>
      </w:r>
      <w:r w:rsidRPr="00DD1DFA">
        <w:t xml:space="preserve">inne interwencje. </w:t>
      </w:r>
      <w:hyperlink r:id="rId2" w:history="1">
        <w:r w:rsidRPr="00DD1DFA">
          <w:rPr>
            <w:rStyle w:val="Hipercze"/>
          </w:rPr>
          <w:t>Definition of the digital building logbook - Publications Office of the EU (europa.eu)</w:t>
        </w:r>
      </w:hyperlink>
      <w:r w:rsidRPr="00DD1DFA">
        <w:t>.</w:t>
      </w:r>
    </w:p>
  </w:footnote>
  <w:footnote w:id="16">
    <w:p w14:paraId="7D0C8C4C" w14:textId="0B6C8E1A" w:rsidR="003C1B3E" w:rsidRPr="00DD1DFA" w:rsidRDefault="003C1B3E" w:rsidP="004E75DC">
      <w:pPr>
        <w:pStyle w:val="Tekstprzypisudolnego"/>
        <w:ind w:left="0" w:firstLine="0"/>
      </w:pPr>
      <w:r w:rsidRPr="00DD1DFA">
        <w:rPr>
          <w:rStyle w:val="Odwoanieprzypisudolnego"/>
        </w:rPr>
        <w:footnoteRef/>
      </w:r>
      <w:r w:rsidRPr="00DD1DFA">
        <w:tab/>
        <w:t>Unijne ramy zrównoważonego budownictwa (Level(s)) to narzędzie oceny i</w:t>
      </w:r>
      <w:r>
        <w:t> </w:t>
      </w:r>
      <w:r w:rsidRPr="00DD1DFA">
        <w:t>sprawozdawczości, opracowane przez Komisję Europejską, dotyczące efektywności budynków pod względem zrównoważonego rozwoju i</w:t>
      </w:r>
      <w:r>
        <w:t> </w:t>
      </w:r>
      <w:r w:rsidRPr="00DD1DFA">
        <w:t xml:space="preserve">oparte na obiegu zamkniętym: </w:t>
      </w:r>
      <w:hyperlink r:id="rId3" w:history="1">
        <w:r w:rsidRPr="00DD1DFA">
          <w:rPr>
            <w:rStyle w:val="Hipercze"/>
          </w:rPr>
          <w:t>Level(s) (europa.eu)</w:t>
        </w:r>
      </w:hyperlink>
      <w:r w:rsidRPr="00DD1DFA">
        <w:t xml:space="preserve"> </w:t>
      </w:r>
    </w:p>
  </w:footnote>
  <w:footnote w:id="17">
    <w:p w14:paraId="656F4C19" w14:textId="77777777" w:rsidR="003C1B3E" w:rsidRPr="00DD1DFA" w:rsidRDefault="003C1B3E" w:rsidP="004E75DC">
      <w:pPr>
        <w:pStyle w:val="Tekstprzypisudolnego"/>
      </w:pPr>
      <w:r w:rsidRPr="00DD1DFA">
        <w:rPr>
          <w:rStyle w:val="Odwoanieprzypisudolnego"/>
        </w:rPr>
        <w:footnoteRef/>
      </w:r>
      <w:r w:rsidRPr="00DD1DFA">
        <w:tab/>
        <w:t>[obszar zablokowany: drugi pogłębiony przegląd]</w:t>
      </w:r>
    </w:p>
  </w:footnote>
  <w:footnote w:id="18">
    <w:p w14:paraId="79C74B19" w14:textId="056BA3BA" w:rsidR="003C1B3E" w:rsidRPr="00DD1DFA" w:rsidRDefault="003C1B3E" w:rsidP="004E75DC">
      <w:pPr>
        <w:pStyle w:val="Tekstprzypisudolnego"/>
        <w:ind w:left="0" w:firstLine="0"/>
      </w:pPr>
      <w:r w:rsidRPr="00DD1DFA">
        <w:rPr>
          <w:rStyle w:val="Odwoanieprzypisudolnego"/>
        </w:rPr>
        <w:footnoteRef/>
      </w:r>
      <w:r w:rsidRPr="00DD1DFA">
        <w:tab/>
        <w:t>COM(2020) 102 final, „Pakiet dotyczący polityki przemysłowej z</w:t>
      </w:r>
      <w:r>
        <w:t> </w:t>
      </w:r>
      <w:r w:rsidRPr="00DD1DFA">
        <w:t>2020 r.” obejmuje również specjalną strategię dla małych i</w:t>
      </w:r>
      <w:r>
        <w:t> </w:t>
      </w:r>
      <w:r w:rsidRPr="00DD1DFA">
        <w:t>średnich przedsiębiorstw (MŚP; COM(2020) 103 final) oraz konkretne działania mające na celu usunięcie barier utrudniających sprawne funkcjonowanie jednolitego rynku, a</w:t>
      </w:r>
      <w:r>
        <w:t> </w:t>
      </w:r>
      <w:r w:rsidRPr="00DD1DFA">
        <w:t>także poprawę egzekwowania wspólnie uzgodnionych przepisów, COM(2020) 93 final i COM(2020) 94 final.</w:t>
      </w:r>
    </w:p>
  </w:footnote>
  <w:footnote w:id="19">
    <w:p w14:paraId="6D98ED20" w14:textId="0F1CC6F5" w:rsidR="003C1B3E" w:rsidRPr="00DD1DFA" w:rsidRDefault="003C1B3E" w:rsidP="004E75DC">
      <w:pPr>
        <w:pStyle w:val="Tekstprzypisudolnego"/>
        <w:ind w:left="0" w:firstLine="0"/>
      </w:pPr>
      <w:r w:rsidRPr="00DD1DFA">
        <w:rPr>
          <w:rStyle w:val="Odwoanieprzypisudolnego"/>
        </w:rPr>
        <w:footnoteRef/>
      </w:r>
      <w:r w:rsidRPr="00DD1DFA">
        <w:tab/>
        <w:t>COM(2021) 350 final, Aktualizacja nowej strategii przemysłowej z</w:t>
      </w:r>
      <w:r>
        <w:t> </w:t>
      </w:r>
      <w:r w:rsidRPr="00DD1DFA">
        <w:t>2020 r.: tworzenie silniejszego jednolitego rynku sprzyjającego odbudowie Europy.</w:t>
      </w:r>
    </w:p>
  </w:footnote>
  <w:footnote w:id="20">
    <w:p w14:paraId="1ECDC5F6" w14:textId="77777777" w:rsidR="003C1B3E" w:rsidRPr="00DD1DFA" w:rsidRDefault="003C1B3E" w:rsidP="004E75DC">
      <w:pPr>
        <w:pStyle w:val="Tekstprzypisudolnego"/>
      </w:pPr>
      <w:r w:rsidRPr="00DD1DFA">
        <w:rPr>
          <w:rStyle w:val="Odwoanieprzypisudolnego"/>
        </w:rPr>
        <w:footnoteRef/>
      </w:r>
      <w:r w:rsidRPr="00DD1DFA">
        <w:tab/>
        <w:t>SWD(2021) 419 final, https://ec.europa.eu/docsroom/documents/47996</w:t>
      </w:r>
    </w:p>
  </w:footnote>
  <w:footnote w:id="21">
    <w:p w14:paraId="5730200B" w14:textId="77777777" w:rsidR="003C1B3E" w:rsidRPr="00DD1DFA" w:rsidRDefault="003C1B3E" w:rsidP="004E75DC">
      <w:pPr>
        <w:pStyle w:val="Tekstprzypisudolnego"/>
        <w:ind w:left="0" w:firstLine="0"/>
      </w:pPr>
      <w:r w:rsidRPr="00DD1DFA">
        <w:rPr>
          <w:rStyle w:val="Odwoanieprzypisudolnego"/>
        </w:rPr>
        <w:footnoteRef/>
      </w:r>
      <w:r w:rsidRPr="00DD1DFA">
        <w:tab/>
        <w:t>COM(2020) 103 final.</w:t>
      </w:r>
    </w:p>
  </w:footnote>
  <w:footnote w:id="22">
    <w:p w14:paraId="6C4A303E" w14:textId="77777777" w:rsidR="003C1B3E" w:rsidRPr="00DD1DFA" w:rsidRDefault="003C1B3E" w:rsidP="004E75DC">
      <w:pPr>
        <w:pStyle w:val="Tekstprzypisudolnego"/>
        <w:ind w:left="0" w:firstLine="0"/>
      </w:pPr>
      <w:r w:rsidRPr="00DD1DFA">
        <w:rPr>
          <w:rStyle w:val="Odwoanieprzypisudolnego"/>
        </w:rPr>
        <w:footnoteRef/>
      </w:r>
      <w:r w:rsidRPr="00DD1DFA">
        <w:tab/>
        <w:t>COM(2022) 31 final.</w:t>
      </w:r>
    </w:p>
  </w:footnote>
  <w:footnote w:id="23">
    <w:p w14:paraId="7529AA17" w14:textId="77777777" w:rsidR="003C1B3E" w:rsidRPr="00DD1DFA" w:rsidRDefault="003C1B3E" w:rsidP="004E75DC">
      <w:pPr>
        <w:pStyle w:val="Tekstprzypisudolnego"/>
        <w:ind w:left="0" w:firstLine="0"/>
      </w:pPr>
      <w:r w:rsidRPr="00DD1DFA">
        <w:rPr>
          <w:rStyle w:val="Odwoanieprzypisudolnego"/>
        </w:rPr>
        <w:footnoteRef/>
      </w:r>
      <w:r w:rsidRPr="00DD1DFA">
        <w:tab/>
        <w:t>Economisti Associati, Milieu &amp; CEPS (2016). Supporting study for the Fitness Check on the construction sector: EU internal market and energy efficiency legislation.</w:t>
      </w:r>
    </w:p>
  </w:footnote>
  <w:footnote w:id="24">
    <w:p w14:paraId="5A6F2007" w14:textId="5DCAAD82" w:rsidR="003C1B3E" w:rsidRPr="00DD1DFA" w:rsidRDefault="003C1B3E" w:rsidP="004E75DC">
      <w:pPr>
        <w:pStyle w:val="Tekstprzypisudolnego"/>
        <w:ind w:left="0" w:firstLine="0"/>
      </w:pPr>
      <w:r w:rsidRPr="00DD1DFA">
        <w:rPr>
          <w:rStyle w:val="Odwoanieprzypisudolnego"/>
        </w:rPr>
        <w:footnoteRef/>
      </w:r>
      <w:r w:rsidRPr="00DD1DFA">
        <w:tab/>
        <w:t>Ocena rozporządzenia (UE) nr 305/2011 ustanawiającego zharmonizowane warunki wprowadzania do obrotu wyrobów budowlanych i</w:t>
      </w:r>
      <w:r>
        <w:t> </w:t>
      </w:r>
      <w:r w:rsidRPr="00DD1DFA">
        <w:t>uchylającego dyrektywę Rady 89/106/EWG, SWD(2019) 1770.</w:t>
      </w:r>
    </w:p>
  </w:footnote>
  <w:footnote w:id="25">
    <w:p w14:paraId="742C8721" w14:textId="349364FA" w:rsidR="003C1B3E" w:rsidRPr="00DD1DFA" w:rsidRDefault="003C1B3E" w:rsidP="004E75DC">
      <w:pPr>
        <w:spacing w:before="0" w:after="0"/>
        <w:rPr>
          <w:sz w:val="20"/>
          <w:szCs w:val="20"/>
        </w:rPr>
      </w:pPr>
      <w:r w:rsidRPr="00DD1DFA">
        <w:rPr>
          <w:rStyle w:val="Odwoanieprzypisudolnego"/>
        </w:rPr>
        <w:footnoteRef/>
      </w:r>
      <w:r w:rsidRPr="00DD1DFA">
        <w:tab/>
      </w:r>
      <w:r w:rsidRPr="00DD1DFA">
        <w:rPr>
          <w:sz w:val="20"/>
          <w:szCs w:val="20"/>
        </w:rPr>
        <w:t>Copenhagen Economics (CE), Danish Technological Institute (DTI) and Office for Economic Policy and Regional Development Ltd. (EPRD) (2021). Supporting study for the impact assessment of the CPR Review, Annex VI: Results of the horizontal survey (Inception report) [Badanie uzupełniające ocenę skutków przeglądu rozporządzenia w</w:t>
      </w:r>
      <w:r>
        <w:rPr>
          <w:sz w:val="20"/>
          <w:szCs w:val="20"/>
        </w:rPr>
        <w:t> </w:t>
      </w:r>
      <w:r w:rsidRPr="00DD1DFA">
        <w:rPr>
          <w:sz w:val="20"/>
          <w:szCs w:val="20"/>
        </w:rPr>
        <w:t>sprawie wyrobów budowlanych, załącznik VI: Wyniki badania horyzontalnego (Sprawozdanie wstępne)]. Badanie przeprowadzono w</w:t>
      </w:r>
      <w:r>
        <w:rPr>
          <w:sz w:val="20"/>
          <w:szCs w:val="20"/>
        </w:rPr>
        <w:t> </w:t>
      </w:r>
      <w:r w:rsidRPr="00DD1DFA">
        <w:rPr>
          <w:sz w:val="20"/>
          <w:szCs w:val="20"/>
        </w:rPr>
        <w:t>okresie od 11 października 2019 r. do 31 października 2019 r.</w:t>
      </w:r>
    </w:p>
  </w:footnote>
  <w:footnote w:id="26">
    <w:p w14:paraId="6B48EDFA" w14:textId="77777777" w:rsidR="003C1B3E" w:rsidRPr="00DD1DFA" w:rsidRDefault="003C1B3E" w:rsidP="004E75DC">
      <w:pPr>
        <w:pStyle w:val="Tekstprzypisudolnego"/>
      </w:pPr>
      <w:r w:rsidRPr="00DD1DFA">
        <w:rPr>
          <w:rStyle w:val="Odwoanieprzypisudolnego"/>
        </w:rPr>
        <w:footnoteRef/>
      </w:r>
      <w:r w:rsidRPr="00DD1DFA">
        <w:tab/>
        <w:t>Refined indicative options paper (2020), https://ec.europa.eu/docsroom/documents/40762.</w:t>
      </w:r>
    </w:p>
  </w:footnote>
  <w:footnote w:id="27">
    <w:p w14:paraId="67DE8CB9" w14:textId="63BF255B" w:rsidR="003C1B3E" w:rsidRPr="00DD1DFA" w:rsidRDefault="003C1B3E" w:rsidP="004E75DC">
      <w:pPr>
        <w:spacing w:before="0" w:after="0"/>
        <w:rPr>
          <w:sz w:val="20"/>
          <w:szCs w:val="20"/>
        </w:rPr>
      </w:pPr>
      <w:r w:rsidRPr="00DD1DFA">
        <w:rPr>
          <w:rStyle w:val="Odwoanieprzypisudolnego"/>
        </w:rPr>
        <w:footnoteRef/>
      </w:r>
      <w:r w:rsidRPr="00DD1DFA">
        <w:tab/>
      </w:r>
      <w:r w:rsidRPr="00DD1DFA">
        <w:rPr>
          <w:sz w:val="20"/>
          <w:szCs w:val="20"/>
        </w:rPr>
        <w:t>Copenhagen Economics (CE), Danish Technological Institute (DTI) and Office for Economic Policy and Regional Development Ltd. (EPRD) (2021). Supporting study for the impact assessment of the CPR Review, Annex VII: Results of the Company Survey (Second Progress Report) [Badanie uzupełniające ocenę skutków przeglądu rozporządzenia w</w:t>
      </w:r>
      <w:r>
        <w:rPr>
          <w:sz w:val="20"/>
          <w:szCs w:val="20"/>
        </w:rPr>
        <w:t> </w:t>
      </w:r>
      <w:r w:rsidRPr="00DD1DFA">
        <w:rPr>
          <w:sz w:val="20"/>
          <w:szCs w:val="20"/>
        </w:rPr>
        <w:t>sprawie wyrobów budowlanych, załącznik VII: Wyniki badania przedsiębiorstw (drugie sprawozdanie z</w:t>
      </w:r>
      <w:r>
        <w:rPr>
          <w:sz w:val="20"/>
          <w:szCs w:val="20"/>
        </w:rPr>
        <w:t> </w:t>
      </w:r>
      <w:r w:rsidRPr="00DD1DFA">
        <w:rPr>
          <w:sz w:val="20"/>
          <w:szCs w:val="20"/>
        </w:rPr>
        <w:t>postępu prac)]. Badanie przeprowadzono od 10 sierpnia 2020 r. do 25 października 2020 r.</w:t>
      </w:r>
    </w:p>
  </w:footnote>
  <w:footnote w:id="28">
    <w:p w14:paraId="5FC98D9D" w14:textId="77FB5773" w:rsidR="003C1B3E" w:rsidRPr="00DD1DFA" w:rsidRDefault="003C1B3E" w:rsidP="004E75DC">
      <w:pPr>
        <w:spacing w:before="0" w:after="0"/>
        <w:rPr>
          <w:sz w:val="20"/>
          <w:szCs w:val="20"/>
        </w:rPr>
      </w:pPr>
      <w:r w:rsidRPr="00DD1DFA">
        <w:rPr>
          <w:rStyle w:val="Odwoanieprzypisudolnego"/>
        </w:rPr>
        <w:footnoteRef/>
      </w:r>
      <w:r w:rsidRPr="00DD1DFA">
        <w:tab/>
      </w:r>
      <w:r w:rsidRPr="00DD1DFA">
        <w:rPr>
          <w:sz w:val="20"/>
          <w:szCs w:val="20"/>
        </w:rPr>
        <w:t>Copenhagen Economics (CE), Danish Technological Institute (DTI) and Office for Economic Policy and Regional Development Ltd. (EPRD) (2021). Supporting study for the impact assessment of the CPR Review, Annex VIII: Results of the open public consultation survey (First Findings Report) [Badanie uzupełniające ocenę skutków przeglądu rozporządzenia w</w:t>
      </w:r>
      <w:r>
        <w:rPr>
          <w:sz w:val="20"/>
          <w:szCs w:val="20"/>
        </w:rPr>
        <w:t> </w:t>
      </w:r>
      <w:r w:rsidRPr="00DD1DFA">
        <w:rPr>
          <w:sz w:val="20"/>
          <w:szCs w:val="20"/>
        </w:rPr>
        <w:t>sprawie wyrobów budowlanych, załącznik VIII: Wyniki badania w</w:t>
      </w:r>
      <w:r>
        <w:rPr>
          <w:sz w:val="20"/>
          <w:szCs w:val="20"/>
        </w:rPr>
        <w:t> </w:t>
      </w:r>
      <w:r w:rsidRPr="00DD1DFA">
        <w:rPr>
          <w:sz w:val="20"/>
          <w:szCs w:val="20"/>
        </w:rPr>
        <w:t>ramach otwartych konsultacji publicznych (sprawozdanie z</w:t>
      </w:r>
      <w:r>
        <w:rPr>
          <w:sz w:val="20"/>
          <w:szCs w:val="20"/>
        </w:rPr>
        <w:t> </w:t>
      </w:r>
      <w:r w:rsidRPr="00DD1DFA">
        <w:rPr>
          <w:sz w:val="20"/>
          <w:szCs w:val="20"/>
        </w:rPr>
        <w:t>pierwszych ustaleń)]. Badanie przeprowadzono od 4 września 2020 r. do 25 grudnia 2020 r.</w:t>
      </w:r>
    </w:p>
  </w:footnote>
  <w:footnote w:id="29">
    <w:p w14:paraId="524ABC44" w14:textId="77777777" w:rsidR="003C1B3E" w:rsidRPr="00DD1DFA" w:rsidRDefault="003C1B3E" w:rsidP="004E75DC">
      <w:pPr>
        <w:spacing w:before="0" w:after="0"/>
        <w:rPr>
          <w:sz w:val="20"/>
          <w:szCs w:val="20"/>
        </w:rPr>
      </w:pPr>
      <w:r w:rsidRPr="00DD1DFA">
        <w:rPr>
          <w:rStyle w:val="Odwoanieprzypisudolnego"/>
        </w:rPr>
        <w:footnoteRef/>
      </w:r>
      <w:r w:rsidRPr="00DD1DFA">
        <w:tab/>
      </w:r>
      <w:r w:rsidRPr="00DD1DFA">
        <w:rPr>
          <w:sz w:val="20"/>
          <w:szCs w:val="20"/>
        </w:rPr>
        <w:t>Copenhagen Economics (CE), Danish Technological Institute (DTI) and Office for Economic Policy and Regional Development Ltd. (EPRD) (2021), s. 68.</w:t>
      </w:r>
    </w:p>
  </w:footnote>
  <w:footnote w:id="30">
    <w:p w14:paraId="18255CB0" w14:textId="0185F3F0" w:rsidR="003C1B3E" w:rsidRPr="00DD1DFA" w:rsidRDefault="003C1B3E" w:rsidP="004E75DC">
      <w:pPr>
        <w:pStyle w:val="Tekstprzypisudolnego"/>
        <w:ind w:left="0" w:firstLine="0"/>
      </w:pPr>
      <w:r w:rsidRPr="00DD1DFA">
        <w:rPr>
          <w:rStyle w:val="Odwoanieprzypisudolnego"/>
        </w:rPr>
        <w:footnoteRef/>
      </w:r>
      <w:r w:rsidRPr="00DD1DFA">
        <w:tab/>
        <w:t>„Supporting study for the Impact Assessment for the CPR review” [„Badanie uzupełniające ocenę skutków przeglądu rozporządzenia w</w:t>
      </w:r>
      <w:r>
        <w:t> </w:t>
      </w:r>
      <w:r w:rsidRPr="00DD1DFA">
        <w:t>sprawie wyrobów budowlanych], umowa nr 575/PP/2016/FC, prowadzone przez Civic Consulting GmbH.</w:t>
      </w:r>
    </w:p>
  </w:footnote>
  <w:footnote w:id="31">
    <w:p w14:paraId="6C619990" w14:textId="7BCE3290" w:rsidR="003C1B3E" w:rsidRPr="00DD1DFA" w:rsidRDefault="003C1B3E" w:rsidP="004E75DC">
      <w:pPr>
        <w:pStyle w:val="Tekstprzypisudolnego"/>
      </w:pPr>
      <w:r w:rsidRPr="00DD1DFA">
        <w:rPr>
          <w:rStyle w:val="Odwoanieprzypisudolnego"/>
        </w:rPr>
        <w:footnoteRef/>
      </w:r>
      <w:r w:rsidRPr="00DD1DFA">
        <w:tab/>
        <w:t>Więcej informacji można znaleźć w</w:t>
      </w:r>
      <w:r>
        <w:t> </w:t>
      </w:r>
      <w:r w:rsidRPr="00DD1DFA">
        <w:t>szczegółowym objaśnieniu przepisów szczegółowych wniosku.</w:t>
      </w:r>
    </w:p>
  </w:footnote>
  <w:footnote w:id="32">
    <w:p w14:paraId="774D0A0B" w14:textId="77777777" w:rsidR="003C1B3E" w:rsidRPr="00DD1DFA" w:rsidRDefault="003C1B3E" w:rsidP="004E75DC">
      <w:pPr>
        <w:pStyle w:val="Tekstprzypisudolnego"/>
      </w:pPr>
      <w:r w:rsidRPr="00DD1DFA">
        <w:rPr>
          <w:rStyle w:val="Odwoanieprzypisudolnego"/>
        </w:rPr>
        <w:footnoteRef/>
      </w:r>
      <w:r w:rsidRPr="00DD1DFA">
        <w:tab/>
        <w:t>Zob. załącznik do oceny skutków finansowych regulacji.</w:t>
      </w:r>
    </w:p>
  </w:footnote>
  <w:footnote w:id="33">
    <w:p w14:paraId="61873504" w14:textId="455E4754" w:rsidR="003C1B3E" w:rsidRPr="00DD1DFA" w:rsidRDefault="003C1B3E" w:rsidP="004E75DC">
      <w:pPr>
        <w:pStyle w:val="Tekstprzypisudolnego"/>
        <w:ind w:left="0" w:firstLine="0"/>
      </w:pPr>
      <w:r w:rsidRPr="00DD1DFA">
        <w:rPr>
          <w:rStyle w:val="Odwoanieprzypisudolnego"/>
        </w:rPr>
        <w:footnoteRef/>
      </w:r>
      <w:r w:rsidRPr="00DD1DFA">
        <w:tab/>
        <w:t>Dyrektywa Parlamentu Europejskiego i</w:t>
      </w:r>
      <w:r>
        <w:t> </w:t>
      </w:r>
      <w:r w:rsidRPr="00DD1DFA">
        <w:t>Rady (UE) 2020/2184 z</w:t>
      </w:r>
      <w:r>
        <w:t> </w:t>
      </w:r>
      <w:r w:rsidRPr="00DD1DFA">
        <w:t>dnia 16 grudnia 2020 r. w</w:t>
      </w:r>
      <w:r>
        <w:t> </w:t>
      </w:r>
      <w:r w:rsidRPr="00DD1DFA">
        <w:t>sprawie jakości wody przeznaczonej do spożycia przez ludzi, EUR-Lex - 32020L2184 - PL - EUR-Lex (europa.eu).</w:t>
      </w:r>
    </w:p>
  </w:footnote>
  <w:footnote w:id="34">
    <w:p w14:paraId="1B09BF62" w14:textId="5B7D3196" w:rsidR="003C1B3E" w:rsidRPr="00DD1DFA" w:rsidRDefault="003C1B3E" w:rsidP="004E75DC">
      <w:pPr>
        <w:pStyle w:val="Tekstprzypisudolnego"/>
        <w:ind w:left="0" w:firstLine="0"/>
      </w:pPr>
      <w:r w:rsidRPr="00DD1DFA">
        <w:rPr>
          <w:rStyle w:val="Odwoanieprzypisudolnego"/>
        </w:rPr>
        <w:footnoteRef/>
      </w:r>
      <w:r w:rsidRPr="00DD1DFA">
        <w:tab/>
        <w:t>Dyrektywa Rady 91/271/EWG z</w:t>
      </w:r>
      <w:r>
        <w:t> </w:t>
      </w:r>
      <w:r w:rsidRPr="00DD1DFA">
        <w:t>dnia 21 maja 1991 r. dotycząca oczyszczania ścieków komunalnych, EUR-Lex - 31991L0271 - PL - EUR-Lex (europa.eu).</w:t>
      </w:r>
    </w:p>
  </w:footnote>
  <w:footnote w:id="35">
    <w:p w14:paraId="5FFFDFC7" w14:textId="0E491105" w:rsidR="003C1B3E" w:rsidRPr="00DD1DFA" w:rsidRDefault="003C1B3E">
      <w:pPr>
        <w:pStyle w:val="Tekstprzypisudolnego"/>
      </w:pPr>
      <w:r w:rsidRPr="00DD1DFA">
        <w:rPr>
          <w:rStyle w:val="Odwoanieprzypisudolnego"/>
        </w:rPr>
        <w:footnoteRef/>
      </w:r>
      <w:r w:rsidRPr="00DD1DFA">
        <w:tab/>
        <w:t>Rezolucja Parlamentu Europejskiego z</w:t>
      </w:r>
      <w:r>
        <w:t> </w:t>
      </w:r>
      <w:r w:rsidRPr="00DD1DFA">
        <w:t>dnia 10 marca 2021 r. w</w:t>
      </w:r>
      <w:r>
        <w:t> </w:t>
      </w:r>
      <w:r w:rsidRPr="00DD1DFA">
        <w:t>sprawie wdrożenia rozporządzenia (UE) nr 305/2011 ustanawiającego zharmonizowane warunki wprowadzania do obrotu wyrobów budowlanych (rozporządzenie w</w:t>
      </w:r>
      <w:r>
        <w:t> </w:t>
      </w:r>
      <w:r w:rsidRPr="00DD1DFA">
        <w:t>sprawie wyrobów budowlanych) (2020/2028(INI)).</w:t>
      </w:r>
    </w:p>
  </w:footnote>
  <w:footnote w:id="36">
    <w:p w14:paraId="7638B293" w14:textId="372AA6FB" w:rsidR="003C1B3E" w:rsidRPr="00DD1DFA" w:rsidRDefault="003C1B3E">
      <w:pPr>
        <w:pStyle w:val="Tekstprzypisudolnego"/>
      </w:pPr>
      <w:r w:rsidRPr="00DD1DFA">
        <w:rPr>
          <w:rStyle w:val="Odwoanieprzypisudolnego"/>
        </w:rPr>
        <w:footnoteRef/>
      </w:r>
      <w:r w:rsidRPr="00DD1DFA">
        <w:tab/>
        <w:t>Gospodarka o</w:t>
      </w:r>
      <w:r>
        <w:t> </w:t>
      </w:r>
      <w:r w:rsidRPr="00DD1DFA">
        <w:t>obiegu zamkniętym w</w:t>
      </w:r>
      <w:r>
        <w:t> </w:t>
      </w:r>
      <w:r w:rsidRPr="00DD1DFA">
        <w:t>sektorze budowlanym – konkluzje Rady przyjęte 28 listopada 2019 r., 14653/19.</w:t>
      </w:r>
    </w:p>
  </w:footnote>
  <w:footnote w:id="37">
    <w:p w14:paraId="7827B712" w14:textId="5FCEDF5C" w:rsidR="003C1B3E" w:rsidRPr="00DD1DFA" w:rsidRDefault="003C1B3E">
      <w:pPr>
        <w:pStyle w:val="Tekstprzypisudolnego"/>
      </w:pPr>
      <w:r w:rsidRPr="00DD1DFA">
        <w:rPr>
          <w:rStyle w:val="Odwoanieprzypisudolnego"/>
        </w:rPr>
        <w:footnoteRef/>
      </w:r>
      <w:r w:rsidRPr="00DD1DFA">
        <w:tab/>
        <w:t>Komunikat Komisji do Parlamentu Europejskiego, Rady Europejskiej, Rady, Europejskiego Komitetu Ekonomiczno-Społecznego i</w:t>
      </w:r>
      <w:r>
        <w:t> </w:t>
      </w:r>
      <w:r w:rsidRPr="00DD1DFA">
        <w:t>Komitetu Regionów – Nowa strategia przemysłowa dla Europy, COM(2020) 102 final.</w:t>
      </w:r>
    </w:p>
  </w:footnote>
  <w:footnote w:id="38">
    <w:p w14:paraId="26A72F8B" w14:textId="484DBDB8" w:rsidR="003C1B3E" w:rsidRPr="00DD1DFA" w:rsidRDefault="003C1B3E">
      <w:pPr>
        <w:pStyle w:val="Tekstprzypisudolnego"/>
      </w:pPr>
      <w:r w:rsidRPr="00DD1DFA">
        <w:rPr>
          <w:rStyle w:val="Odwoanieprzypisudolnego"/>
        </w:rPr>
        <w:footnoteRef/>
      </w:r>
      <w:r w:rsidRPr="00DD1DFA">
        <w:tab/>
        <w:t>Komunikat Komisji do Parlamentu Europejskiego, Rady Europejskiej, Rady, Europejskiego Komitetu Ekonomiczno-Społecznego i</w:t>
      </w:r>
      <w:r>
        <w:t> </w:t>
      </w:r>
      <w:r w:rsidRPr="00DD1DFA">
        <w:t>Komitetu Regionów „Aktualizacja nowej strategii przemysłowej z</w:t>
      </w:r>
      <w:r>
        <w:t> </w:t>
      </w:r>
      <w:r w:rsidRPr="00DD1DFA">
        <w:t>2020 r.: tworzenie silniejszego jednolitego rynku sprzyjającego odbudowie Europy”, COM(2021) 350 final.</w:t>
      </w:r>
    </w:p>
  </w:footnote>
  <w:footnote w:id="39">
    <w:p w14:paraId="76D7A0AA" w14:textId="4576E530" w:rsidR="003C1B3E" w:rsidRPr="00DD1DFA" w:rsidRDefault="003C1B3E">
      <w:pPr>
        <w:pStyle w:val="Tekstprzypisudolnego"/>
      </w:pPr>
      <w:r w:rsidRPr="00DD1DFA">
        <w:rPr>
          <w:rStyle w:val="Odwoanieprzypisudolnego"/>
        </w:rPr>
        <w:footnoteRef/>
      </w:r>
      <w:r w:rsidRPr="00DD1DFA">
        <w:tab/>
        <w:t>Komunikat Komisji do Parlamentu Europejskiego, Europejskiego Komitetu Ekonomiczno-Społecznego i</w:t>
      </w:r>
      <w:r>
        <w:t> </w:t>
      </w:r>
      <w:r w:rsidRPr="00DD1DFA">
        <w:t>Komitetu Regionów z</w:t>
      </w:r>
      <w:r>
        <w:t> </w:t>
      </w:r>
      <w:r w:rsidRPr="00DD1DFA">
        <w:t>dnia 2 lutego 2022 r. „Strategia UE w</w:t>
      </w:r>
      <w:r>
        <w:t> </w:t>
      </w:r>
      <w:r w:rsidRPr="00DD1DFA">
        <w:t>zakresie normalizacji. Ustanowienie światowych norm na rzecz odpornego, ekologicznego i</w:t>
      </w:r>
      <w:r>
        <w:t> </w:t>
      </w:r>
      <w:r w:rsidRPr="00DD1DFA">
        <w:t>cyfrowego jednolitego rynku UE”, COM(2022) 31 final.</w:t>
      </w:r>
    </w:p>
  </w:footnote>
  <w:footnote w:id="40">
    <w:p w14:paraId="493B8A4D" w14:textId="132384B5" w:rsidR="003C1B3E" w:rsidRPr="00DD1DFA" w:rsidRDefault="003C1B3E">
      <w:pPr>
        <w:pStyle w:val="Tekstprzypisudolnego"/>
      </w:pPr>
      <w:r w:rsidRPr="00DD1DFA">
        <w:rPr>
          <w:rStyle w:val="Odwoanieprzypisudolnego"/>
        </w:rPr>
        <w:footnoteRef/>
      </w:r>
      <w:r w:rsidRPr="00DD1DFA">
        <w:tab/>
        <w:t>Wniosek dotyczący zalecenia Rady w</w:t>
      </w:r>
      <w:r>
        <w:t> </w:t>
      </w:r>
      <w:r w:rsidRPr="00DD1DFA">
        <w:t>sprawie zapewnienia sprawiedliwej transformacji w</w:t>
      </w:r>
      <w:r>
        <w:t> </w:t>
      </w:r>
      <w:r w:rsidRPr="00DD1DFA">
        <w:t xml:space="preserve">kierunku neutralności klimatycznej, COM(2021) 801final 2021/0421 (NLE) </w:t>
      </w:r>
    </w:p>
  </w:footnote>
  <w:footnote w:id="41">
    <w:p w14:paraId="4CF120F9" w14:textId="17581211" w:rsidR="003C1B3E" w:rsidRPr="00DD1DFA" w:rsidRDefault="003C1B3E">
      <w:pPr>
        <w:pStyle w:val="Tekstprzypisudolnego"/>
      </w:pPr>
      <w:r w:rsidRPr="00DD1DFA">
        <w:rPr>
          <w:rStyle w:val="Odwoanieprzypisudolnego"/>
        </w:rPr>
        <w:footnoteRef/>
      </w:r>
      <w:r w:rsidRPr="00DD1DFA">
        <w:tab/>
        <w:t>Dz.U. L 123 z</w:t>
      </w:r>
      <w:r>
        <w:t> </w:t>
      </w:r>
      <w:r w:rsidRPr="00DD1DFA">
        <w:t>12.5.2016, s. 1.</w:t>
      </w:r>
    </w:p>
  </w:footnote>
  <w:footnote w:id="42">
    <w:p w14:paraId="0EA98D02" w14:textId="23089B40" w:rsidR="003C1B3E" w:rsidRPr="00DD1DFA" w:rsidRDefault="003C1B3E" w:rsidP="00A77165">
      <w:pPr>
        <w:pStyle w:val="Tekstprzypisudolnego"/>
      </w:pPr>
      <w:r w:rsidRPr="00DD1DFA">
        <w:rPr>
          <w:rStyle w:val="Odwoanieprzypisudolnego"/>
        </w:rPr>
        <w:footnoteRef/>
      </w:r>
      <w:r w:rsidRPr="00DD1DFA">
        <w:tab/>
        <w:t>Rozporządzenie Parlamentu Europejskiego i</w:t>
      </w:r>
      <w:r>
        <w:t> </w:t>
      </w:r>
      <w:r w:rsidRPr="00DD1DFA">
        <w:t>Rady (UE) nr 182/2011 z</w:t>
      </w:r>
      <w:r>
        <w:t> </w:t>
      </w:r>
      <w:r w:rsidRPr="00DD1DFA">
        <w:t>dnia 16 lutego 2011 r. ustanawiające przepisy i</w:t>
      </w:r>
      <w:r>
        <w:t> </w:t>
      </w:r>
      <w:r w:rsidRPr="00DD1DFA">
        <w:t>zasady ogólne dotyczące trybu kontroli przez państwa członkowskie wykonywania uprawnień wykonawczych przez Komisję (Dz.U. L 55 z</w:t>
      </w:r>
      <w:r>
        <w:t> </w:t>
      </w:r>
      <w:r w:rsidRPr="00DD1DFA">
        <w:t>28.2.2011, s. 13).</w:t>
      </w:r>
    </w:p>
  </w:footnote>
  <w:footnote w:id="43">
    <w:p w14:paraId="0C357F39" w14:textId="014048C0" w:rsidR="003C1B3E" w:rsidRPr="00DD1DFA" w:rsidRDefault="003C1B3E" w:rsidP="00F03E8C">
      <w:pPr>
        <w:pStyle w:val="Tekstprzypisudolnego"/>
      </w:pPr>
      <w:r w:rsidRPr="00DD1DFA">
        <w:rPr>
          <w:rStyle w:val="Odwoanieprzypisudolnego"/>
        </w:rPr>
        <w:footnoteRef/>
      </w:r>
      <w:r w:rsidRPr="00DD1DFA">
        <w:tab/>
        <w:t>Dyrektywa Parlamentu Europejskiego i</w:t>
      </w:r>
      <w:r>
        <w:t> </w:t>
      </w:r>
      <w:r w:rsidRPr="00DD1DFA">
        <w:t>Rady 2014/33/UE z</w:t>
      </w:r>
      <w:r>
        <w:t> </w:t>
      </w:r>
      <w:r w:rsidRPr="00DD1DFA">
        <w:t>dnia 26 lutego 2014 r. w</w:t>
      </w:r>
      <w:r>
        <w:t> </w:t>
      </w:r>
      <w:r w:rsidRPr="00DD1DFA">
        <w:t>sprawie harmonizacji ustawodawstw państw członkowskich dotyczących dźwigów i</w:t>
      </w:r>
      <w:r>
        <w:t> </w:t>
      </w:r>
      <w:r w:rsidRPr="00DD1DFA">
        <w:t>elementów bezpieczeństwa do dźwigów (Dz.U. L 96 z</w:t>
      </w:r>
      <w:r>
        <w:t> </w:t>
      </w:r>
      <w:r w:rsidRPr="00DD1DFA">
        <w:t>29.3.2014, s. 251).</w:t>
      </w:r>
    </w:p>
  </w:footnote>
  <w:footnote w:id="44">
    <w:p w14:paraId="7B5E599D" w14:textId="57A168E2" w:rsidR="003C1B3E" w:rsidRPr="00DD1DFA" w:rsidRDefault="003C1B3E" w:rsidP="00045DDF">
      <w:pPr>
        <w:pStyle w:val="Tekstprzypisudolnego"/>
      </w:pPr>
      <w:r w:rsidRPr="00DD1DFA">
        <w:rPr>
          <w:rStyle w:val="Odwoanieprzypisudolnego"/>
        </w:rPr>
        <w:footnoteRef/>
      </w:r>
      <w:r w:rsidRPr="00DD1DFA">
        <w:tab/>
        <w:t>Rozporządzenie Parlamentu Europejskiego i</w:t>
      </w:r>
      <w:r>
        <w:t> </w:t>
      </w:r>
      <w:r w:rsidRPr="00DD1DFA">
        <w:t>Rady (UE) 2019/1020 z</w:t>
      </w:r>
      <w:r>
        <w:t> </w:t>
      </w:r>
      <w:r w:rsidRPr="00DD1DFA">
        <w:t>dnia 20 czerwca 2019 r. w</w:t>
      </w:r>
      <w:r>
        <w:t> </w:t>
      </w:r>
      <w:r w:rsidRPr="00DD1DFA">
        <w:t>sprawie nadzoru rynku i</w:t>
      </w:r>
      <w:r>
        <w:t> </w:t>
      </w:r>
      <w:r w:rsidRPr="00DD1DFA">
        <w:t>zgodności produktów oraz zmieniające dyrektywę 2004/42/WE oraz rozporządzenia (WE) nr 765/2008 i (UE) nr 305/2011 (Dz.U. L 169 z</w:t>
      </w:r>
      <w:r>
        <w:t> </w:t>
      </w:r>
      <w:r w:rsidRPr="00DD1DFA">
        <w:t>25.6.2019, s. 1).</w:t>
      </w:r>
    </w:p>
  </w:footnote>
  <w:footnote w:id="45">
    <w:p w14:paraId="6DA0C6CE" w14:textId="572A778C" w:rsidR="003C1B3E" w:rsidRPr="00DD1DFA" w:rsidRDefault="003C1B3E" w:rsidP="00B34802">
      <w:pPr>
        <w:pStyle w:val="Tekstprzypisudolnego"/>
        <w:ind w:left="567" w:hanging="567"/>
      </w:pPr>
      <w:r w:rsidRPr="00DD1DFA">
        <w:rPr>
          <w:rStyle w:val="Odwoanieprzypisudolnego"/>
        </w:rPr>
        <w:footnoteRef/>
      </w:r>
      <w:r w:rsidRPr="00DD1DFA">
        <w:tab/>
        <w:t>Rozporządzenie (WE) nr 1907/2006 Parlamentu Europejskiego i</w:t>
      </w:r>
      <w:r>
        <w:t> </w:t>
      </w:r>
      <w:r w:rsidRPr="00DD1DFA">
        <w:t>Rady z</w:t>
      </w:r>
      <w:r>
        <w:t> </w:t>
      </w:r>
      <w:r w:rsidRPr="00DD1DFA">
        <w:t>dnia 18 grudnia 2006 r. w</w:t>
      </w:r>
      <w:r>
        <w:t> </w:t>
      </w:r>
      <w:r w:rsidRPr="00DD1DFA">
        <w:t>sprawie rejestracji, oceny, udzielania zezwoleń i</w:t>
      </w:r>
      <w:r>
        <w:t> </w:t>
      </w:r>
      <w:r w:rsidRPr="00DD1DFA">
        <w:t>stosowanych ograniczeń w</w:t>
      </w:r>
      <w:r>
        <w:t> </w:t>
      </w:r>
      <w:r w:rsidRPr="00DD1DFA">
        <w:t>zakresie chemikaliów (REACH) i</w:t>
      </w:r>
      <w:r>
        <w:t> </w:t>
      </w:r>
      <w:r w:rsidRPr="00DD1DFA">
        <w:t>utworzenia Europejskiej Agencji Chemikaliów, zmieniające dyrektywę 1999/45/WE oraz uchylające rozporządzenie Rady (EWG) nr 793/93 i</w:t>
      </w:r>
      <w:r>
        <w:t> </w:t>
      </w:r>
      <w:r w:rsidRPr="00DD1DFA">
        <w:t>rozporządzenie Komisji (WE) nr 1488/94, jak również dyrektywę Rady 76/769/EWG i</w:t>
      </w:r>
      <w:r>
        <w:t> </w:t>
      </w:r>
      <w:r w:rsidRPr="00DD1DFA">
        <w:t>dyrektywy Komisji 91/155/EWG, 93/67/EWG, 93/105/WE i</w:t>
      </w:r>
      <w:r>
        <w:t> </w:t>
      </w:r>
      <w:r w:rsidRPr="00DD1DFA">
        <w:t>2000/21/WE (Dz.U. L 396 z</w:t>
      </w:r>
      <w:r>
        <w:t> </w:t>
      </w:r>
      <w:r w:rsidRPr="00DD1DFA">
        <w:t>30.12.2006, s. 1).</w:t>
      </w:r>
    </w:p>
  </w:footnote>
  <w:footnote w:id="46">
    <w:p w14:paraId="4BF7C6E5" w14:textId="71D72662" w:rsidR="003C1B3E" w:rsidRPr="00DD1DFA" w:rsidRDefault="003C1B3E" w:rsidP="00A92DE2">
      <w:r w:rsidRPr="00DD1DFA">
        <w:rPr>
          <w:rStyle w:val="Odwoanieprzypisudolnego"/>
        </w:rPr>
        <w:footnoteRef/>
      </w:r>
      <w:r w:rsidRPr="00DD1DFA">
        <w:tab/>
        <w:t>Rozporządzenie delegowane Komisji (UE) nr 157/2014 z</w:t>
      </w:r>
      <w:r>
        <w:t> </w:t>
      </w:r>
      <w:r w:rsidRPr="00DD1DFA">
        <w:t>dnia 30 października 2013 r. w</w:t>
      </w:r>
      <w:r>
        <w:t> </w:t>
      </w:r>
      <w:r w:rsidRPr="00DD1DFA">
        <w:t>sprawie warunków udostępniania deklaracji właściwości użytkowych wyrobów budowlanych na stronie internetowej; Dz.U. L 52 z</w:t>
      </w:r>
      <w:r>
        <w:t> </w:t>
      </w:r>
      <w:r w:rsidRPr="00DD1DFA">
        <w:t>21.2.2014, s. 1.</w:t>
      </w:r>
    </w:p>
  </w:footnote>
  <w:footnote w:id="47">
    <w:p w14:paraId="7B9614FB" w14:textId="31654E49" w:rsidR="003C1B3E" w:rsidRPr="00DD1DFA" w:rsidRDefault="003C1B3E" w:rsidP="004314B3">
      <w:pPr>
        <w:pStyle w:val="NormalnyWeb"/>
        <w:shd w:val="clear" w:color="auto" w:fill="FFFFFF" w:themeFill="background1"/>
        <w:spacing w:before="0" w:after="75"/>
        <w:rPr>
          <w:color w:val="444444"/>
          <w:sz w:val="21"/>
          <w:szCs w:val="21"/>
        </w:rPr>
      </w:pPr>
      <w:r w:rsidRPr="00DD1DFA">
        <w:rPr>
          <w:rStyle w:val="Odwoanieprzypisudolnego"/>
        </w:rPr>
        <w:footnoteRef/>
      </w:r>
      <w:r w:rsidRPr="00DD1DFA">
        <w:tab/>
      </w:r>
      <w:r w:rsidRPr="00DD1DFA">
        <w:rPr>
          <w:color w:val="auto"/>
          <w:sz w:val="20"/>
          <w:szCs w:val="20"/>
        </w:rPr>
        <w:t>Przyszłe rozporządzenia Parlamentu Europejskiego i</w:t>
      </w:r>
      <w:r>
        <w:rPr>
          <w:color w:val="auto"/>
          <w:sz w:val="20"/>
          <w:szCs w:val="20"/>
        </w:rPr>
        <w:t> </w:t>
      </w:r>
      <w:r w:rsidRPr="00DD1DFA">
        <w:rPr>
          <w:color w:val="auto"/>
          <w:sz w:val="20"/>
          <w:szCs w:val="20"/>
        </w:rPr>
        <w:t>Rady w</w:t>
      </w:r>
      <w:r>
        <w:rPr>
          <w:color w:val="auto"/>
          <w:sz w:val="20"/>
          <w:szCs w:val="20"/>
        </w:rPr>
        <w:t> </w:t>
      </w:r>
      <w:r w:rsidRPr="00DD1DFA">
        <w:rPr>
          <w:color w:val="auto"/>
          <w:sz w:val="20"/>
          <w:szCs w:val="20"/>
        </w:rPr>
        <w:t>sprawie rynków kryptoaktywów i</w:t>
      </w:r>
      <w:r>
        <w:rPr>
          <w:color w:val="auto"/>
          <w:sz w:val="20"/>
          <w:szCs w:val="20"/>
        </w:rPr>
        <w:t> </w:t>
      </w:r>
      <w:r w:rsidRPr="00DD1DFA">
        <w:rPr>
          <w:color w:val="auto"/>
          <w:sz w:val="20"/>
          <w:szCs w:val="20"/>
        </w:rPr>
        <w:t>zmieniającego dyrektywę (UE) 2019/1937, zob. COM(2020) 593 final.</w:t>
      </w:r>
    </w:p>
    <w:p w14:paraId="47AFE090" w14:textId="77777777" w:rsidR="003C1B3E" w:rsidRPr="00DD1DFA" w:rsidRDefault="003C1B3E" w:rsidP="004314B3">
      <w:pPr>
        <w:pStyle w:val="Tekstprzypisudolnego"/>
      </w:pPr>
    </w:p>
  </w:footnote>
  <w:footnote w:id="48">
    <w:p w14:paraId="4146C60F" w14:textId="5A58324B" w:rsidR="003C1B3E" w:rsidRPr="00DD1DFA" w:rsidRDefault="003C1B3E" w:rsidP="001D2830">
      <w:pPr>
        <w:pStyle w:val="Tekstprzypisudolnego"/>
      </w:pPr>
      <w:r w:rsidRPr="00DD1DFA">
        <w:rPr>
          <w:rStyle w:val="Odwoanieprzypisudolnego"/>
        </w:rPr>
        <w:footnoteRef/>
      </w:r>
      <w:r w:rsidRPr="00DD1DFA">
        <w:tab/>
        <w:t>Rozporządzenie Parlamentu Europejskiego i</w:t>
      </w:r>
      <w:r>
        <w:t> </w:t>
      </w:r>
      <w:r w:rsidRPr="00DD1DFA">
        <w:t>Rady (UE) 2016/679 z</w:t>
      </w:r>
      <w:r>
        <w:t> </w:t>
      </w:r>
      <w:r w:rsidRPr="00DD1DFA">
        <w:t>dnia 27 kwietnia 2016 r. w</w:t>
      </w:r>
      <w:r>
        <w:t> </w:t>
      </w:r>
      <w:r w:rsidRPr="00DD1DFA">
        <w:t>sprawie ochrony osób fizycznych w</w:t>
      </w:r>
      <w:r>
        <w:t> </w:t>
      </w:r>
      <w:r w:rsidRPr="00DD1DFA">
        <w:t>związku z</w:t>
      </w:r>
      <w:r>
        <w:t> </w:t>
      </w:r>
      <w:r w:rsidRPr="00DD1DFA">
        <w:t>przetwarzaniem danych osobowych i</w:t>
      </w:r>
      <w:r>
        <w:t> </w:t>
      </w:r>
      <w:r w:rsidRPr="00DD1DFA">
        <w:t>w</w:t>
      </w:r>
      <w:r>
        <w:t> </w:t>
      </w:r>
      <w:r w:rsidRPr="00DD1DFA">
        <w:t>sprawie swobodnego przepływu takich danych oraz uchylenia dyrektywy 95/46/WE (ogólne rozporządzenie o</w:t>
      </w:r>
      <w:r>
        <w:t> </w:t>
      </w:r>
      <w:r w:rsidRPr="00DD1DFA">
        <w:t>ochronie danych) (Dz.U. L 119 z</w:t>
      </w:r>
      <w:r>
        <w:t> </w:t>
      </w:r>
      <w:r w:rsidRPr="00DD1DFA">
        <w:t>4.5.2016, s. 1).</w:t>
      </w:r>
    </w:p>
  </w:footnote>
  <w:footnote w:id="49">
    <w:p w14:paraId="53290DCE" w14:textId="596A2FDE" w:rsidR="003C1B3E" w:rsidRPr="00DD1DFA" w:rsidRDefault="003C1B3E" w:rsidP="001D2830">
      <w:pPr>
        <w:pStyle w:val="Tekstprzypisudolnego"/>
        <w:ind w:left="0" w:firstLine="0"/>
      </w:pPr>
      <w:r w:rsidRPr="00DD1DFA">
        <w:rPr>
          <w:rStyle w:val="Odwoanieprzypisudolnego"/>
        </w:rPr>
        <w:footnoteRef/>
      </w:r>
      <w:r w:rsidRPr="00DD1DFA">
        <w:tab/>
        <w:t>Rozporządzenie Parlamentu Europejskiego i</w:t>
      </w:r>
      <w:r>
        <w:t> </w:t>
      </w:r>
      <w:r w:rsidRPr="00DD1DFA">
        <w:t>Rady (UE) 2018/1724 z</w:t>
      </w:r>
      <w:r>
        <w:t> </w:t>
      </w:r>
      <w:r w:rsidRPr="00DD1DFA">
        <w:t>dnia 2 października 2018 r. w</w:t>
      </w:r>
      <w:r>
        <w:t> </w:t>
      </w:r>
      <w:r w:rsidRPr="00DD1DFA">
        <w:t>sprawie utworzenia jednolitego portalu cyfrowego w</w:t>
      </w:r>
      <w:r>
        <w:t> </w:t>
      </w:r>
      <w:r w:rsidRPr="00DD1DFA">
        <w:t>celu zapewnienia dostępu do informacji, procedur oraz usług wsparcia i</w:t>
      </w:r>
      <w:r>
        <w:t> </w:t>
      </w:r>
      <w:r w:rsidRPr="00DD1DFA">
        <w:t>rozwiązywania problemów, a</w:t>
      </w:r>
      <w:r>
        <w:t> </w:t>
      </w:r>
      <w:r w:rsidRPr="00DD1DFA">
        <w:t xml:space="preserve">także zmieniające rozporządzenie (UE) nr 1024/2012; </w:t>
      </w:r>
      <w:r w:rsidRPr="00DD1DFA">
        <w:rPr>
          <w:i/>
          <w:iCs/>
        </w:rPr>
        <w:t>Dz.U. L 295 z</w:t>
      </w:r>
      <w:r>
        <w:rPr>
          <w:i/>
          <w:iCs/>
        </w:rPr>
        <w:t> </w:t>
      </w:r>
      <w:r w:rsidRPr="00DD1DFA">
        <w:rPr>
          <w:i/>
          <w:iCs/>
        </w:rPr>
        <w:t>21.11.2018, s. 1.</w:t>
      </w:r>
    </w:p>
  </w:footnote>
  <w:footnote w:id="50">
    <w:p w14:paraId="6903884D" w14:textId="7886D257" w:rsidR="003C1B3E" w:rsidRPr="00DD1DFA" w:rsidRDefault="003C1B3E" w:rsidP="001D2830">
      <w:pPr>
        <w:pStyle w:val="Tekstprzypisudolnego"/>
        <w:ind w:left="0" w:firstLine="0"/>
      </w:pPr>
      <w:r w:rsidRPr="00DD1DFA">
        <w:rPr>
          <w:rStyle w:val="Odwoanieprzypisudolnego"/>
        </w:rPr>
        <w:footnoteRef/>
      </w:r>
      <w:r w:rsidRPr="00DD1DFA">
        <w:tab/>
        <w:t>Rozporządzenie Parlamentu Europejskiego i</w:t>
      </w:r>
      <w:r>
        <w:t> </w:t>
      </w:r>
      <w:r w:rsidRPr="00DD1DFA">
        <w:t>Rady (UE) 2019/515 z</w:t>
      </w:r>
      <w:r>
        <w:t> </w:t>
      </w:r>
      <w:r w:rsidRPr="00DD1DFA">
        <w:t>dnia 19 marca 2019 r. w</w:t>
      </w:r>
      <w:r>
        <w:t> </w:t>
      </w:r>
      <w:r w:rsidRPr="00DD1DFA">
        <w:t>sprawie wzajemnego uznawania towarów zgodnie z</w:t>
      </w:r>
      <w:r>
        <w:t> </w:t>
      </w:r>
      <w:r w:rsidRPr="00DD1DFA">
        <w:t>prawem wprowadzonych do obrotu w</w:t>
      </w:r>
      <w:r>
        <w:t> </w:t>
      </w:r>
      <w:r w:rsidRPr="00DD1DFA">
        <w:t xml:space="preserve">innym państwie członkowskim oraz uchylające rozporządzenie (WE) nr 764/2008; </w:t>
      </w:r>
      <w:r w:rsidRPr="00DD1DFA">
        <w:rPr>
          <w:i/>
          <w:iCs/>
        </w:rPr>
        <w:t>Dz.U. L 91 z</w:t>
      </w:r>
      <w:r>
        <w:rPr>
          <w:i/>
          <w:iCs/>
        </w:rPr>
        <w:t> </w:t>
      </w:r>
      <w:r w:rsidRPr="00DD1DFA">
        <w:rPr>
          <w:i/>
          <w:iCs/>
        </w:rPr>
        <w:t>29.3.2019, s. 1.</w:t>
      </w:r>
    </w:p>
  </w:footnote>
  <w:footnote w:id="51">
    <w:p w14:paraId="116A546E" w14:textId="16DBCDEB" w:rsidR="003C1B3E" w:rsidRPr="00DD1DFA" w:rsidRDefault="003C1B3E" w:rsidP="00016E31">
      <w:pPr>
        <w:pStyle w:val="Tekstprzypisudolnego"/>
        <w:ind w:left="0" w:firstLine="0"/>
      </w:pPr>
      <w:r w:rsidRPr="00DD1DFA">
        <w:rPr>
          <w:rStyle w:val="Odwoanieprzypisudolnego"/>
        </w:rPr>
        <w:footnoteRef/>
      </w:r>
      <w:r w:rsidRPr="00DD1DFA">
        <w:tab/>
      </w:r>
      <w:r w:rsidRPr="00DD1DFA">
        <w:rPr>
          <w:sz w:val="24"/>
          <w:szCs w:val="24"/>
        </w:rPr>
        <w:t>*</w:t>
      </w:r>
      <w:r w:rsidRPr="00DD1DFA">
        <w:t>[Rozporządzenie Parlamentu Europejskiego i</w:t>
      </w:r>
      <w:r>
        <w:t> </w:t>
      </w:r>
      <w:r w:rsidRPr="00DD1DFA">
        <w:t>Rady ustanawiające zharmonizowane warunki wprowadzania do obrotu wyrobów budowlanych, zmieniające rozporządzenie (UE) 2019/1020 i</w:t>
      </w:r>
      <w:r>
        <w:t> </w:t>
      </w:r>
      <w:r w:rsidRPr="00DD1DFA">
        <w:t>uchylające rozporządzenie (UE) nr 305/2011 (Urząd Publikacji uzupełnia dane dotyczące publikacji w Dz.U.)]”.</w:t>
      </w:r>
    </w:p>
  </w:footnote>
  <w:footnote w:id="52">
    <w:p w14:paraId="4790E477" w14:textId="32AF4693" w:rsidR="003C1B3E" w:rsidRPr="00DD1DFA" w:rsidRDefault="003C1B3E" w:rsidP="00503590">
      <w:pPr>
        <w:pStyle w:val="Tekstprzypisudolnego"/>
      </w:pPr>
      <w:r w:rsidRPr="00DD1DFA">
        <w:rPr>
          <w:rStyle w:val="Odwoanieprzypisudolnego"/>
        </w:rPr>
        <w:footnoteRef/>
      </w:r>
      <w:r w:rsidRPr="00DD1DFA">
        <w:tab/>
        <w:t>Porozumienie międzyinstytucjonalne pomiędzy Parlamentem Europejskim, Radą Unii Europejskiej i</w:t>
      </w:r>
      <w:r>
        <w:t> </w:t>
      </w:r>
      <w:r w:rsidRPr="00DD1DFA">
        <w:t>Komisją Europejską w</w:t>
      </w:r>
      <w:r>
        <w:t> </w:t>
      </w:r>
      <w:r w:rsidRPr="00DD1DFA">
        <w:t xml:space="preserve">sprawie lepszego stanowienia prawa, </w:t>
      </w:r>
      <w:r w:rsidRPr="00DD1DFA">
        <w:rPr>
          <w:i/>
        </w:rPr>
        <w:t>Dz.U. L 123 z</w:t>
      </w:r>
      <w:r>
        <w:rPr>
          <w:i/>
        </w:rPr>
        <w:t> </w:t>
      </w:r>
      <w:r w:rsidRPr="00DD1DFA">
        <w:rPr>
          <w:i/>
        </w:rPr>
        <w:t>12.5.2016, s. 1.</w:t>
      </w:r>
    </w:p>
  </w:footnote>
  <w:footnote w:id="53">
    <w:p w14:paraId="1C9971B0" w14:textId="6B2A42A2" w:rsidR="003C1B3E" w:rsidRPr="00DD1DFA" w:rsidRDefault="003C1B3E" w:rsidP="005D44AF">
      <w:pPr>
        <w:pStyle w:val="Tekstprzypisudolnego"/>
        <w:rPr>
          <w:szCs w:val="24"/>
        </w:rPr>
      </w:pPr>
      <w:r w:rsidRPr="00DD1DFA">
        <w:rPr>
          <w:rStyle w:val="Odwoanieprzypisudolnego"/>
        </w:rPr>
        <w:footnoteRef/>
      </w:r>
      <w:r w:rsidRPr="00DD1DFA">
        <w:tab/>
        <w:t>O którym mowa w</w:t>
      </w:r>
      <w:r>
        <w:t> </w:t>
      </w:r>
      <w:r w:rsidRPr="00DD1DFA">
        <w:t>art. 58 ust. 2 lit. a) lub b) rozporządzenia finansowego.</w:t>
      </w:r>
    </w:p>
  </w:footnote>
  <w:footnote w:id="54">
    <w:p w14:paraId="45AB3937" w14:textId="77777777" w:rsidR="003C1B3E" w:rsidRPr="00DD1DFA" w:rsidRDefault="003C1B3E" w:rsidP="005D44AF">
      <w:pPr>
        <w:pStyle w:val="Tekstprzypisudolnego"/>
        <w:jc w:val="left"/>
        <w:rPr>
          <w:szCs w:val="24"/>
        </w:rPr>
      </w:pPr>
      <w:r w:rsidRPr="00DD1DFA">
        <w:rPr>
          <w:rStyle w:val="Odwoanieprzypisudolnego"/>
        </w:rPr>
        <w:footnoteRef/>
      </w:r>
      <w:r w:rsidRPr="00DD1DFA">
        <w:tab/>
        <w:t xml:space="preserve">Wyjaśnienia dotyczące trybów zarządzania oraz odniesienia do rozporządzenia finansowego znajdują się na następującej stronie: </w:t>
      </w:r>
      <w:hyperlink r:id="rId4" w:history="1">
        <w:r w:rsidRPr="00DD1DFA">
          <w:rPr>
            <w:rStyle w:val="Hipercze"/>
          </w:rPr>
          <w:t>https://myintracomm.ec.europa.eu/budgweb/EN/man/budgmanag/Pages/budgmanag.aspx</w:t>
        </w:r>
      </w:hyperlink>
      <w:r w:rsidRPr="00DD1DFA">
        <w:t xml:space="preserve"> </w:t>
      </w:r>
    </w:p>
  </w:footnote>
  <w:footnote w:id="55">
    <w:p w14:paraId="54BEC95F" w14:textId="77777777" w:rsidR="003C1B3E" w:rsidRPr="00DD1DFA" w:rsidRDefault="003C1B3E" w:rsidP="005D44AF">
      <w:pPr>
        <w:pStyle w:val="Tekstprzypisudolnego"/>
        <w:rPr>
          <w:szCs w:val="24"/>
        </w:rPr>
      </w:pPr>
      <w:r w:rsidRPr="00DD1DFA">
        <w:rPr>
          <w:rStyle w:val="Odwoanieprzypisudolnego"/>
        </w:rPr>
        <w:footnoteRef/>
      </w:r>
      <w:r w:rsidRPr="00DD1DFA">
        <w:tab/>
        <w:t>Środki zróżnicowane/środki niezróżnicowane.</w:t>
      </w:r>
    </w:p>
  </w:footnote>
  <w:footnote w:id="56">
    <w:p w14:paraId="36402BE9" w14:textId="77777777" w:rsidR="003C1B3E" w:rsidRPr="00DD1DFA" w:rsidRDefault="003C1B3E" w:rsidP="005D44AF">
      <w:pPr>
        <w:pStyle w:val="Tekstprzypisudolnego"/>
        <w:rPr>
          <w:szCs w:val="24"/>
        </w:rPr>
      </w:pPr>
      <w:r w:rsidRPr="00DD1DFA">
        <w:rPr>
          <w:rStyle w:val="Odwoanieprzypisudolnego"/>
        </w:rPr>
        <w:footnoteRef/>
      </w:r>
      <w:r w:rsidRPr="00DD1DFA">
        <w:tab/>
        <w:t xml:space="preserve">EFTA: Europejskie Stowarzyszenie Wolnego Handlu. </w:t>
      </w:r>
    </w:p>
  </w:footnote>
  <w:footnote w:id="57">
    <w:p w14:paraId="56E160C9" w14:textId="74645838" w:rsidR="003C1B3E" w:rsidRPr="00DD1DFA" w:rsidRDefault="003C1B3E" w:rsidP="005D44AF">
      <w:pPr>
        <w:pStyle w:val="Tekstprzypisudolnego"/>
        <w:rPr>
          <w:szCs w:val="24"/>
        </w:rPr>
      </w:pPr>
      <w:r w:rsidRPr="00DD1DFA">
        <w:rPr>
          <w:rStyle w:val="Odwoanieprzypisudolnego"/>
        </w:rPr>
        <w:footnoteRef/>
      </w:r>
      <w:r w:rsidRPr="00DD1DFA">
        <w:tab/>
        <w:t>Kraje kandydujące oraz w</w:t>
      </w:r>
      <w:r>
        <w:t> </w:t>
      </w:r>
      <w:r w:rsidRPr="00DD1DFA">
        <w:t>stosownych przypadkach potencjalne kraje kandydujące Bałkanów Zachodnich.</w:t>
      </w:r>
    </w:p>
  </w:footnote>
  <w:footnote w:id="58">
    <w:p w14:paraId="1F4AE260" w14:textId="4CE3BC23" w:rsidR="003C1B3E" w:rsidRPr="00DD1DFA" w:rsidRDefault="003C1B3E" w:rsidP="005D44AF">
      <w:pPr>
        <w:pStyle w:val="Tekstprzypisudolnego"/>
      </w:pPr>
      <w:r w:rsidRPr="00DD1DFA">
        <w:rPr>
          <w:rStyle w:val="Odwoanieprzypisudolnego"/>
        </w:rPr>
        <w:footnoteRef/>
      </w:r>
      <w:r w:rsidRPr="00DD1DFA">
        <w:tab/>
        <w:t>Trwa dyskusja na temat potencjalnego udziału krajów kandydujących i</w:t>
      </w:r>
      <w:r>
        <w:t> </w:t>
      </w:r>
      <w:r w:rsidRPr="00DD1DFA">
        <w:t>państw trzecich w</w:t>
      </w:r>
      <w:r>
        <w:t> </w:t>
      </w:r>
      <w:r w:rsidRPr="00DD1DFA">
        <w:t>tej linii budżetowej.</w:t>
      </w:r>
    </w:p>
  </w:footnote>
  <w:footnote w:id="59">
    <w:p w14:paraId="16DB512C" w14:textId="77777777" w:rsidR="003C1B3E" w:rsidRPr="00DD1DFA" w:rsidRDefault="003C1B3E" w:rsidP="005D44AF">
      <w:pPr>
        <w:pStyle w:val="Tekstprzypisudolnego"/>
        <w:rPr>
          <w:szCs w:val="24"/>
        </w:rPr>
      </w:pPr>
      <w:r w:rsidRPr="00DD1DFA">
        <w:rPr>
          <w:rStyle w:val="Odwoanieprzypisudolnego"/>
        </w:rPr>
        <w:footnoteRef/>
      </w:r>
      <w:r w:rsidRPr="00DD1DFA">
        <w:tab/>
      </w:r>
      <w:r w:rsidRPr="00DD1DFA">
        <w:rPr>
          <w:sz w:val="18"/>
          <w:szCs w:val="18"/>
        </w:rPr>
        <w:t>Wsparcie techniczne lub administracyjne oraz wydatki na wsparcie realizacji programów lub działań UE (dawne linie „BA”), pośrednie badania naukowe, bezpośrednie badania naukowe.</w:t>
      </w:r>
    </w:p>
  </w:footnote>
  <w:footnote w:id="60">
    <w:p w14:paraId="76C5C5B8" w14:textId="77777777" w:rsidR="003C1B3E" w:rsidRPr="00DD1DFA" w:rsidRDefault="003C1B3E" w:rsidP="005D44AF">
      <w:pPr>
        <w:pStyle w:val="Tekstprzypisudolnego"/>
        <w:rPr>
          <w:szCs w:val="24"/>
        </w:rPr>
      </w:pPr>
      <w:r w:rsidRPr="00DD1DFA">
        <w:rPr>
          <w:rStyle w:val="Odwoanieprzypisudolnego"/>
        </w:rPr>
        <w:footnoteRef/>
      </w:r>
      <w:r w:rsidRPr="00DD1DFA">
        <w:tab/>
      </w:r>
      <w:r w:rsidRPr="00DD1DFA">
        <w:rPr>
          <w:sz w:val="18"/>
          <w:szCs w:val="18"/>
        </w:rPr>
        <w:t>Wsparcie techniczne lub administracyjne oraz wydatki na wsparcie realizacji programów lub działań UE (dawne linie „BA”), pośrednie badania naukowe, bezpośrednie badania naukowe.</w:t>
      </w:r>
    </w:p>
  </w:footnote>
  <w:footnote w:id="61">
    <w:p w14:paraId="1C3F21A7" w14:textId="5D200079" w:rsidR="003C1B3E" w:rsidRPr="00DD1DFA" w:rsidRDefault="003C1B3E" w:rsidP="005D44AF">
      <w:pPr>
        <w:pStyle w:val="Tekstprzypisudolnego"/>
        <w:rPr>
          <w:szCs w:val="24"/>
        </w:rPr>
      </w:pPr>
      <w:r w:rsidRPr="00DD1DFA">
        <w:rPr>
          <w:rStyle w:val="Odwoanieprzypisudolnego"/>
        </w:rPr>
        <w:footnoteRef/>
      </w:r>
      <w:r w:rsidRPr="00DD1DFA">
        <w:tab/>
        <w:t>CA = personel kontraktowy; LA = personel miejscowy; SNE = oddelegowany ekspert krajowy; INT = personel tymczasowy; JPD = młodszy specjalista w</w:t>
      </w:r>
      <w:r>
        <w:t> </w:t>
      </w:r>
      <w:r w:rsidRPr="00DD1DFA">
        <w:t xml:space="preserve">delegaturze. </w:t>
      </w:r>
    </w:p>
  </w:footnote>
  <w:footnote w:id="62">
    <w:p w14:paraId="3CFAB63F" w14:textId="77777777" w:rsidR="003C1B3E" w:rsidRPr="00DD1DFA" w:rsidRDefault="003C1B3E" w:rsidP="005D44AF">
      <w:pPr>
        <w:pStyle w:val="Tekstprzypisudolnego"/>
        <w:rPr>
          <w:szCs w:val="24"/>
        </w:rPr>
      </w:pPr>
      <w:r w:rsidRPr="00DD1DFA">
        <w:rPr>
          <w:rStyle w:val="Odwoanieprzypisudolnego"/>
        </w:rPr>
        <w:footnoteRef/>
      </w:r>
      <w:r w:rsidRPr="00DD1DFA">
        <w:tab/>
        <w:t>W ramach podpułapu na personel zewnętrzny ze środków operacyjnych (dawne linie „BA”).</w:t>
      </w:r>
    </w:p>
  </w:footnote>
  <w:footnote w:id="63">
    <w:p w14:paraId="792E59A9" w14:textId="31F05B0D" w:rsidR="003C1B3E" w:rsidRPr="00DD1DFA" w:rsidRDefault="003C1B3E" w:rsidP="005D44AF">
      <w:pPr>
        <w:pStyle w:val="Tekstprzypisudolnego"/>
      </w:pPr>
      <w:r w:rsidRPr="00DD1DFA">
        <w:rPr>
          <w:rStyle w:val="Odwoanieprzypisudolnego"/>
        </w:rPr>
        <w:footnoteRef/>
      </w:r>
      <w:r w:rsidRPr="00DD1DFA">
        <w:tab/>
        <w:t>Rok N jest rokiem, w</w:t>
      </w:r>
      <w:r>
        <w:t> </w:t>
      </w:r>
      <w:r w:rsidRPr="00DD1DFA">
        <w:t>którym rozpoczyna się realizację wniosku/inicjatywy. „N” należy zastąpić oczekiwanym pierwszym rokiem realizacji (np.: 2021). Tak samo należy postąpić dla kolejnych lat.</w:t>
      </w:r>
    </w:p>
  </w:footnote>
  <w:footnote w:id="64">
    <w:p w14:paraId="0232B33E" w14:textId="77777777" w:rsidR="003C1B3E" w:rsidRPr="00DD1DFA" w:rsidRDefault="003C1B3E" w:rsidP="005D44AF">
      <w:pPr>
        <w:pStyle w:val="Tekstprzypisudolnego"/>
        <w:rPr>
          <w:szCs w:val="24"/>
        </w:rPr>
      </w:pPr>
      <w:r w:rsidRPr="00DD1DFA">
        <w:rPr>
          <w:rStyle w:val="Odwoanieprzypisudolnego"/>
        </w:rPr>
        <w:footnoteRef/>
      </w:r>
      <w:r w:rsidRPr="00DD1DFA">
        <w:tab/>
        <w:t>W przypadku tradycyjnych zasobów własnych (opłaty celne, opłaty wyrównawcze od cukru) należy wskazać kwoty netto, tzn. kwoty brutto po odliczeniu 20 % na poczet kosztów poboru.</w:t>
      </w:r>
    </w:p>
  </w:footnote>
  <w:footnote w:id="65">
    <w:p w14:paraId="6E12F4F6" w14:textId="4BBE199B" w:rsidR="003C1B3E" w:rsidRPr="00DD1DFA" w:rsidRDefault="003C1B3E" w:rsidP="005D44AF">
      <w:pPr>
        <w:pStyle w:val="Tekstprzypisudolnego"/>
        <w:spacing w:after="120"/>
      </w:pPr>
      <w:r w:rsidRPr="00DD1DFA">
        <w:rPr>
          <w:rStyle w:val="Odwoanieprzypisudolnego"/>
        </w:rPr>
        <w:footnoteRef/>
      </w:r>
      <w:r w:rsidRPr="00DD1DFA">
        <w:tab/>
      </w:r>
      <w:r w:rsidRPr="00DD1DFA">
        <w:rPr>
          <w:sz w:val="18"/>
        </w:rPr>
        <w:t>CA = personel kontraktowy; LA = personel miejscowy; SNE = oddelegowany ekspert krajowy; INT = personel tymczasowy; JPD = młodszy specjalista w</w:t>
      </w:r>
      <w:r>
        <w:rPr>
          <w:sz w:val="18"/>
        </w:rPr>
        <w:t> </w:t>
      </w:r>
      <w:r w:rsidRPr="00DD1DFA">
        <w:rPr>
          <w:sz w:val="18"/>
        </w:rPr>
        <w:t>delegaturze.</w:t>
      </w:r>
    </w:p>
  </w:footnote>
  <w:footnote w:id="66">
    <w:p w14:paraId="684C7E59" w14:textId="299ED213" w:rsidR="003C1B3E" w:rsidRPr="00DD1DFA" w:rsidRDefault="003C1B3E" w:rsidP="005D44AF">
      <w:pPr>
        <w:pStyle w:val="Tekstprzypisudolnego"/>
      </w:pPr>
      <w:r w:rsidRPr="00DD1DFA">
        <w:rPr>
          <w:rStyle w:val="Odwoanieprzypisudolnego"/>
        </w:rPr>
        <w:footnoteRef/>
      </w:r>
      <w:r w:rsidRPr="00DD1DFA">
        <w:tab/>
      </w:r>
      <w:r w:rsidRPr="00DD1DFA">
        <w:rPr>
          <w:sz w:val="18"/>
          <w:szCs w:val="18"/>
        </w:rPr>
        <w:t>Należy wybrać odpowiednią linię budżetową lub w</w:t>
      </w:r>
      <w:r>
        <w:rPr>
          <w:sz w:val="18"/>
          <w:szCs w:val="18"/>
        </w:rPr>
        <w:t> </w:t>
      </w:r>
      <w:r w:rsidRPr="00DD1DFA">
        <w:rPr>
          <w:sz w:val="18"/>
          <w:szCs w:val="18"/>
        </w:rPr>
        <w:t>razie potrzeby wskazać inną; jeżeli sprawa dotyczy większej liczby linii budżetowych, należy podzielić personel według odpowiednich linii budżetowych.</w:t>
      </w:r>
    </w:p>
  </w:footnote>
  <w:footnote w:id="67">
    <w:p w14:paraId="59980C59" w14:textId="1CE21BB3" w:rsidR="003C1B3E" w:rsidRPr="00DD1DFA" w:rsidRDefault="003C1B3E" w:rsidP="005D44AF">
      <w:pPr>
        <w:pStyle w:val="Tekstprzypisudolnego"/>
        <w:spacing w:after="120"/>
      </w:pPr>
      <w:r w:rsidRPr="00DD1DFA">
        <w:rPr>
          <w:rStyle w:val="Odwoanieprzypisudolnego"/>
        </w:rPr>
        <w:footnoteRef/>
      </w:r>
      <w:r w:rsidRPr="00DD1DFA">
        <w:tab/>
      </w:r>
      <w:r w:rsidRPr="00DD1DFA">
        <w:rPr>
          <w:sz w:val="18"/>
        </w:rPr>
        <w:t>CA = personel kontraktowy; LA = personel miejscowy; SNE = oddelegowany ekspert krajowy; INT = personel tymczasowy; JPD = młodszy specjalista w</w:t>
      </w:r>
      <w:r>
        <w:rPr>
          <w:sz w:val="18"/>
        </w:rPr>
        <w:t> </w:t>
      </w:r>
      <w:r w:rsidRPr="00DD1DFA">
        <w:rPr>
          <w:sz w:val="18"/>
        </w:rPr>
        <w:t>delegaturze.</w:t>
      </w:r>
    </w:p>
  </w:footnote>
  <w:footnote w:id="68">
    <w:p w14:paraId="391EA160" w14:textId="57554786" w:rsidR="003C1B3E" w:rsidRPr="00DD1DFA" w:rsidRDefault="003C1B3E" w:rsidP="005D44AF">
      <w:pPr>
        <w:pStyle w:val="Tekstprzypisudolnego"/>
      </w:pPr>
      <w:r w:rsidRPr="00DD1DFA">
        <w:rPr>
          <w:rStyle w:val="Odwoanieprzypisudolnego"/>
        </w:rPr>
        <w:footnoteRef/>
      </w:r>
      <w:r w:rsidRPr="00DD1DFA">
        <w:tab/>
      </w:r>
      <w:r w:rsidRPr="00DD1DFA">
        <w:rPr>
          <w:sz w:val="18"/>
          <w:szCs w:val="18"/>
        </w:rPr>
        <w:t>Należy wybrać odpowiednią linię budżetową lub w</w:t>
      </w:r>
      <w:r>
        <w:rPr>
          <w:sz w:val="18"/>
          <w:szCs w:val="18"/>
        </w:rPr>
        <w:t> </w:t>
      </w:r>
      <w:r w:rsidRPr="00DD1DFA">
        <w:rPr>
          <w:sz w:val="18"/>
          <w:szCs w:val="18"/>
        </w:rPr>
        <w:t>razie potrzeby wskazać inną; jeżeli sprawa dotyczy większej liczby linii budżetowych, należy podzielić personel według odpowiednich linii budżetowych.</w:t>
      </w:r>
    </w:p>
  </w:footnote>
  <w:footnote w:id="69">
    <w:p w14:paraId="6721C10E" w14:textId="6B15D256" w:rsidR="003C1B3E" w:rsidRPr="00DD1DFA" w:rsidRDefault="003C1B3E" w:rsidP="005D44AF">
      <w:pPr>
        <w:pStyle w:val="Tekstprzypisudolnego"/>
      </w:pPr>
      <w:r w:rsidRPr="00DD1DFA">
        <w:rPr>
          <w:rStyle w:val="Odwoanieprzypisudolnego"/>
        </w:rPr>
        <w:footnoteRef/>
      </w:r>
      <w:r w:rsidRPr="00DD1DFA">
        <w:tab/>
      </w:r>
      <w:r w:rsidRPr="00DD1DFA">
        <w:rPr>
          <w:sz w:val="18"/>
        </w:rPr>
        <w:t>Należy określić rodzaj komitetu i</w:t>
      </w:r>
      <w:r>
        <w:rPr>
          <w:sz w:val="18"/>
        </w:rPr>
        <w:t> </w:t>
      </w:r>
      <w:r w:rsidRPr="00DD1DFA">
        <w:rPr>
          <w:sz w:val="18"/>
        </w:rPr>
        <w:t>grupę, do której należy.</w:t>
      </w:r>
    </w:p>
  </w:footnote>
  <w:footnote w:id="70">
    <w:p w14:paraId="14F8267B" w14:textId="00BCDA2F" w:rsidR="003C1B3E" w:rsidRPr="00DD1DFA" w:rsidRDefault="003C1B3E" w:rsidP="005D44AF">
      <w:pPr>
        <w:pStyle w:val="Tekstprzypisudolnego"/>
      </w:pPr>
      <w:r w:rsidRPr="00DD1DFA">
        <w:rPr>
          <w:rStyle w:val="Odwoanieprzypisudolnego"/>
        </w:rPr>
        <w:footnoteRef/>
      </w:r>
      <w:r w:rsidRPr="00DD1DFA">
        <w:tab/>
      </w:r>
      <w:r w:rsidRPr="00DD1DFA">
        <w:rPr>
          <w:sz w:val="18"/>
        </w:rPr>
        <w:t>Należy zasięgnąć opinii zespołu ds. inwestycji informatycznych DG DIGIT (zob. wytyczne w</w:t>
      </w:r>
      <w:r>
        <w:rPr>
          <w:sz w:val="18"/>
        </w:rPr>
        <w:t> </w:t>
      </w:r>
      <w:r w:rsidRPr="00DD1DFA">
        <w:rPr>
          <w:sz w:val="18"/>
        </w:rPr>
        <w:t>sprawie finansowania technologii informatycznych, C(2020) 6126 final z</w:t>
      </w:r>
      <w:r>
        <w:rPr>
          <w:sz w:val="18"/>
        </w:rPr>
        <w:t> </w:t>
      </w:r>
      <w:r w:rsidRPr="00DD1DFA">
        <w:rPr>
          <w:sz w:val="18"/>
        </w:rPr>
        <w:t>10.9.2020, s. 7)</w:t>
      </w:r>
    </w:p>
  </w:footnote>
  <w:footnote w:id="71">
    <w:p w14:paraId="0EE901D9" w14:textId="4844E815" w:rsidR="003C1B3E" w:rsidRPr="00DD1DFA" w:rsidRDefault="003C1B3E" w:rsidP="005D44AF">
      <w:pPr>
        <w:pStyle w:val="Tekstprzypisudolnego"/>
      </w:pPr>
      <w:r w:rsidRPr="00DD1DFA">
        <w:rPr>
          <w:rStyle w:val="Odwoanieprzypisudolnego"/>
        </w:rPr>
        <w:footnoteRef/>
      </w:r>
      <w:r w:rsidRPr="00DD1DFA">
        <w:tab/>
      </w:r>
      <w:r w:rsidRPr="00DD1DFA">
        <w:rPr>
          <w:sz w:val="18"/>
          <w:szCs w:val="18"/>
        </w:rPr>
        <w:t>Rok N jest rokiem, w</w:t>
      </w:r>
      <w:r>
        <w:rPr>
          <w:sz w:val="18"/>
          <w:szCs w:val="18"/>
        </w:rPr>
        <w:t> </w:t>
      </w:r>
      <w:r w:rsidRPr="00DD1DFA">
        <w:rPr>
          <w:sz w:val="18"/>
          <w:szCs w:val="18"/>
        </w:rPr>
        <w:t>którym rozpoczyna się realizację wniosku/inicjatywy. „N” należy zastąpić oczekiwanym pierwszym rokiem realizacji (np.: 2021). Tak samo należy postąpić dla kolejnych lat.</w:t>
      </w:r>
    </w:p>
  </w:footnote>
  <w:footnote w:id="72">
    <w:p w14:paraId="1BF8880C" w14:textId="6A21D4BA" w:rsidR="003C1B3E" w:rsidRPr="00DD1DFA" w:rsidRDefault="003C1B3E" w:rsidP="005D44AF">
      <w:pPr>
        <w:pStyle w:val="Tekstprzypisudolnego"/>
      </w:pPr>
      <w:r w:rsidRPr="00DD1DFA">
        <w:rPr>
          <w:rStyle w:val="Odwoanieprzypisudolnego"/>
        </w:rPr>
        <w:footnoteRef/>
      </w:r>
      <w:r w:rsidRPr="00DD1DFA">
        <w:tab/>
      </w:r>
      <w:r w:rsidRPr="00DD1DFA">
        <w:rPr>
          <w:sz w:val="18"/>
        </w:rPr>
        <w:t>Należy zasięgnąć opinii zespołu ds. inwestycji informatycznych DG DIGIT (zob. wytyczne w</w:t>
      </w:r>
      <w:r>
        <w:rPr>
          <w:sz w:val="18"/>
        </w:rPr>
        <w:t> </w:t>
      </w:r>
      <w:r w:rsidRPr="00DD1DFA">
        <w:rPr>
          <w:sz w:val="18"/>
        </w:rPr>
        <w:t>sprawie finansowania technologii informatycznych, C(2020) 6126 final z</w:t>
      </w:r>
      <w:r>
        <w:rPr>
          <w:sz w:val="18"/>
        </w:rPr>
        <w:t> </w:t>
      </w:r>
      <w:r w:rsidRPr="00DD1DFA">
        <w:rPr>
          <w:sz w:val="18"/>
        </w:rPr>
        <w:t>10.9.2020, s. 7).</w:t>
      </w:r>
    </w:p>
  </w:footnote>
  <w:footnote w:id="73">
    <w:p w14:paraId="28880043" w14:textId="044346F0" w:rsidR="003C1B3E" w:rsidRPr="00DD1DFA" w:rsidRDefault="003C1B3E" w:rsidP="005D44AF">
      <w:pPr>
        <w:pStyle w:val="Tekstprzypisudolnego"/>
      </w:pPr>
      <w:r w:rsidRPr="00DD1DFA">
        <w:rPr>
          <w:rStyle w:val="Odwoanieprzypisudolnego"/>
        </w:rPr>
        <w:footnoteRef/>
      </w:r>
      <w:r w:rsidRPr="00DD1DFA">
        <w:tab/>
      </w:r>
      <w:r w:rsidRPr="00DD1DFA">
        <w:rPr>
          <w:sz w:val="18"/>
        </w:rPr>
        <w:t>Pozycja ta obejmuje lokalne systemy administracyjne i</w:t>
      </w:r>
      <w:r>
        <w:rPr>
          <w:sz w:val="18"/>
        </w:rPr>
        <w:t> </w:t>
      </w:r>
      <w:r w:rsidRPr="00DD1DFA">
        <w:rPr>
          <w:sz w:val="18"/>
        </w:rPr>
        <w:t>wkłady na rzecz współfinansowania instytucjonalnych systemów informatycznych (zob. wytyczne w</w:t>
      </w:r>
      <w:r>
        <w:rPr>
          <w:sz w:val="18"/>
        </w:rPr>
        <w:t> </w:t>
      </w:r>
      <w:r w:rsidRPr="00DD1DFA">
        <w:rPr>
          <w:sz w:val="18"/>
        </w:rPr>
        <w:t>sprawie finansowania technologii informatycznych, C(2020) 6126 final z</w:t>
      </w:r>
      <w:r>
        <w:rPr>
          <w:sz w:val="18"/>
        </w:rPr>
        <w:t> </w:t>
      </w:r>
      <w:r w:rsidRPr="00DD1DFA">
        <w:rPr>
          <w:sz w:val="18"/>
        </w:rPr>
        <w:t>10.9.2020).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1070" w14:textId="77777777" w:rsidR="0037392B" w:rsidRPr="0037392B" w:rsidRDefault="0037392B" w:rsidP="0037392B">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1F2E" w14:textId="77777777" w:rsidR="0037392B" w:rsidRPr="0037392B" w:rsidRDefault="0037392B" w:rsidP="003739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9A9C" w14:textId="77777777" w:rsidR="0037392B" w:rsidRPr="0037392B" w:rsidRDefault="0037392B" w:rsidP="0037392B">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935A" w14:textId="77777777" w:rsidR="0037392B" w:rsidRPr="0037392B" w:rsidRDefault="0037392B" w:rsidP="0037392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CB4B" w14:textId="77777777" w:rsidR="0037392B" w:rsidRPr="0037392B" w:rsidRDefault="0037392B" w:rsidP="0037392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C658" w14:textId="77777777" w:rsidR="0037392B" w:rsidRPr="0037392B" w:rsidRDefault="0037392B" w:rsidP="0037392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CCD7" w14:textId="77777777" w:rsidR="0037392B" w:rsidRPr="0037392B" w:rsidRDefault="0037392B" w:rsidP="0037392B">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97FA" w14:textId="77777777" w:rsidR="003C1B3E" w:rsidRPr="009142AB" w:rsidRDefault="003C1B3E" w:rsidP="0037392B">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1E2B" w14:textId="77777777" w:rsidR="0037392B" w:rsidRPr="0037392B" w:rsidRDefault="0037392B" w:rsidP="0037392B">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F9C7" w14:textId="77777777" w:rsidR="0037392B" w:rsidRPr="009142AB" w:rsidRDefault="0037392B" w:rsidP="003739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7C467C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93D0289A"/>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99FA8DA2"/>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C870F88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0302586"/>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6EC3138"/>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BCF8A0"/>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43209B92"/>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9"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CEC1913"/>
    <w:multiLevelType w:val="hybridMultilevel"/>
    <w:tmpl w:val="A2B0D6C4"/>
    <w:lvl w:ilvl="0" w:tplc="1858336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6C17E5A"/>
    <w:multiLevelType w:val="hybridMultilevel"/>
    <w:tmpl w:val="294A84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33372D0"/>
    <w:multiLevelType w:val="multilevel"/>
    <w:tmpl w:val="5A8C11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15:restartNumberingAfterBreak="0">
    <w:nsid w:val="7D42153D"/>
    <w:multiLevelType w:val="hybridMultilevel"/>
    <w:tmpl w:val="08DEA1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4706626">
    <w:abstractNumId w:val="7"/>
  </w:num>
  <w:num w:numId="2" w16cid:durableId="1440250023">
    <w:abstractNumId w:val="5"/>
  </w:num>
  <w:num w:numId="3" w16cid:durableId="600453833">
    <w:abstractNumId w:val="4"/>
  </w:num>
  <w:num w:numId="4" w16cid:durableId="78215632">
    <w:abstractNumId w:val="3"/>
  </w:num>
  <w:num w:numId="5" w16cid:durableId="187111412">
    <w:abstractNumId w:val="2"/>
  </w:num>
  <w:num w:numId="6" w16cid:durableId="22560046">
    <w:abstractNumId w:val="11"/>
  </w:num>
  <w:num w:numId="7" w16cid:durableId="2143645842">
    <w:abstractNumId w:val="11"/>
  </w:num>
  <w:num w:numId="8" w16cid:durableId="1037895579">
    <w:abstractNumId w:val="11"/>
  </w:num>
  <w:num w:numId="9" w16cid:durableId="953949118">
    <w:abstractNumId w:val="11"/>
  </w:num>
  <w:num w:numId="10" w16cid:durableId="2058971190">
    <w:abstractNumId w:val="6"/>
  </w:num>
  <w:num w:numId="11" w16cid:durableId="77484645">
    <w:abstractNumId w:val="1"/>
  </w:num>
  <w:num w:numId="12" w16cid:durableId="449205871">
    <w:abstractNumId w:val="0"/>
  </w:num>
  <w:num w:numId="13" w16cid:durableId="1228609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9180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88505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27042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75638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7527917">
    <w:abstractNumId w:val="11"/>
  </w:num>
  <w:num w:numId="19" w16cid:durableId="1772431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6471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830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6322763">
    <w:abstractNumId w:val="10"/>
    <w:lvlOverride w:ilvl="0">
      <w:startOverride w:val="70"/>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5040012">
    <w:abstractNumId w:val="10"/>
    <w:lvlOverride w:ilvl="0">
      <w:startOverride w:val="70"/>
    </w:lvlOverride>
    <w:lvlOverride w:ilvl="1">
      <w:startOverride w:val="3"/>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7120778">
    <w:abstractNumId w:val="10"/>
    <w:lvlOverride w:ilvl="0">
      <w:startOverride w:val="70"/>
    </w:lvlOverride>
    <w:lvlOverride w:ilvl="1">
      <w:startOverride w:val="3"/>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1814100">
    <w:abstractNumId w:val="10"/>
    <w:lvlOverride w:ilvl="0">
      <w:startOverride w:val="70"/>
    </w:lvlOverride>
    <w:lvlOverride w:ilvl="1">
      <w:startOverride w:val="3"/>
    </w:lvlOverride>
    <w:lvlOverride w:ilvl="2">
      <w:startOverride w:val="1"/>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1865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1839582">
    <w:abstractNumId w:val="17"/>
    <w:lvlOverride w:ilvl="0">
      <w:startOverride w:val="1"/>
    </w:lvlOverride>
  </w:num>
  <w:num w:numId="28" w16cid:durableId="929310731">
    <w:abstractNumId w:val="25"/>
    <w:lvlOverride w:ilvl="0">
      <w:startOverride w:val="1"/>
    </w:lvlOverride>
  </w:num>
  <w:num w:numId="29" w16cid:durableId="352875873">
    <w:abstractNumId w:val="15"/>
  </w:num>
  <w:num w:numId="30" w16cid:durableId="55277422">
    <w:abstractNumId w:val="22"/>
  </w:num>
  <w:num w:numId="31" w16cid:durableId="152531691">
    <w:abstractNumId w:val="21"/>
  </w:num>
  <w:num w:numId="32" w16cid:durableId="851382126">
    <w:abstractNumId w:val="8"/>
  </w:num>
  <w:num w:numId="33" w16cid:durableId="1123813489">
    <w:abstractNumId w:val="16"/>
  </w:num>
  <w:num w:numId="34" w16cid:durableId="1486119380">
    <w:abstractNumId w:val="9"/>
  </w:num>
  <w:num w:numId="35" w16cid:durableId="1199051731">
    <w:abstractNumId w:val="32"/>
  </w:num>
  <w:num w:numId="36" w16cid:durableId="1300266941">
    <w:abstractNumId w:val="28"/>
  </w:num>
  <w:num w:numId="37" w16cid:durableId="1053882">
    <w:abstractNumId w:val="24"/>
  </w:num>
  <w:num w:numId="38" w16cid:durableId="234821416">
    <w:abstractNumId w:val="14"/>
  </w:num>
  <w:num w:numId="39" w16cid:durableId="16383393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98159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7588831">
    <w:abstractNumId w:val="26"/>
    <w:lvlOverride w:ilvl="0">
      <w:startOverride w:val="1"/>
    </w:lvlOverride>
  </w:num>
  <w:num w:numId="42" w16cid:durableId="1117914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101570">
    <w:abstractNumId w:val="11"/>
  </w:num>
  <w:num w:numId="44" w16cid:durableId="5784892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95855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984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20320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0889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333530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18034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991778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69006948">
    <w:abstractNumId w:val="10"/>
    <w:lvlOverride w:ilvl="0">
      <w:startOverride w:val="67"/>
    </w:lvlOverride>
    <w:lvlOverride w:ilvl="1">
      <w:startOverride w:val="1"/>
    </w:lvlOverride>
    <w:lvlOverride w:ilvl="2">
      <w:startOverride w:val="1"/>
    </w:lvlOverride>
    <w:lvlOverride w:ilvl="3">
      <w:startOverride w:val="1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53" w16cid:durableId="592789278">
    <w:abstractNumId w:val="10"/>
    <w:lvlOverride w:ilvl="0">
      <w:startOverride w:val="67"/>
    </w:lvlOverride>
    <w:lvlOverride w:ilvl="1">
      <w:startOverride w:val="1"/>
    </w:lvlOverride>
    <w:lvlOverride w:ilvl="2">
      <w:startOverride w:val="1"/>
    </w:lvlOverride>
    <w:lvlOverride w:ilvl="3">
      <w:startOverride w:val="12"/>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54" w16cid:durableId="1917476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90226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26711295">
    <w:abstractNumId w:val="11"/>
  </w:num>
  <w:num w:numId="57" w16cid:durableId="18432289">
    <w:abstractNumId w:val="10"/>
    <w:lvlOverride w:ilvl="0">
      <w:startOverride w:val="67"/>
    </w:lvlOverride>
    <w:lvlOverride w:ilvl="1">
      <w:startOverride w:val="1"/>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58" w16cid:durableId="601259886">
    <w:abstractNumId w:val="10"/>
    <w:lvlOverride w:ilvl="0">
      <w:startOverride w:val="67"/>
    </w:lvlOverride>
    <w:lvlOverride w:ilvl="1">
      <w:startOverride w:val="1"/>
    </w:lvlOverride>
    <w:lvlOverride w:ilvl="2">
      <w:startOverride w:val="1"/>
    </w:lvlOverride>
    <w:lvlOverride w:ilvl="3">
      <w:startOverride w:val="2"/>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59" w16cid:durableId="903371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38100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63088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30182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85593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24676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18475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04382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3113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84184305">
    <w:abstractNumId w:val="10"/>
    <w:lvlOverride w:ilvl="0">
      <w:startOverride w:val="67"/>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20611633">
    <w:abstractNumId w:val="10"/>
    <w:lvlOverride w:ilvl="0">
      <w:startOverride w:val="67"/>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48862172">
    <w:abstractNumId w:val="10"/>
    <w:lvlOverride w:ilvl="0">
      <w:startOverride w:val="67"/>
    </w:lvlOverride>
    <w:lvlOverride w:ilvl="1">
      <w:startOverride w:val="1"/>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24688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82744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36133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61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92864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99610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20918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529222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4696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38508400">
    <w:abstractNumId w:val="11"/>
  </w:num>
  <w:num w:numId="81" w16cid:durableId="733624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92435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47941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182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27525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73245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3469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10247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23035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30639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22683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82471650">
    <w:abstractNumId w:val="11"/>
  </w:num>
  <w:num w:numId="93" w16cid:durableId="87506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45900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078052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80276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68834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71346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30302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56892766">
    <w:abstractNumId w:val="11"/>
  </w:num>
  <w:num w:numId="101" w16cid:durableId="999163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54412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477695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559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171306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43264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780810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751480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94944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78770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80844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32872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605440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25130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7576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674606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80194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69831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03144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36665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117820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848106262">
    <w:abstractNumId w:val="17"/>
    <w:lvlOverride w:ilvl="0">
      <w:startOverride w:val="1"/>
    </w:lvlOverride>
  </w:num>
  <w:num w:numId="123" w16cid:durableId="1517226633">
    <w:abstractNumId w:val="31"/>
    <w:lvlOverride w:ilvl="0">
      <w:startOverride w:val="1"/>
    </w:lvlOverride>
  </w:num>
  <w:num w:numId="124" w16cid:durableId="1636908948">
    <w:abstractNumId w:val="27"/>
  </w:num>
  <w:num w:numId="125" w16cid:durableId="714932344">
    <w:abstractNumId w:val="17"/>
  </w:num>
  <w:num w:numId="126" w16cid:durableId="998579202">
    <w:abstractNumId w:val="30"/>
  </w:num>
  <w:num w:numId="127" w16cid:durableId="1312633996">
    <w:abstractNumId w:val="13"/>
  </w:num>
  <w:num w:numId="128" w16cid:durableId="2001231668">
    <w:abstractNumId w:val="18"/>
  </w:num>
  <w:num w:numId="129" w16cid:durableId="1937711623">
    <w:abstractNumId w:val="19"/>
  </w:num>
  <w:num w:numId="130" w16cid:durableId="15468944">
    <w:abstractNumId w:val="11"/>
  </w:num>
  <w:num w:numId="131" w16cid:durableId="543297019">
    <w:abstractNumId w:val="29"/>
  </w:num>
  <w:num w:numId="132" w16cid:durableId="2120174981">
    <w:abstractNumId w:val="10"/>
  </w:num>
  <w:num w:numId="133" w16cid:durableId="867792104">
    <w:abstractNumId w:val="20"/>
  </w:num>
  <w:num w:numId="134" w16cid:durableId="1318460752">
    <w:abstractNumId w:val="25"/>
  </w:num>
  <w:num w:numId="135" w16cid:durableId="590457">
    <w:abstractNumId w:val="26"/>
  </w:num>
  <w:num w:numId="136" w16cid:durableId="586303538">
    <w:abstractNumId w:val="12"/>
  </w:num>
  <w:num w:numId="137" w16cid:durableId="923993810">
    <w:abstractNumId w:val="23"/>
  </w:num>
  <w:num w:numId="138" w16cid:durableId="1660428517">
    <w:abstractNumId w:val="3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FR" w:vendorID="64" w:dllVersion="6" w:nlCheck="1" w:checkStyle="0"/>
  <w:activeWritingStyle w:appName="MSWord" w:lang="pt-PT"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pt-PT" w:vendorID="64" w:dllVersion="0" w:nlCheck="1" w:checkStyle="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2-05-17 11:54:12"/>
    <w:docVar w:name="DQCNUMB_1" w:val="331"/>
    <w:docVar w:name="DQCNUMB_10" w:val="353"/>
    <w:docVar w:name="DQCNUMB_11" w:val="354"/>
    <w:docVar w:name="DQCNUMB_12" w:val="355"/>
    <w:docVar w:name="DQCNUMB_13" w:val="356"/>
    <w:docVar w:name="DQCNUMB_14" w:val="357"/>
    <w:docVar w:name="DQCNUMB_15" w:val="358"/>
    <w:docVar w:name="DQCNUMB_16" w:val="359"/>
    <w:docVar w:name="DQCNUMB_17" w:val="360"/>
    <w:docVar w:name="DQCNUMB_18" w:val="361"/>
    <w:docVar w:name="DQCNUMB_19" w:val="362"/>
    <w:docVar w:name="DQCNUMB_2" w:val="332"/>
    <w:docVar w:name="DQCNUMB_20" w:val="363"/>
    <w:docVar w:name="DQCNUMB_21" w:val="364"/>
    <w:docVar w:name="DQCNUMB_22" w:val="365"/>
    <w:docVar w:name="DQCNUMB_23" w:val="366"/>
    <w:docVar w:name="DQCNUMB_24" w:val="367"/>
    <w:docVar w:name="DQCNUMB_25" w:val="368"/>
    <w:docVar w:name="DQCNUMB_26" w:val="369"/>
    <w:docVar w:name="DQCNUMB_27" w:val="370"/>
    <w:docVar w:name="DQCNUMB_28" w:val="371"/>
    <w:docVar w:name="DQCNUMB_29" w:val="372"/>
    <w:docVar w:name="DQCNUMB_3" w:val="333"/>
    <w:docVar w:name="DQCNUMB_30" w:val="375"/>
    <w:docVar w:name="DQCNUMB_31" w:val="376"/>
    <w:docVar w:name="DQCNUMB_32" w:val="377"/>
    <w:docVar w:name="DQCNUMB_33" w:val="378"/>
    <w:docVar w:name="DQCNUMB_34" w:val="379"/>
    <w:docVar w:name="DQCNUMB_35" w:val="380"/>
    <w:docVar w:name="DQCNUMB_36" w:val="381"/>
    <w:docVar w:name="DQCNUMB_37" w:val="382"/>
    <w:docVar w:name="DQCNUMB_38" w:val="383"/>
    <w:docVar w:name="DQCNUMB_39" w:val="384"/>
    <w:docVar w:name="DQCNUMB_4" w:val="334"/>
    <w:docVar w:name="DQCNUMB_40" w:val="385"/>
    <w:docVar w:name="DQCNUMB_41" w:val="386"/>
    <w:docVar w:name="DQCNUMB_42" w:val="387"/>
    <w:docVar w:name="DQCNUMB_43" w:val="388"/>
    <w:docVar w:name="DQCNUMB_44" w:val="389"/>
    <w:docVar w:name="DQCNUMB_45" w:val="390"/>
    <w:docVar w:name="DQCNUMB_46" w:val="391"/>
    <w:docVar w:name="DQCNUMB_47" w:val="392"/>
    <w:docVar w:name="DQCNUMB_48" w:val="393"/>
    <w:docVar w:name="DQCNUMB_49" w:val="394"/>
    <w:docVar w:name="DQCNUMB_5" w:val="337"/>
    <w:docVar w:name="DQCNUMB_50" w:val="395"/>
    <w:docVar w:name="DQCNUMB_51" w:val="396"/>
    <w:docVar w:name="DQCNUMB_52" w:val="397"/>
    <w:docVar w:name="DQCNUMB_53" w:val="398"/>
    <w:docVar w:name="DQCNUMB_54" w:val="399"/>
    <w:docVar w:name="DQCNUMB_55" w:val="400"/>
    <w:docVar w:name="DQCNUMB_56" w:val="401"/>
    <w:docVar w:name="DQCNUMB_57" w:val="402"/>
    <w:docVar w:name="DQCNUMB_58" w:val="403"/>
    <w:docVar w:name="DQCNUMB_59" w:val="404"/>
    <w:docVar w:name="DQCNUMB_6" w:val="338"/>
    <w:docVar w:name="DQCNUMB_60" w:val="405"/>
    <w:docVar w:name="DQCNUMB_61" w:val="406"/>
    <w:docVar w:name="DQCNUMB_62" w:val="407"/>
    <w:docVar w:name="DQCNUMB_63" w:val="408"/>
    <w:docVar w:name="DQCNUMB_64" w:val="409"/>
    <w:docVar w:name="DQCNUMB_65" w:val="410"/>
    <w:docVar w:name="DQCNUMB_66" w:val="411"/>
    <w:docVar w:name="DQCNUMB_67" w:val="412"/>
    <w:docVar w:name="DQCNUMB_68" w:val="413"/>
    <w:docVar w:name="DQCNUMB_69" w:val="414"/>
    <w:docVar w:name="DQCNUMB_7" w:val="339"/>
    <w:docVar w:name="DQCNUMB_70" w:val="415"/>
    <w:docVar w:name="DQCNUMB_71" w:val="416"/>
    <w:docVar w:name="DQCNUMB_72" w:val="417"/>
    <w:docVar w:name="DQCNUMB_73" w:val="418"/>
    <w:docVar w:name="DQCNUMB_74" w:val="419"/>
    <w:docVar w:name="DQCNUMB_75" w:val="437"/>
    <w:docVar w:name="DQCNUMB_76" w:val="498"/>
    <w:docVar w:name="DQCNUMB_77" w:val="509"/>
    <w:docVar w:name="DQCNUMB_78" w:val="510"/>
    <w:docVar w:name="DQCNUMB_79" w:val="617"/>
    <w:docVar w:name="DQCNUMB_8" w:val="340"/>
    <w:docVar w:name="DQCNUMB_80" w:val="733"/>
    <w:docVar w:name="DQCNUMB_81" w:val="734"/>
    <w:docVar w:name="DQCNUMB_82" w:val="735"/>
    <w:docVar w:name="DQCNUMB_9" w:val="352"/>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3A860A20-3FAB-46F0-9064-86DE4240A6A3"/>
    <w:docVar w:name="LW_COVERPAGE_TYPE" w:val="1"/>
    <w:docVar w:name="LW_CROSSREFERENCE" w:val="{SEC(2022) 167 final} - {SWD(2022) 87 final} - {SWD(2022) 88 final} - {SWD(2022) 89 final}"/>
    <w:docVar w:name="LW_DocType" w:val="COM"/>
    <w:docVar w:name="LW_EMISSION" w:val="30.3.2022"/>
    <w:docVar w:name="LW_EMISSION_ISODATE" w:val="2022-03-30"/>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ą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94"/>
    <w:docVar w:name="LW_REF.II.NEW.CP_YEAR" w:val="2022"/>
    <w:docVar w:name="LW_REF.INST.NEW" w:val="COM"/>
    <w:docVar w:name="LW_REF.INST.NEW_ADOPTED" w:val="final"/>
    <w:docVar w:name="LW_REF.INST.NEW_TEXT" w:val="(2022)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ustanawiające zharmonizowane warunki wprowadzania do obrotu wyrobów budowlanych, zmieniające rozporządzenie (UE) 2019/1020 i uchylające rozporządzenie (UE) nr 305/2011"/>
    <w:docVar w:name="LW_TYPE.DOC.CP" w:val="ROZPORZĄDZENIE PARLAMENTU EUROPEJSKIEGO I RADY"/>
    <w:docVar w:name="LwApiVersions" w:val="LW4CoDe 1.23.2.0; LW 8.0, Build 20211117"/>
  </w:docVars>
  <w:rsids>
    <w:rsidRoot w:val="00BB2C85"/>
    <w:rsid w:val="000005B0"/>
    <w:rsid w:val="00000833"/>
    <w:rsid w:val="00000C02"/>
    <w:rsid w:val="00003BBF"/>
    <w:rsid w:val="00003BDD"/>
    <w:rsid w:val="00004ADB"/>
    <w:rsid w:val="00016E31"/>
    <w:rsid w:val="00016EEC"/>
    <w:rsid w:val="00017458"/>
    <w:rsid w:val="000263BD"/>
    <w:rsid w:val="00026DD5"/>
    <w:rsid w:val="0002768D"/>
    <w:rsid w:val="00027C22"/>
    <w:rsid w:val="000311BA"/>
    <w:rsid w:val="00031CE5"/>
    <w:rsid w:val="000363A7"/>
    <w:rsid w:val="000407DB"/>
    <w:rsid w:val="00040F5E"/>
    <w:rsid w:val="00041CF6"/>
    <w:rsid w:val="000428A4"/>
    <w:rsid w:val="00043545"/>
    <w:rsid w:val="00045DDF"/>
    <w:rsid w:val="00046E36"/>
    <w:rsid w:val="00051F93"/>
    <w:rsid w:val="00052B49"/>
    <w:rsid w:val="000547D1"/>
    <w:rsid w:val="000558F4"/>
    <w:rsid w:val="0005673F"/>
    <w:rsid w:val="000577D6"/>
    <w:rsid w:val="000604B7"/>
    <w:rsid w:val="00065514"/>
    <w:rsid w:val="0006784C"/>
    <w:rsid w:val="00067AEA"/>
    <w:rsid w:val="00067FF5"/>
    <w:rsid w:val="000700D1"/>
    <w:rsid w:val="00070750"/>
    <w:rsid w:val="00070FF0"/>
    <w:rsid w:val="00071062"/>
    <w:rsid w:val="000713EC"/>
    <w:rsid w:val="000730E1"/>
    <w:rsid w:val="00073D8D"/>
    <w:rsid w:val="00074392"/>
    <w:rsid w:val="00074D05"/>
    <w:rsid w:val="000754F7"/>
    <w:rsid w:val="00075FE3"/>
    <w:rsid w:val="00076275"/>
    <w:rsid w:val="000766D3"/>
    <w:rsid w:val="00081E77"/>
    <w:rsid w:val="00082F7F"/>
    <w:rsid w:val="000858DD"/>
    <w:rsid w:val="00086450"/>
    <w:rsid w:val="00093111"/>
    <w:rsid w:val="00094B9B"/>
    <w:rsid w:val="000950B2"/>
    <w:rsid w:val="000A0BF2"/>
    <w:rsid w:val="000A12B5"/>
    <w:rsid w:val="000A3E89"/>
    <w:rsid w:val="000A6643"/>
    <w:rsid w:val="000A7517"/>
    <w:rsid w:val="000B1786"/>
    <w:rsid w:val="000B3E61"/>
    <w:rsid w:val="000B6FBC"/>
    <w:rsid w:val="000C2B5E"/>
    <w:rsid w:val="000C366B"/>
    <w:rsid w:val="000C3CDF"/>
    <w:rsid w:val="000C48BD"/>
    <w:rsid w:val="000C4C76"/>
    <w:rsid w:val="000C509C"/>
    <w:rsid w:val="000D18A8"/>
    <w:rsid w:val="000D37FB"/>
    <w:rsid w:val="000D4990"/>
    <w:rsid w:val="000D5557"/>
    <w:rsid w:val="000D5950"/>
    <w:rsid w:val="000D61FC"/>
    <w:rsid w:val="000D7D69"/>
    <w:rsid w:val="000E198E"/>
    <w:rsid w:val="000E1B67"/>
    <w:rsid w:val="000E1DFB"/>
    <w:rsid w:val="000E2D65"/>
    <w:rsid w:val="000E2FAE"/>
    <w:rsid w:val="000E7254"/>
    <w:rsid w:val="000E7B6F"/>
    <w:rsid w:val="000F2CFA"/>
    <w:rsid w:val="000F6B69"/>
    <w:rsid w:val="000F7177"/>
    <w:rsid w:val="0010052C"/>
    <w:rsid w:val="001008EA"/>
    <w:rsid w:val="00102065"/>
    <w:rsid w:val="0010217A"/>
    <w:rsid w:val="0010288A"/>
    <w:rsid w:val="00104077"/>
    <w:rsid w:val="00106447"/>
    <w:rsid w:val="00106607"/>
    <w:rsid w:val="001073DB"/>
    <w:rsid w:val="00107FE3"/>
    <w:rsid w:val="00111355"/>
    <w:rsid w:val="00112ABA"/>
    <w:rsid w:val="00113C4D"/>
    <w:rsid w:val="00114638"/>
    <w:rsid w:val="00115209"/>
    <w:rsid w:val="001161BD"/>
    <w:rsid w:val="00116BDB"/>
    <w:rsid w:val="001171DF"/>
    <w:rsid w:val="0012315D"/>
    <w:rsid w:val="001231F6"/>
    <w:rsid w:val="0012488B"/>
    <w:rsid w:val="00125066"/>
    <w:rsid w:val="001311DA"/>
    <w:rsid w:val="001312E7"/>
    <w:rsid w:val="00131A61"/>
    <w:rsid w:val="001334D3"/>
    <w:rsid w:val="00134E01"/>
    <w:rsid w:val="00140B0D"/>
    <w:rsid w:val="00145BA7"/>
    <w:rsid w:val="00147E35"/>
    <w:rsid w:val="00147F97"/>
    <w:rsid w:val="0015058D"/>
    <w:rsid w:val="00153D87"/>
    <w:rsid w:val="00154A5C"/>
    <w:rsid w:val="00163944"/>
    <w:rsid w:val="0016628E"/>
    <w:rsid w:val="001664BE"/>
    <w:rsid w:val="001671D7"/>
    <w:rsid w:val="00172841"/>
    <w:rsid w:val="00173576"/>
    <w:rsid w:val="00173998"/>
    <w:rsid w:val="001739D6"/>
    <w:rsid w:val="001767B3"/>
    <w:rsid w:val="00176E2E"/>
    <w:rsid w:val="001808E5"/>
    <w:rsid w:val="00181491"/>
    <w:rsid w:val="00181517"/>
    <w:rsid w:val="001816B4"/>
    <w:rsid w:val="00182B04"/>
    <w:rsid w:val="0018585F"/>
    <w:rsid w:val="00186C67"/>
    <w:rsid w:val="00187BE2"/>
    <w:rsid w:val="00187CC5"/>
    <w:rsid w:val="001900C9"/>
    <w:rsid w:val="001946F7"/>
    <w:rsid w:val="0019621D"/>
    <w:rsid w:val="0019693E"/>
    <w:rsid w:val="001A0877"/>
    <w:rsid w:val="001A2A87"/>
    <w:rsid w:val="001A63E5"/>
    <w:rsid w:val="001A67DA"/>
    <w:rsid w:val="001A6B56"/>
    <w:rsid w:val="001B50BB"/>
    <w:rsid w:val="001B5ED6"/>
    <w:rsid w:val="001B6C6C"/>
    <w:rsid w:val="001B6CE0"/>
    <w:rsid w:val="001C2816"/>
    <w:rsid w:val="001C299F"/>
    <w:rsid w:val="001C5799"/>
    <w:rsid w:val="001D1189"/>
    <w:rsid w:val="001D2317"/>
    <w:rsid w:val="001D2830"/>
    <w:rsid w:val="001D2906"/>
    <w:rsid w:val="001D3DF8"/>
    <w:rsid w:val="001D5959"/>
    <w:rsid w:val="001D72F7"/>
    <w:rsid w:val="001E0459"/>
    <w:rsid w:val="001E05FB"/>
    <w:rsid w:val="001E4119"/>
    <w:rsid w:val="001E7979"/>
    <w:rsid w:val="001F4A40"/>
    <w:rsid w:val="001F4AD8"/>
    <w:rsid w:val="001F4B57"/>
    <w:rsid w:val="001F5B89"/>
    <w:rsid w:val="001F69DE"/>
    <w:rsid w:val="00202847"/>
    <w:rsid w:val="0020442D"/>
    <w:rsid w:val="002110E9"/>
    <w:rsid w:val="0021290D"/>
    <w:rsid w:val="00215DD2"/>
    <w:rsid w:val="00222034"/>
    <w:rsid w:val="00223408"/>
    <w:rsid w:val="002256D5"/>
    <w:rsid w:val="0022727B"/>
    <w:rsid w:val="00232AA9"/>
    <w:rsid w:val="00232DBD"/>
    <w:rsid w:val="00232E98"/>
    <w:rsid w:val="00234E30"/>
    <w:rsid w:val="0023629D"/>
    <w:rsid w:val="002365DF"/>
    <w:rsid w:val="00237A9E"/>
    <w:rsid w:val="00237B8F"/>
    <w:rsid w:val="00243AFA"/>
    <w:rsid w:val="0024643A"/>
    <w:rsid w:val="0024690A"/>
    <w:rsid w:val="00246BC4"/>
    <w:rsid w:val="00253C16"/>
    <w:rsid w:val="00253FE2"/>
    <w:rsid w:val="0025466E"/>
    <w:rsid w:val="00255588"/>
    <w:rsid w:val="00255D3F"/>
    <w:rsid w:val="002610EC"/>
    <w:rsid w:val="0026206E"/>
    <w:rsid w:val="002620CA"/>
    <w:rsid w:val="00262758"/>
    <w:rsid w:val="002659E9"/>
    <w:rsid w:val="00265BC8"/>
    <w:rsid w:val="00270812"/>
    <w:rsid w:val="00270AC2"/>
    <w:rsid w:val="00270DB9"/>
    <w:rsid w:val="00270FE7"/>
    <w:rsid w:val="002718C7"/>
    <w:rsid w:val="00274D09"/>
    <w:rsid w:val="002756D1"/>
    <w:rsid w:val="00276541"/>
    <w:rsid w:val="00276E06"/>
    <w:rsid w:val="002774E9"/>
    <w:rsid w:val="00277CA7"/>
    <w:rsid w:val="002811FB"/>
    <w:rsid w:val="00281294"/>
    <w:rsid w:val="0028175D"/>
    <w:rsid w:val="002828CD"/>
    <w:rsid w:val="0028388F"/>
    <w:rsid w:val="002845BC"/>
    <w:rsid w:val="00284D8A"/>
    <w:rsid w:val="00285979"/>
    <w:rsid w:val="0029037E"/>
    <w:rsid w:val="00290E8D"/>
    <w:rsid w:val="002923C3"/>
    <w:rsid w:val="002947A1"/>
    <w:rsid w:val="0029509B"/>
    <w:rsid w:val="0029614D"/>
    <w:rsid w:val="00296BB8"/>
    <w:rsid w:val="002970E3"/>
    <w:rsid w:val="002A0C55"/>
    <w:rsid w:val="002A1351"/>
    <w:rsid w:val="002A36A1"/>
    <w:rsid w:val="002A433D"/>
    <w:rsid w:val="002A5BFD"/>
    <w:rsid w:val="002A624E"/>
    <w:rsid w:val="002A655A"/>
    <w:rsid w:val="002A6D9E"/>
    <w:rsid w:val="002B0797"/>
    <w:rsid w:val="002B1970"/>
    <w:rsid w:val="002B628B"/>
    <w:rsid w:val="002B63EF"/>
    <w:rsid w:val="002C0ADF"/>
    <w:rsid w:val="002C11D0"/>
    <w:rsid w:val="002C1615"/>
    <w:rsid w:val="002C1EE3"/>
    <w:rsid w:val="002C2543"/>
    <w:rsid w:val="002C4586"/>
    <w:rsid w:val="002C791F"/>
    <w:rsid w:val="002C7A8D"/>
    <w:rsid w:val="002D7C04"/>
    <w:rsid w:val="002E074F"/>
    <w:rsid w:val="002E2002"/>
    <w:rsid w:val="002E243B"/>
    <w:rsid w:val="002E2F30"/>
    <w:rsid w:val="002E4E7F"/>
    <w:rsid w:val="002E7ACA"/>
    <w:rsid w:val="002F2D0B"/>
    <w:rsid w:val="002F59F3"/>
    <w:rsid w:val="002F6AC6"/>
    <w:rsid w:val="002F73FF"/>
    <w:rsid w:val="00300D3C"/>
    <w:rsid w:val="003036BA"/>
    <w:rsid w:val="003037D6"/>
    <w:rsid w:val="00303DE8"/>
    <w:rsid w:val="003041FA"/>
    <w:rsid w:val="00312661"/>
    <w:rsid w:val="00313014"/>
    <w:rsid w:val="0031385F"/>
    <w:rsid w:val="00314D11"/>
    <w:rsid w:val="00316092"/>
    <w:rsid w:val="00324125"/>
    <w:rsid w:val="00324559"/>
    <w:rsid w:val="00324C64"/>
    <w:rsid w:val="0032650C"/>
    <w:rsid w:val="003270ED"/>
    <w:rsid w:val="00327E37"/>
    <w:rsid w:val="00330B21"/>
    <w:rsid w:val="00330E57"/>
    <w:rsid w:val="00331708"/>
    <w:rsid w:val="0033198B"/>
    <w:rsid w:val="00332001"/>
    <w:rsid w:val="00332788"/>
    <w:rsid w:val="00333E31"/>
    <w:rsid w:val="003343B9"/>
    <w:rsid w:val="00335EC5"/>
    <w:rsid w:val="003423AA"/>
    <w:rsid w:val="00344F17"/>
    <w:rsid w:val="00351B78"/>
    <w:rsid w:val="003550AC"/>
    <w:rsid w:val="00355229"/>
    <w:rsid w:val="003570FD"/>
    <w:rsid w:val="00357E06"/>
    <w:rsid w:val="00360C7B"/>
    <w:rsid w:val="00361127"/>
    <w:rsid w:val="00361978"/>
    <w:rsid w:val="00362B22"/>
    <w:rsid w:val="00367157"/>
    <w:rsid w:val="00371E74"/>
    <w:rsid w:val="0037392B"/>
    <w:rsid w:val="00373A11"/>
    <w:rsid w:val="00374164"/>
    <w:rsid w:val="00374E22"/>
    <w:rsid w:val="003809A9"/>
    <w:rsid w:val="00380F0F"/>
    <w:rsid w:val="003843F1"/>
    <w:rsid w:val="00386974"/>
    <w:rsid w:val="00386E34"/>
    <w:rsid w:val="0039120A"/>
    <w:rsid w:val="00391798"/>
    <w:rsid w:val="00391D45"/>
    <w:rsid w:val="00392924"/>
    <w:rsid w:val="00394BE6"/>
    <w:rsid w:val="00395BB3"/>
    <w:rsid w:val="003A2D4B"/>
    <w:rsid w:val="003A469B"/>
    <w:rsid w:val="003A55D3"/>
    <w:rsid w:val="003A76C9"/>
    <w:rsid w:val="003A784D"/>
    <w:rsid w:val="003B2483"/>
    <w:rsid w:val="003C0072"/>
    <w:rsid w:val="003C102E"/>
    <w:rsid w:val="003C1401"/>
    <w:rsid w:val="003C1B3E"/>
    <w:rsid w:val="003C1D7F"/>
    <w:rsid w:val="003C3769"/>
    <w:rsid w:val="003C5EAF"/>
    <w:rsid w:val="003D25DB"/>
    <w:rsid w:val="003D2F50"/>
    <w:rsid w:val="003D3889"/>
    <w:rsid w:val="003D6934"/>
    <w:rsid w:val="003E01F7"/>
    <w:rsid w:val="003E249A"/>
    <w:rsid w:val="003E3FAE"/>
    <w:rsid w:val="003F1604"/>
    <w:rsid w:val="003F24E5"/>
    <w:rsid w:val="003F2BAD"/>
    <w:rsid w:val="003F3838"/>
    <w:rsid w:val="003F7026"/>
    <w:rsid w:val="003F70CF"/>
    <w:rsid w:val="00400375"/>
    <w:rsid w:val="004005E6"/>
    <w:rsid w:val="004040F6"/>
    <w:rsid w:val="00404A84"/>
    <w:rsid w:val="00404E83"/>
    <w:rsid w:val="00405599"/>
    <w:rsid w:val="004059BA"/>
    <w:rsid w:val="00406FC5"/>
    <w:rsid w:val="00407786"/>
    <w:rsid w:val="00411157"/>
    <w:rsid w:val="00411D32"/>
    <w:rsid w:val="00415A90"/>
    <w:rsid w:val="004225FB"/>
    <w:rsid w:val="004232AE"/>
    <w:rsid w:val="004235C1"/>
    <w:rsid w:val="00424153"/>
    <w:rsid w:val="00427502"/>
    <w:rsid w:val="004314B3"/>
    <w:rsid w:val="00431BD2"/>
    <w:rsid w:val="0043796F"/>
    <w:rsid w:val="0044336B"/>
    <w:rsid w:val="004462EA"/>
    <w:rsid w:val="004601FF"/>
    <w:rsid w:val="004624F7"/>
    <w:rsid w:val="004637C1"/>
    <w:rsid w:val="00465496"/>
    <w:rsid w:val="00465ED0"/>
    <w:rsid w:val="00467450"/>
    <w:rsid w:val="00470C9A"/>
    <w:rsid w:val="004716CE"/>
    <w:rsid w:val="004749EE"/>
    <w:rsid w:val="00475C81"/>
    <w:rsid w:val="00476F8E"/>
    <w:rsid w:val="0047776B"/>
    <w:rsid w:val="004800ED"/>
    <w:rsid w:val="00481357"/>
    <w:rsid w:val="0048447E"/>
    <w:rsid w:val="004877F2"/>
    <w:rsid w:val="004912A2"/>
    <w:rsid w:val="00491C28"/>
    <w:rsid w:val="00493B11"/>
    <w:rsid w:val="0049526E"/>
    <w:rsid w:val="004979AD"/>
    <w:rsid w:val="004A19B5"/>
    <w:rsid w:val="004A5627"/>
    <w:rsid w:val="004A6577"/>
    <w:rsid w:val="004A6D0E"/>
    <w:rsid w:val="004A78A7"/>
    <w:rsid w:val="004B1AF8"/>
    <w:rsid w:val="004B36D3"/>
    <w:rsid w:val="004B4153"/>
    <w:rsid w:val="004B41EC"/>
    <w:rsid w:val="004B5A11"/>
    <w:rsid w:val="004B768E"/>
    <w:rsid w:val="004C188F"/>
    <w:rsid w:val="004C1907"/>
    <w:rsid w:val="004C1AA0"/>
    <w:rsid w:val="004C204C"/>
    <w:rsid w:val="004C42FD"/>
    <w:rsid w:val="004C4C80"/>
    <w:rsid w:val="004C5EF6"/>
    <w:rsid w:val="004D097C"/>
    <w:rsid w:val="004D0D8C"/>
    <w:rsid w:val="004D133C"/>
    <w:rsid w:val="004D27A9"/>
    <w:rsid w:val="004D2F1C"/>
    <w:rsid w:val="004D4A04"/>
    <w:rsid w:val="004E0779"/>
    <w:rsid w:val="004E16FD"/>
    <w:rsid w:val="004E4CFC"/>
    <w:rsid w:val="004E5404"/>
    <w:rsid w:val="004E75DC"/>
    <w:rsid w:val="004F0925"/>
    <w:rsid w:val="004F4D3E"/>
    <w:rsid w:val="004F6E97"/>
    <w:rsid w:val="004F6FC8"/>
    <w:rsid w:val="0050259C"/>
    <w:rsid w:val="0050299E"/>
    <w:rsid w:val="005030A0"/>
    <w:rsid w:val="00503103"/>
    <w:rsid w:val="00503590"/>
    <w:rsid w:val="00504F94"/>
    <w:rsid w:val="00505F26"/>
    <w:rsid w:val="005064B2"/>
    <w:rsid w:val="005109D8"/>
    <w:rsid w:val="0051157E"/>
    <w:rsid w:val="00512498"/>
    <w:rsid w:val="00513949"/>
    <w:rsid w:val="00514545"/>
    <w:rsid w:val="00516AC6"/>
    <w:rsid w:val="00517928"/>
    <w:rsid w:val="00522CC6"/>
    <w:rsid w:val="005303A4"/>
    <w:rsid w:val="00531450"/>
    <w:rsid w:val="005319E7"/>
    <w:rsid w:val="00540162"/>
    <w:rsid w:val="0054230C"/>
    <w:rsid w:val="0054230D"/>
    <w:rsid w:val="00544916"/>
    <w:rsid w:val="00551EB8"/>
    <w:rsid w:val="00554375"/>
    <w:rsid w:val="00560D41"/>
    <w:rsid w:val="00561605"/>
    <w:rsid w:val="005622C5"/>
    <w:rsid w:val="005668BE"/>
    <w:rsid w:val="00567D96"/>
    <w:rsid w:val="00573D42"/>
    <w:rsid w:val="00573F98"/>
    <w:rsid w:val="00576F65"/>
    <w:rsid w:val="00577C1C"/>
    <w:rsid w:val="005819AC"/>
    <w:rsid w:val="00581F2D"/>
    <w:rsid w:val="005821D0"/>
    <w:rsid w:val="00583944"/>
    <w:rsid w:val="00583D92"/>
    <w:rsid w:val="0058483E"/>
    <w:rsid w:val="00584E15"/>
    <w:rsid w:val="00593794"/>
    <w:rsid w:val="0059470E"/>
    <w:rsid w:val="0059488D"/>
    <w:rsid w:val="0059496D"/>
    <w:rsid w:val="00594FA4"/>
    <w:rsid w:val="005950E9"/>
    <w:rsid w:val="005955FF"/>
    <w:rsid w:val="00595BE9"/>
    <w:rsid w:val="0059622B"/>
    <w:rsid w:val="005964F7"/>
    <w:rsid w:val="005979EE"/>
    <w:rsid w:val="005A4BBC"/>
    <w:rsid w:val="005B06F8"/>
    <w:rsid w:val="005B2085"/>
    <w:rsid w:val="005B25E7"/>
    <w:rsid w:val="005B2DDD"/>
    <w:rsid w:val="005B3DA1"/>
    <w:rsid w:val="005B423D"/>
    <w:rsid w:val="005B459F"/>
    <w:rsid w:val="005B557B"/>
    <w:rsid w:val="005B647F"/>
    <w:rsid w:val="005B65ED"/>
    <w:rsid w:val="005B7E7C"/>
    <w:rsid w:val="005B7F39"/>
    <w:rsid w:val="005C0FB7"/>
    <w:rsid w:val="005C377F"/>
    <w:rsid w:val="005C412B"/>
    <w:rsid w:val="005C5642"/>
    <w:rsid w:val="005C56F5"/>
    <w:rsid w:val="005C6DBB"/>
    <w:rsid w:val="005C7A76"/>
    <w:rsid w:val="005C7CDA"/>
    <w:rsid w:val="005D2020"/>
    <w:rsid w:val="005D2426"/>
    <w:rsid w:val="005D4401"/>
    <w:rsid w:val="005D44AF"/>
    <w:rsid w:val="005D54DE"/>
    <w:rsid w:val="005D5F48"/>
    <w:rsid w:val="005D708F"/>
    <w:rsid w:val="005E089E"/>
    <w:rsid w:val="005E2BFD"/>
    <w:rsid w:val="005E32A2"/>
    <w:rsid w:val="005E33DE"/>
    <w:rsid w:val="005E3BC1"/>
    <w:rsid w:val="005E3DED"/>
    <w:rsid w:val="005E3FD6"/>
    <w:rsid w:val="005E5733"/>
    <w:rsid w:val="005E6177"/>
    <w:rsid w:val="005E6361"/>
    <w:rsid w:val="005E7D7A"/>
    <w:rsid w:val="005E7E56"/>
    <w:rsid w:val="005F3D9C"/>
    <w:rsid w:val="005F5F92"/>
    <w:rsid w:val="005F705C"/>
    <w:rsid w:val="005F7EFA"/>
    <w:rsid w:val="006002B2"/>
    <w:rsid w:val="006025FF"/>
    <w:rsid w:val="00603573"/>
    <w:rsid w:val="00604608"/>
    <w:rsid w:val="00610EC9"/>
    <w:rsid w:val="006132E6"/>
    <w:rsid w:val="00614340"/>
    <w:rsid w:val="00615BC6"/>
    <w:rsid w:val="00616BC2"/>
    <w:rsid w:val="00617D38"/>
    <w:rsid w:val="0062368C"/>
    <w:rsid w:val="0062389B"/>
    <w:rsid w:val="006242E9"/>
    <w:rsid w:val="00624D3C"/>
    <w:rsid w:val="006266B2"/>
    <w:rsid w:val="0062684E"/>
    <w:rsid w:val="00626BBA"/>
    <w:rsid w:val="00632C45"/>
    <w:rsid w:val="006352ED"/>
    <w:rsid w:val="00635D42"/>
    <w:rsid w:val="00644C3B"/>
    <w:rsid w:val="00645935"/>
    <w:rsid w:val="00647AF3"/>
    <w:rsid w:val="00647DA9"/>
    <w:rsid w:val="00650DD8"/>
    <w:rsid w:val="00651894"/>
    <w:rsid w:val="00651CBC"/>
    <w:rsid w:val="006562E7"/>
    <w:rsid w:val="00657F7B"/>
    <w:rsid w:val="0066083C"/>
    <w:rsid w:val="0066237C"/>
    <w:rsid w:val="00662E62"/>
    <w:rsid w:val="006641BE"/>
    <w:rsid w:val="00664237"/>
    <w:rsid w:val="006656E8"/>
    <w:rsid w:val="00670842"/>
    <w:rsid w:val="006708BA"/>
    <w:rsid w:val="006716E6"/>
    <w:rsid w:val="0067695E"/>
    <w:rsid w:val="00677F50"/>
    <w:rsid w:val="00677F5E"/>
    <w:rsid w:val="00681B67"/>
    <w:rsid w:val="0068291B"/>
    <w:rsid w:val="00684B4F"/>
    <w:rsid w:val="0068542C"/>
    <w:rsid w:val="00685688"/>
    <w:rsid w:val="006937A8"/>
    <w:rsid w:val="00696104"/>
    <w:rsid w:val="00696956"/>
    <w:rsid w:val="00696AAA"/>
    <w:rsid w:val="00697DE0"/>
    <w:rsid w:val="006A17F9"/>
    <w:rsid w:val="006A40E2"/>
    <w:rsid w:val="006B0D31"/>
    <w:rsid w:val="006B61C6"/>
    <w:rsid w:val="006B6A94"/>
    <w:rsid w:val="006C19FF"/>
    <w:rsid w:val="006C2512"/>
    <w:rsid w:val="006C35C5"/>
    <w:rsid w:val="006C46CC"/>
    <w:rsid w:val="006C4F1E"/>
    <w:rsid w:val="006C6B5F"/>
    <w:rsid w:val="006C763C"/>
    <w:rsid w:val="006D004F"/>
    <w:rsid w:val="006D437B"/>
    <w:rsid w:val="006D4F10"/>
    <w:rsid w:val="006D594D"/>
    <w:rsid w:val="006E1983"/>
    <w:rsid w:val="006E332B"/>
    <w:rsid w:val="006E503C"/>
    <w:rsid w:val="006E707D"/>
    <w:rsid w:val="006F0732"/>
    <w:rsid w:val="006F0D47"/>
    <w:rsid w:val="006F1B3F"/>
    <w:rsid w:val="006F3BA4"/>
    <w:rsid w:val="006F53A9"/>
    <w:rsid w:val="006F6842"/>
    <w:rsid w:val="0070128F"/>
    <w:rsid w:val="00704389"/>
    <w:rsid w:val="00705524"/>
    <w:rsid w:val="00706A4F"/>
    <w:rsid w:val="0071346B"/>
    <w:rsid w:val="007212DB"/>
    <w:rsid w:val="00722AFC"/>
    <w:rsid w:val="00724655"/>
    <w:rsid w:val="00725365"/>
    <w:rsid w:val="00727CB2"/>
    <w:rsid w:val="00736F4A"/>
    <w:rsid w:val="00740669"/>
    <w:rsid w:val="00742733"/>
    <w:rsid w:val="007459B6"/>
    <w:rsid w:val="007461C8"/>
    <w:rsid w:val="0074701F"/>
    <w:rsid w:val="00747455"/>
    <w:rsid w:val="00750093"/>
    <w:rsid w:val="0075106B"/>
    <w:rsid w:val="0075199F"/>
    <w:rsid w:val="00755C52"/>
    <w:rsid w:val="00755EA5"/>
    <w:rsid w:val="0075656E"/>
    <w:rsid w:val="007573A4"/>
    <w:rsid w:val="00760E34"/>
    <w:rsid w:val="00760F35"/>
    <w:rsid w:val="00761071"/>
    <w:rsid w:val="007623C0"/>
    <w:rsid w:val="007640BE"/>
    <w:rsid w:val="007717CA"/>
    <w:rsid w:val="00773DCE"/>
    <w:rsid w:val="00775132"/>
    <w:rsid w:val="00776454"/>
    <w:rsid w:val="0077669A"/>
    <w:rsid w:val="00776BAA"/>
    <w:rsid w:val="007800D1"/>
    <w:rsid w:val="00780C0B"/>
    <w:rsid w:val="00780D31"/>
    <w:rsid w:val="00781C26"/>
    <w:rsid w:val="007822B0"/>
    <w:rsid w:val="00784EA6"/>
    <w:rsid w:val="0079290F"/>
    <w:rsid w:val="00795820"/>
    <w:rsid w:val="007A03F8"/>
    <w:rsid w:val="007A0BA5"/>
    <w:rsid w:val="007A1987"/>
    <w:rsid w:val="007A2CD1"/>
    <w:rsid w:val="007A3123"/>
    <w:rsid w:val="007A35C1"/>
    <w:rsid w:val="007A4B4B"/>
    <w:rsid w:val="007A4B76"/>
    <w:rsid w:val="007A4E23"/>
    <w:rsid w:val="007A5097"/>
    <w:rsid w:val="007A5EB5"/>
    <w:rsid w:val="007B1630"/>
    <w:rsid w:val="007B211E"/>
    <w:rsid w:val="007B2827"/>
    <w:rsid w:val="007B3272"/>
    <w:rsid w:val="007B4014"/>
    <w:rsid w:val="007B4095"/>
    <w:rsid w:val="007B4835"/>
    <w:rsid w:val="007B664F"/>
    <w:rsid w:val="007B788E"/>
    <w:rsid w:val="007B7E28"/>
    <w:rsid w:val="007B7F66"/>
    <w:rsid w:val="007C06F6"/>
    <w:rsid w:val="007C5C5E"/>
    <w:rsid w:val="007D07C3"/>
    <w:rsid w:val="007D2246"/>
    <w:rsid w:val="007D3D9A"/>
    <w:rsid w:val="007D4B78"/>
    <w:rsid w:val="007E1A30"/>
    <w:rsid w:val="007E3B7B"/>
    <w:rsid w:val="007F2199"/>
    <w:rsid w:val="007F418F"/>
    <w:rsid w:val="007F69E7"/>
    <w:rsid w:val="008005BD"/>
    <w:rsid w:val="00802BDE"/>
    <w:rsid w:val="00804516"/>
    <w:rsid w:val="00812A13"/>
    <w:rsid w:val="00816544"/>
    <w:rsid w:val="00817BF1"/>
    <w:rsid w:val="00820DAB"/>
    <w:rsid w:val="00820E6F"/>
    <w:rsid w:val="00826931"/>
    <w:rsid w:val="00827093"/>
    <w:rsid w:val="00830D1B"/>
    <w:rsid w:val="00831AF5"/>
    <w:rsid w:val="008363A1"/>
    <w:rsid w:val="00840D75"/>
    <w:rsid w:val="00841470"/>
    <w:rsid w:val="008426AD"/>
    <w:rsid w:val="0085160E"/>
    <w:rsid w:val="00852812"/>
    <w:rsid w:val="00855D02"/>
    <w:rsid w:val="00862F03"/>
    <w:rsid w:val="00864194"/>
    <w:rsid w:val="008641CC"/>
    <w:rsid w:val="00864960"/>
    <w:rsid w:val="00874BE6"/>
    <w:rsid w:val="008753EA"/>
    <w:rsid w:val="00883A27"/>
    <w:rsid w:val="0088575E"/>
    <w:rsid w:val="0088671F"/>
    <w:rsid w:val="00890E95"/>
    <w:rsid w:val="0089412F"/>
    <w:rsid w:val="008A02CE"/>
    <w:rsid w:val="008A1C14"/>
    <w:rsid w:val="008A6799"/>
    <w:rsid w:val="008B0521"/>
    <w:rsid w:val="008B1F23"/>
    <w:rsid w:val="008B3CCC"/>
    <w:rsid w:val="008B4DE5"/>
    <w:rsid w:val="008C15DD"/>
    <w:rsid w:val="008C639D"/>
    <w:rsid w:val="008C7815"/>
    <w:rsid w:val="008D0014"/>
    <w:rsid w:val="008D14FA"/>
    <w:rsid w:val="008D354C"/>
    <w:rsid w:val="008D4B89"/>
    <w:rsid w:val="008D5567"/>
    <w:rsid w:val="008D65CF"/>
    <w:rsid w:val="008D74AE"/>
    <w:rsid w:val="008D74DD"/>
    <w:rsid w:val="008E2DBD"/>
    <w:rsid w:val="008E3312"/>
    <w:rsid w:val="008E3EE6"/>
    <w:rsid w:val="008E4034"/>
    <w:rsid w:val="008E4CC6"/>
    <w:rsid w:val="008E7329"/>
    <w:rsid w:val="008E7D12"/>
    <w:rsid w:val="008F099D"/>
    <w:rsid w:val="008F0E3F"/>
    <w:rsid w:val="008F0FCD"/>
    <w:rsid w:val="008F3D39"/>
    <w:rsid w:val="008F3F22"/>
    <w:rsid w:val="008F44A8"/>
    <w:rsid w:val="008F451B"/>
    <w:rsid w:val="008F4DA9"/>
    <w:rsid w:val="008F5376"/>
    <w:rsid w:val="008F5666"/>
    <w:rsid w:val="008F577C"/>
    <w:rsid w:val="008F66AA"/>
    <w:rsid w:val="00901E92"/>
    <w:rsid w:val="00903B07"/>
    <w:rsid w:val="00904833"/>
    <w:rsid w:val="00906324"/>
    <w:rsid w:val="009067A3"/>
    <w:rsid w:val="0091088D"/>
    <w:rsid w:val="009115BB"/>
    <w:rsid w:val="00912B23"/>
    <w:rsid w:val="0091330A"/>
    <w:rsid w:val="009134A1"/>
    <w:rsid w:val="009134FC"/>
    <w:rsid w:val="00913DEA"/>
    <w:rsid w:val="00913F8E"/>
    <w:rsid w:val="009142AB"/>
    <w:rsid w:val="00915F4C"/>
    <w:rsid w:val="00916D59"/>
    <w:rsid w:val="00917485"/>
    <w:rsid w:val="00922598"/>
    <w:rsid w:val="0093745E"/>
    <w:rsid w:val="00940FD6"/>
    <w:rsid w:val="00944495"/>
    <w:rsid w:val="00946250"/>
    <w:rsid w:val="0094783A"/>
    <w:rsid w:val="0094798A"/>
    <w:rsid w:val="009508E8"/>
    <w:rsid w:val="00951284"/>
    <w:rsid w:val="00953165"/>
    <w:rsid w:val="0095390A"/>
    <w:rsid w:val="00954562"/>
    <w:rsid w:val="00956076"/>
    <w:rsid w:val="009605D1"/>
    <w:rsid w:val="00961DED"/>
    <w:rsid w:val="009639C0"/>
    <w:rsid w:val="0096580A"/>
    <w:rsid w:val="00966DB0"/>
    <w:rsid w:val="00967075"/>
    <w:rsid w:val="00970270"/>
    <w:rsid w:val="0097212F"/>
    <w:rsid w:val="00973C24"/>
    <w:rsid w:val="00975B81"/>
    <w:rsid w:val="00976CFE"/>
    <w:rsid w:val="00977000"/>
    <w:rsid w:val="00977C16"/>
    <w:rsid w:val="00980932"/>
    <w:rsid w:val="00980C96"/>
    <w:rsid w:val="0098187F"/>
    <w:rsid w:val="00982F5F"/>
    <w:rsid w:val="00984736"/>
    <w:rsid w:val="009851A0"/>
    <w:rsid w:val="00986673"/>
    <w:rsid w:val="00986B33"/>
    <w:rsid w:val="00987AD5"/>
    <w:rsid w:val="0099087A"/>
    <w:rsid w:val="00990CE3"/>
    <w:rsid w:val="009916D9"/>
    <w:rsid w:val="009936C6"/>
    <w:rsid w:val="0099561A"/>
    <w:rsid w:val="00996A1D"/>
    <w:rsid w:val="00996F6B"/>
    <w:rsid w:val="0099796E"/>
    <w:rsid w:val="009A18DE"/>
    <w:rsid w:val="009A3E8B"/>
    <w:rsid w:val="009A6685"/>
    <w:rsid w:val="009B0BCA"/>
    <w:rsid w:val="009B11BB"/>
    <w:rsid w:val="009B2E07"/>
    <w:rsid w:val="009B3F4A"/>
    <w:rsid w:val="009B52EF"/>
    <w:rsid w:val="009B7138"/>
    <w:rsid w:val="009B78B2"/>
    <w:rsid w:val="009B7E2A"/>
    <w:rsid w:val="009C589F"/>
    <w:rsid w:val="009C58B0"/>
    <w:rsid w:val="009C5A24"/>
    <w:rsid w:val="009C6250"/>
    <w:rsid w:val="009C76D7"/>
    <w:rsid w:val="009C7D31"/>
    <w:rsid w:val="009D1CF5"/>
    <w:rsid w:val="009D1DAB"/>
    <w:rsid w:val="009D31ED"/>
    <w:rsid w:val="009D3399"/>
    <w:rsid w:val="009D516F"/>
    <w:rsid w:val="009D63BE"/>
    <w:rsid w:val="009D7AC0"/>
    <w:rsid w:val="009E144F"/>
    <w:rsid w:val="009E23B6"/>
    <w:rsid w:val="009E4134"/>
    <w:rsid w:val="009E4A82"/>
    <w:rsid w:val="009E7275"/>
    <w:rsid w:val="00A0054C"/>
    <w:rsid w:val="00A00BBC"/>
    <w:rsid w:val="00A017F2"/>
    <w:rsid w:val="00A02396"/>
    <w:rsid w:val="00A030AB"/>
    <w:rsid w:val="00A04476"/>
    <w:rsid w:val="00A06C56"/>
    <w:rsid w:val="00A10526"/>
    <w:rsid w:val="00A11EBF"/>
    <w:rsid w:val="00A1304F"/>
    <w:rsid w:val="00A16F26"/>
    <w:rsid w:val="00A17071"/>
    <w:rsid w:val="00A17F06"/>
    <w:rsid w:val="00A23280"/>
    <w:rsid w:val="00A23475"/>
    <w:rsid w:val="00A261D3"/>
    <w:rsid w:val="00A26285"/>
    <w:rsid w:val="00A3032E"/>
    <w:rsid w:val="00A319C5"/>
    <w:rsid w:val="00A31A61"/>
    <w:rsid w:val="00A31CDC"/>
    <w:rsid w:val="00A33A85"/>
    <w:rsid w:val="00A33FE9"/>
    <w:rsid w:val="00A36CA3"/>
    <w:rsid w:val="00A36EF4"/>
    <w:rsid w:val="00A37685"/>
    <w:rsid w:val="00A378A0"/>
    <w:rsid w:val="00A405D9"/>
    <w:rsid w:val="00A407DD"/>
    <w:rsid w:val="00A40CEA"/>
    <w:rsid w:val="00A41BD5"/>
    <w:rsid w:val="00A42AC1"/>
    <w:rsid w:val="00A43A3C"/>
    <w:rsid w:val="00A4508F"/>
    <w:rsid w:val="00A52F63"/>
    <w:rsid w:val="00A54CBB"/>
    <w:rsid w:val="00A57BBA"/>
    <w:rsid w:val="00A57E6A"/>
    <w:rsid w:val="00A62F25"/>
    <w:rsid w:val="00A64E8E"/>
    <w:rsid w:val="00A6681C"/>
    <w:rsid w:val="00A67C65"/>
    <w:rsid w:val="00A70654"/>
    <w:rsid w:val="00A7168A"/>
    <w:rsid w:val="00A71D10"/>
    <w:rsid w:val="00A72190"/>
    <w:rsid w:val="00A739AC"/>
    <w:rsid w:val="00A7400E"/>
    <w:rsid w:val="00A754B7"/>
    <w:rsid w:val="00A77165"/>
    <w:rsid w:val="00A8133D"/>
    <w:rsid w:val="00A826D9"/>
    <w:rsid w:val="00A841AC"/>
    <w:rsid w:val="00A84285"/>
    <w:rsid w:val="00A856A1"/>
    <w:rsid w:val="00A8684B"/>
    <w:rsid w:val="00A90DB7"/>
    <w:rsid w:val="00A91606"/>
    <w:rsid w:val="00A92CD9"/>
    <w:rsid w:val="00A92DE2"/>
    <w:rsid w:val="00A94786"/>
    <w:rsid w:val="00A950A7"/>
    <w:rsid w:val="00A96A48"/>
    <w:rsid w:val="00A96A9D"/>
    <w:rsid w:val="00A97E1A"/>
    <w:rsid w:val="00AA04B1"/>
    <w:rsid w:val="00AA04F1"/>
    <w:rsid w:val="00AA2A62"/>
    <w:rsid w:val="00AA4211"/>
    <w:rsid w:val="00AA5A02"/>
    <w:rsid w:val="00AA7720"/>
    <w:rsid w:val="00AA79E1"/>
    <w:rsid w:val="00AB2E70"/>
    <w:rsid w:val="00AB3DCC"/>
    <w:rsid w:val="00AB3E4C"/>
    <w:rsid w:val="00AB5DB5"/>
    <w:rsid w:val="00AC0922"/>
    <w:rsid w:val="00AC72FD"/>
    <w:rsid w:val="00AC7E22"/>
    <w:rsid w:val="00AD0EC1"/>
    <w:rsid w:val="00AD338E"/>
    <w:rsid w:val="00AD4568"/>
    <w:rsid w:val="00AE12E0"/>
    <w:rsid w:val="00AE43B9"/>
    <w:rsid w:val="00AE4844"/>
    <w:rsid w:val="00AE6713"/>
    <w:rsid w:val="00AE74F5"/>
    <w:rsid w:val="00AF332B"/>
    <w:rsid w:val="00AF7867"/>
    <w:rsid w:val="00B0149E"/>
    <w:rsid w:val="00B0182F"/>
    <w:rsid w:val="00B0240A"/>
    <w:rsid w:val="00B026AA"/>
    <w:rsid w:val="00B02E75"/>
    <w:rsid w:val="00B02E9E"/>
    <w:rsid w:val="00B04AFF"/>
    <w:rsid w:val="00B06473"/>
    <w:rsid w:val="00B06992"/>
    <w:rsid w:val="00B10C49"/>
    <w:rsid w:val="00B125C4"/>
    <w:rsid w:val="00B12EBD"/>
    <w:rsid w:val="00B1579B"/>
    <w:rsid w:val="00B16F96"/>
    <w:rsid w:val="00B22FF4"/>
    <w:rsid w:val="00B23150"/>
    <w:rsid w:val="00B23FA6"/>
    <w:rsid w:val="00B249A9"/>
    <w:rsid w:val="00B24C2B"/>
    <w:rsid w:val="00B24FBB"/>
    <w:rsid w:val="00B2589F"/>
    <w:rsid w:val="00B31B66"/>
    <w:rsid w:val="00B34802"/>
    <w:rsid w:val="00B34901"/>
    <w:rsid w:val="00B36FD3"/>
    <w:rsid w:val="00B40137"/>
    <w:rsid w:val="00B40FD7"/>
    <w:rsid w:val="00B4103D"/>
    <w:rsid w:val="00B41096"/>
    <w:rsid w:val="00B45339"/>
    <w:rsid w:val="00B46265"/>
    <w:rsid w:val="00B464C6"/>
    <w:rsid w:val="00B47319"/>
    <w:rsid w:val="00B506BF"/>
    <w:rsid w:val="00B5124E"/>
    <w:rsid w:val="00B5382F"/>
    <w:rsid w:val="00B53964"/>
    <w:rsid w:val="00B579C8"/>
    <w:rsid w:val="00B610D0"/>
    <w:rsid w:val="00B640E9"/>
    <w:rsid w:val="00B67CC8"/>
    <w:rsid w:val="00B67ED3"/>
    <w:rsid w:val="00B71935"/>
    <w:rsid w:val="00B71DFF"/>
    <w:rsid w:val="00B72BC6"/>
    <w:rsid w:val="00B736ED"/>
    <w:rsid w:val="00B750EE"/>
    <w:rsid w:val="00B75C2F"/>
    <w:rsid w:val="00B77AE6"/>
    <w:rsid w:val="00B80A02"/>
    <w:rsid w:val="00B81771"/>
    <w:rsid w:val="00B83CA9"/>
    <w:rsid w:val="00B84395"/>
    <w:rsid w:val="00B85BA4"/>
    <w:rsid w:val="00B90E45"/>
    <w:rsid w:val="00B90E4B"/>
    <w:rsid w:val="00B916D0"/>
    <w:rsid w:val="00B93BDA"/>
    <w:rsid w:val="00B94A4C"/>
    <w:rsid w:val="00B94ED1"/>
    <w:rsid w:val="00B95A5E"/>
    <w:rsid w:val="00BA0F66"/>
    <w:rsid w:val="00BA1DAD"/>
    <w:rsid w:val="00BA2737"/>
    <w:rsid w:val="00BA2B9C"/>
    <w:rsid w:val="00BA3777"/>
    <w:rsid w:val="00BA5088"/>
    <w:rsid w:val="00BA5D31"/>
    <w:rsid w:val="00BA611C"/>
    <w:rsid w:val="00BA6EEF"/>
    <w:rsid w:val="00BA76F4"/>
    <w:rsid w:val="00BB2C85"/>
    <w:rsid w:val="00BB5ADF"/>
    <w:rsid w:val="00BB5D1A"/>
    <w:rsid w:val="00BB5E43"/>
    <w:rsid w:val="00BB6602"/>
    <w:rsid w:val="00BC0556"/>
    <w:rsid w:val="00BC1393"/>
    <w:rsid w:val="00BC1977"/>
    <w:rsid w:val="00BC1E12"/>
    <w:rsid w:val="00BC3345"/>
    <w:rsid w:val="00BC5087"/>
    <w:rsid w:val="00BC74F9"/>
    <w:rsid w:val="00BD3525"/>
    <w:rsid w:val="00BD442A"/>
    <w:rsid w:val="00BD730C"/>
    <w:rsid w:val="00BD768D"/>
    <w:rsid w:val="00BD78D8"/>
    <w:rsid w:val="00BE04A8"/>
    <w:rsid w:val="00BE246D"/>
    <w:rsid w:val="00BE287C"/>
    <w:rsid w:val="00BE2C55"/>
    <w:rsid w:val="00BE35FF"/>
    <w:rsid w:val="00BE5396"/>
    <w:rsid w:val="00BE5CD3"/>
    <w:rsid w:val="00BE76CC"/>
    <w:rsid w:val="00BE7F7C"/>
    <w:rsid w:val="00BF1386"/>
    <w:rsid w:val="00BF17AA"/>
    <w:rsid w:val="00BF2494"/>
    <w:rsid w:val="00BF3C62"/>
    <w:rsid w:val="00BF5DCA"/>
    <w:rsid w:val="00C004F9"/>
    <w:rsid w:val="00C03F3C"/>
    <w:rsid w:val="00C04590"/>
    <w:rsid w:val="00C059A2"/>
    <w:rsid w:val="00C059C4"/>
    <w:rsid w:val="00C05F43"/>
    <w:rsid w:val="00C06C18"/>
    <w:rsid w:val="00C12DC6"/>
    <w:rsid w:val="00C135F5"/>
    <w:rsid w:val="00C13D49"/>
    <w:rsid w:val="00C13E21"/>
    <w:rsid w:val="00C178FD"/>
    <w:rsid w:val="00C20048"/>
    <w:rsid w:val="00C204A2"/>
    <w:rsid w:val="00C24556"/>
    <w:rsid w:val="00C30DB5"/>
    <w:rsid w:val="00C320A0"/>
    <w:rsid w:val="00C33023"/>
    <w:rsid w:val="00C3347C"/>
    <w:rsid w:val="00C35D3A"/>
    <w:rsid w:val="00C4094A"/>
    <w:rsid w:val="00C42ED1"/>
    <w:rsid w:val="00C52EF2"/>
    <w:rsid w:val="00C53104"/>
    <w:rsid w:val="00C5395A"/>
    <w:rsid w:val="00C603D3"/>
    <w:rsid w:val="00C60650"/>
    <w:rsid w:val="00C60A49"/>
    <w:rsid w:val="00C61705"/>
    <w:rsid w:val="00C61D1F"/>
    <w:rsid w:val="00C667F5"/>
    <w:rsid w:val="00C70ED4"/>
    <w:rsid w:val="00C70FEB"/>
    <w:rsid w:val="00C7170C"/>
    <w:rsid w:val="00C71769"/>
    <w:rsid w:val="00C730C6"/>
    <w:rsid w:val="00C768D9"/>
    <w:rsid w:val="00C80A66"/>
    <w:rsid w:val="00C828D9"/>
    <w:rsid w:val="00C82F5E"/>
    <w:rsid w:val="00C9176A"/>
    <w:rsid w:val="00C93ABB"/>
    <w:rsid w:val="00C95AE9"/>
    <w:rsid w:val="00C96D7B"/>
    <w:rsid w:val="00C97CC3"/>
    <w:rsid w:val="00CA1B58"/>
    <w:rsid w:val="00CA56F1"/>
    <w:rsid w:val="00CA5C81"/>
    <w:rsid w:val="00CB0E8A"/>
    <w:rsid w:val="00CB17D0"/>
    <w:rsid w:val="00CB1FE4"/>
    <w:rsid w:val="00CB66E9"/>
    <w:rsid w:val="00CB6F77"/>
    <w:rsid w:val="00CC0369"/>
    <w:rsid w:val="00CC492D"/>
    <w:rsid w:val="00CD01D4"/>
    <w:rsid w:val="00CD212A"/>
    <w:rsid w:val="00CD4C46"/>
    <w:rsid w:val="00CD4FD5"/>
    <w:rsid w:val="00CD54D6"/>
    <w:rsid w:val="00CD5D9E"/>
    <w:rsid w:val="00CE2FF3"/>
    <w:rsid w:val="00CE482D"/>
    <w:rsid w:val="00CE6888"/>
    <w:rsid w:val="00CE7429"/>
    <w:rsid w:val="00CF1095"/>
    <w:rsid w:val="00CF36A8"/>
    <w:rsid w:val="00D01DBA"/>
    <w:rsid w:val="00D01DEE"/>
    <w:rsid w:val="00D060B6"/>
    <w:rsid w:val="00D10AE3"/>
    <w:rsid w:val="00D1251A"/>
    <w:rsid w:val="00D12FA9"/>
    <w:rsid w:val="00D14782"/>
    <w:rsid w:val="00D14C68"/>
    <w:rsid w:val="00D15E79"/>
    <w:rsid w:val="00D17403"/>
    <w:rsid w:val="00D2435D"/>
    <w:rsid w:val="00D268FF"/>
    <w:rsid w:val="00D26B0E"/>
    <w:rsid w:val="00D27BCC"/>
    <w:rsid w:val="00D309C7"/>
    <w:rsid w:val="00D30B60"/>
    <w:rsid w:val="00D32104"/>
    <w:rsid w:val="00D331F3"/>
    <w:rsid w:val="00D3452A"/>
    <w:rsid w:val="00D37CF3"/>
    <w:rsid w:val="00D40E83"/>
    <w:rsid w:val="00D40FBE"/>
    <w:rsid w:val="00D423EA"/>
    <w:rsid w:val="00D45780"/>
    <w:rsid w:val="00D458D0"/>
    <w:rsid w:val="00D47741"/>
    <w:rsid w:val="00D47FE4"/>
    <w:rsid w:val="00D5057C"/>
    <w:rsid w:val="00D50B14"/>
    <w:rsid w:val="00D515BB"/>
    <w:rsid w:val="00D51FD7"/>
    <w:rsid w:val="00D52F98"/>
    <w:rsid w:val="00D559A2"/>
    <w:rsid w:val="00D55BBF"/>
    <w:rsid w:val="00D56068"/>
    <w:rsid w:val="00D563FF"/>
    <w:rsid w:val="00D60EF9"/>
    <w:rsid w:val="00D62D23"/>
    <w:rsid w:val="00D63774"/>
    <w:rsid w:val="00D639C1"/>
    <w:rsid w:val="00D679A8"/>
    <w:rsid w:val="00D73BA8"/>
    <w:rsid w:val="00D73BFC"/>
    <w:rsid w:val="00D75635"/>
    <w:rsid w:val="00D75657"/>
    <w:rsid w:val="00D765F3"/>
    <w:rsid w:val="00D810F6"/>
    <w:rsid w:val="00D815C5"/>
    <w:rsid w:val="00D82BF9"/>
    <w:rsid w:val="00D842DC"/>
    <w:rsid w:val="00D864E3"/>
    <w:rsid w:val="00D920C1"/>
    <w:rsid w:val="00D947EF"/>
    <w:rsid w:val="00D95F16"/>
    <w:rsid w:val="00D97AC0"/>
    <w:rsid w:val="00DA1D95"/>
    <w:rsid w:val="00DA6371"/>
    <w:rsid w:val="00DA6539"/>
    <w:rsid w:val="00DB1064"/>
    <w:rsid w:val="00DB1D41"/>
    <w:rsid w:val="00DB1E5C"/>
    <w:rsid w:val="00DB2440"/>
    <w:rsid w:val="00DB304C"/>
    <w:rsid w:val="00DB48CF"/>
    <w:rsid w:val="00DB49AB"/>
    <w:rsid w:val="00DB5FC6"/>
    <w:rsid w:val="00DC2004"/>
    <w:rsid w:val="00DC647E"/>
    <w:rsid w:val="00DC7BDA"/>
    <w:rsid w:val="00DD0285"/>
    <w:rsid w:val="00DD02D4"/>
    <w:rsid w:val="00DD1DFA"/>
    <w:rsid w:val="00DD2998"/>
    <w:rsid w:val="00DE1F2B"/>
    <w:rsid w:val="00DE206A"/>
    <w:rsid w:val="00DE4199"/>
    <w:rsid w:val="00DE4B84"/>
    <w:rsid w:val="00DE6DCE"/>
    <w:rsid w:val="00DE7CD0"/>
    <w:rsid w:val="00DF1C76"/>
    <w:rsid w:val="00DF2D45"/>
    <w:rsid w:val="00DF4486"/>
    <w:rsid w:val="00DF797A"/>
    <w:rsid w:val="00E00363"/>
    <w:rsid w:val="00E01BF1"/>
    <w:rsid w:val="00E0444F"/>
    <w:rsid w:val="00E057A6"/>
    <w:rsid w:val="00E05D5F"/>
    <w:rsid w:val="00E103FB"/>
    <w:rsid w:val="00E11BC8"/>
    <w:rsid w:val="00E14A53"/>
    <w:rsid w:val="00E15084"/>
    <w:rsid w:val="00E155B2"/>
    <w:rsid w:val="00E22C90"/>
    <w:rsid w:val="00E238A5"/>
    <w:rsid w:val="00E24162"/>
    <w:rsid w:val="00E25DEB"/>
    <w:rsid w:val="00E26A8A"/>
    <w:rsid w:val="00E274BA"/>
    <w:rsid w:val="00E31362"/>
    <w:rsid w:val="00E3205F"/>
    <w:rsid w:val="00E33AC6"/>
    <w:rsid w:val="00E33B8A"/>
    <w:rsid w:val="00E33EDA"/>
    <w:rsid w:val="00E3736B"/>
    <w:rsid w:val="00E41F83"/>
    <w:rsid w:val="00E47646"/>
    <w:rsid w:val="00E50122"/>
    <w:rsid w:val="00E50B64"/>
    <w:rsid w:val="00E5134D"/>
    <w:rsid w:val="00E5528D"/>
    <w:rsid w:val="00E552FA"/>
    <w:rsid w:val="00E559CE"/>
    <w:rsid w:val="00E566DD"/>
    <w:rsid w:val="00E578ED"/>
    <w:rsid w:val="00E612B1"/>
    <w:rsid w:val="00E615B1"/>
    <w:rsid w:val="00E66A49"/>
    <w:rsid w:val="00E70421"/>
    <w:rsid w:val="00E72194"/>
    <w:rsid w:val="00E74CAC"/>
    <w:rsid w:val="00E755AD"/>
    <w:rsid w:val="00E7660D"/>
    <w:rsid w:val="00E76A23"/>
    <w:rsid w:val="00E81328"/>
    <w:rsid w:val="00E822E6"/>
    <w:rsid w:val="00E82B9F"/>
    <w:rsid w:val="00E83C69"/>
    <w:rsid w:val="00E866D4"/>
    <w:rsid w:val="00E9372E"/>
    <w:rsid w:val="00E94CD9"/>
    <w:rsid w:val="00E953E7"/>
    <w:rsid w:val="00E95AE2"/>
    <w:rsid w:val="00EA0A09"/>
    <w:rsid w:val="00EA294C"/>
    <w:rsid w:val="00EA327E"/>
    <w:rsid w:val="00EA4000"/>
    <w:rsid w:val="00EB0355"/>
    <w:rsid w:val="00EB05C9"/>
    <w:rsid w:val="00EB238B"/>
    <w:rsid w:val="00EB4BAD"/>
    <w:rsid w:val="00EB4D13"/>
    <w:rsid w:val="00EB5965"/>
    <w:rsid w:val="00EB59DA"/>
    <w:rsid w:val="00EB741C"/>
    <w:rsid w:val="00EC001D"/>
    <w:rsid w:val="00EC1E8A"/>
    <w:rsid w:val="00EC2BF4"/>
    <w:rsid w:val="00EC40AC"/>
    <w:rsid w:val="00EC416B"/>
    <w:rsid w:val="00EC4B48"/>
    <w:rsid w:val="00EC70BB"/>
    <w:rsid w:val="00ED1B02"/>
    <w:rsid w:val="00ED4BB5"/>
    <w:rsid w:val="00ED5CB0"/>
    <w:rsid w:val="00ED7B5F"/>
    <w:rsid w:val="00ED7FF7"/>
    <w:rsid w:val="00EE27E8"/>
    <w:rsid w:val="00EE59BA"/>
    <w:rsid w:val="00EE6BE9"/>
    <w:rsid w:val="00EE702E"/>
    <w:rsid w:val="00EF0C69"/>
    <w:rsid w:val="00EF120D"/>
    <w:rsid w:val="00EF1F4D"/>
    <w:rsid w:val="00EF2371"/>
    <w:rsid w:val="00EF425B"/>
    <w:rsid w:val="00F00476"/>
    <w:rsid w:val="00F014B6"/>
    <w:rsid w:val="00F014D2"/>
    <w:rsid w:val="00F02954"/>
    <w:rsid w:val="00F02B67"/>
    <w:rsid w:val="00F03E8C"/>
    <w:rsid w:val="00F03FC5"/>
    <w:rsid w:val="00F05C3C"/>
    <w:rsid w:val="00F079D1"/>
    <w:rsid w:val="00F1207F"/>
    <w:rsid w:val="00F13919"/>
    <w:rsid w:val="00F13B0A"/>
    <w:rsid w:val="00F17D57"/>
    <w:rsid w:val="00F20062"/>
    <w:rsid w:val="00F20748"/>
    <w:rsid w:val="00F237CE"/>
    <w:rsid w:val="00F25390"/>
    <w:rsid w:val="00F2740F"/>
    <w:rsid w:val="00F31062"/>
    <w:rsid w:val="00F314F9"/>
    <w:rsid w:val="00F3321B"/>
    <w:rsid w:val="00F34246"/>
    <w:rsid w:val="00F3454E"/>
    <w:rsid w:val="00F3480C"/>
    <w:rsid w:val="00F41977"/>
    <w:rsid w:val="00F41EED"/>
    <w:rsid w:val="00F4246C"/>
    <w:rsid w:val="00F42C21"/>
    <w:rsid w:val="00F43676"/>
    <w:rsid w:val="00F44B7C"/>
    <w:rsid w:val="00F44EC9"/>
    <w:rsid w:val="00F46DB8"/>
    <w:rsid w:val="00F478DF"/>
    <w:rsid w:val="00F50C74"/>
    <w:rsid w:val="00F51C44"/>
    <w:rsid w:val="00F53F9F"/>
    <w:rsid w:val="00F6098A"/>
    <w:rsid w:val="00F6156E"/>
    <w:rsid w:val="00F61BEF"/>
    <w:rsid w:val="00F62347"/>
    <w:rsid w:val="00F63A14"/>
    <w:rsid w:val="00F64255"/>
    <w:rsid w:val="00F67A5A"/>
    <w:rsid w:val="00F7253B"/>
    <w:rsid w:val="00F745D8"/>
    <w:rsid w:val="00F74B59"/>
    <w:rsid w:val="00F8345A"/>
    <w:rsid w:val="00F836AB"/>
    <w:rsid w:val="00F83862"/>
    <w:rsid w:val="00F859E5"/>
    <w:rsid w:val="00F87E83"/>
    <w:rsid w:val="00F87F0C"/>
    <w:rsid w:val="00F914FE"/>
    <w:rsid w:val="00F96B9B"/>
    <w:rsid w:val="00F96BED"/>
    <w:rsid w:val="00FA131A"/>
    <w:rsid w:val="00FA4854"/>
    <w:rsid w:val="00FA4BB7"/>
    <w:rsid w:val="00FA4C13"/>
    <w:rsid w:val="00FA5F10"/>
    <w:rsid w:val="00FB4316"/>
    <w:rsid w:val="00FB7BB6"/>
    <w:rsid w:val="00FC3371"/>
    <w:rsid w:val="00FC57DB"/>
    <w:rsid w:val="00FD01D5"/>
    <w:rsid w:val="00FD2DAC"/>
    <w:rsid w:val="00FD40A5"/>
    <w:rsid w:val="00FD5229"/>
    <w:rsid w:val="00FE2962"/>
    <w:rsid w:val="00FE2E0D"/>
    <w:rsid w:val="00FE349B"/>
    <w:rsid w:val="00FE4505"/>
    <w:rsid w:val="00FE54A1"/>
    <w:rsid w:val="00FE6607"/>
    <w:rsid w:val="00FE79B4"/>
    <w:rsid w:val="00FF18ED"/>
    <w:rsid w:val="00FF1FE7"/>
    <w:rsid w:val="00FF236F"/>
    <w:rsid w:val="00FF2FD5"/>
    <w:rsid w:val="00FF578F"/>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14E2"/>
  <w15:docId w15:val="{32B3463A-3474-4987-9712-F324B118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rsid w:val="00517205"/>
    <w:pPr>
      <w:keepNext/>
      <w:numPr>
        <w:numId w:val="131"/>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517205"/>
    <w:pPr>
      <w:keepNext/>
      <w:numPr>
        <w:ilvl w:val="1"/>
        <w:numId w:val="131"/>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517205"/>
    <w:pPr>
      <w:keepNext/>
      <w:numPr>
        <w:ilvl w:val="2"/>
        <w:numId w:val="131"/>
      </w:numPr>
      <w:outlineLvl w:val="2"/>
    </w:pPr>
    <w:rPr>
      <w:rFonts w:eastAsiaTheme="majorEastAsia"/>
      <w:bCs/>
      <w:i/>
    </w:rPr>
  </w:style>
  <w:style w:type="paragraph" w:styleId="Nagwek4">
    <w:name w:val="heading 4"/>
    <w:basedOn w:val="Normalny"/>
    <w:next w:val="Text1"/>
    <w:link w:val="Nagwek4Znak"/>
    <w:uiPriority w:val="9"/>
    <w:semiHidden/>
    <w:unhideWhenUsed/>
    <w:qFormat/>
    <w:rsid w:val="00517205"/>
    <w:pPr>
      <w:keepNext/>
      <w:numPr>
        <w:ilvl w:val="3"/>
        <w:numId w:val="131"/>
      </w:numPr>
      <w:outlineLvl w:val="3"/>
    </w:pPr>
    <w:rPr>
      <w:rFonts w:eastAsiaTheme="majorEastAsia"/>
      <w:bCs/>
      <w:iCs/>
    </w:rPr>
  </w:style>
  <w:style w:type="paragraph" w:styleId="Nagwek5">
    <w:name w:val="heading 5"/>
    <w:basedOn w:val="Normalny"/>
    <w:next w:val="Text2"/>
    <w:link w:val="Nagwek5Znak"/>
    <w:uiPriority w:val="9"/>
    <w:semiHidden/>
    <w:unhideWhenUsed/>
    <w:qFormat/>
    <w:rsid w:val="00517205"/>
    <w:pPr>
      <w:keepNext/>
      <w:numPr>
        <w:ilvl w:val="4"/>
        <w:numId w:val="131"/>
      </w:numPr>
      <w:outlineLvl w:val="4"/>
    </w:pPr>
    <w:rPr>
      <w:rFonts w:eastAsiaTheme="majorEastAsia"/>
    </w:rPr>
  </w:style>
  <w:style w:type="paragraph" w:styleId="Nagwek6">
    <w:name w:val="heading 6"/>
    <w:basedOn w:val="Normalny"/>
    <w:next w:val="Text2"/>
    <w:link w:val="Nagwek6Znak"/>
    <w:uiPriority w:val="9"/>
    <w:semiHidden/>
    <w:unhideWhenUsed/>
    <w:qFormat/>
    <w:rsid w:val="00517205"/>
    <w:pPr>
      <w:keepNext/>
      <w:numPr>
        <w:ilvl w:val="5"/>
        <w:numId w:val="131"/>
      </w:numPr>
      <w:outlineLvl w:val="5"/>
    </w:pPr>
    <w:rPr>
      <w:rFonts w:eastAsiaTheme="majorEastAsia"/>
      <w:iCs/>
    </w:rPr>
  </w:style>
  <w:style w:type="paragraph" w:styleId="Nagwek7">
    <w:name w:val="heading 7"/>
    <w:basedOn w:val="Normalny"/>
    <w:next w:val="Text2"/>
    <w:link w:val="Nagwek7Znak"/>
    <w:uiPriority w:val="9"/>
    <w:semiHidden/>
    <w:unhideWhenUsed/>
    <w:qFormat/>
    <w:rsid w:val="00517205"/>
    <w:pPr>
      <w:keepNext/>
      <w:numPr>
        <w:ilvl w:val="6"/>
        <w:numId w:val="131"/>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nhideWhenUsed/>
    <w:rsid w:val="00616BC2"/>
    <w:pPr>
      <w:numPr>
        <w:numId w:val="1"/>
      </w:numPr>
      <w:contextualSpacing/>
    </w:pPr>
  </w:style>
  <w:style w:type="paragraph" w:styleId="Listapunktowana2">
    <w:name w:val="List Bullet 2"/>
    <w:basedOn w:val="Normalny"/>
    <w:unhideWhenUsed/>
    <w:rsid w:val="00616BC2"/>
    <w:pPr>
      <w:numPr>
        <w:numId w:val="2"/>
      </w:numPr>
      <w:contextualSpacing/>
    </w:pPr>
  </w:style>
  <w:style w:type="paragraph" w:styleId="Listapunktowana3">
    <w:name w:val="List Bullet 3"/>
    <w:basedOn w:val="Normalny"/>
    <w:unhideWhenUsed/>
    <w:rsid w:val="00616BC2"/>
    <w:pPr>
      <w:numPr>
        <w:numId w:val="3"/>
      </w:numPr>
      <w:contextualSpacing/>
    </w:pPr>
  </w:style>
  <w:style w:type="paragraph" w:styleId="Listapunktowana4">
    <w:name w:val="List Bullet 4"/>
    <w:basedOn w:val="Normalny"/>
    <w:unhideWhenUsed/>
    <w:rsid w:val="00616BC2"/>
    <w:pPr>
      <w:numPr>
        <w:numId w:val="4"/>
      </w:numPr>
      <w:contextualSpacing/>
    </w:pPr>
  </w:style>
  <w:style w:type="character" w:customStyle="1" w:styleId="bold">
    <w:name w:val="bold"/>
    <w:basedOn w:val="Domylnaczcionkaakapitu"/>
    <w:qFormat/>
    <w:rsid w:val="00616BC2"/>
    <w:rPr>
      <w:b/>
      <w:bCs/>
    </w:rPr>
  </w:style>
  <w:style w:type="character" w:customStyle="1" w:styleId="italic">
    <w:name w:val="italic"/>
    <w:basedOn w:val="Domylnaczcionkaakapitu"/>
    <w:qFormat/>
    <w:rsid w:val="00616BC2"/>
    <w:rPr>
      <w:i/>
      <w:iCs/>
    </w:rPr>
  </w:style>
  <w:style w:type="character" w:customStyle="1" w:styleId="sp-normal">
    <w:name w:val="sp-normal"/>
    <w:basedOn w:val="Domylnaczcionkaakapitu"/>
    <w:qFormat/>
    <w:rsid w:val="00616BC2"/>
    <w:rPr>
      <w:b/>
      <w:bCs/>
      <w:i/>
      <w:iCs/>
    </w:rPr>
  </w:style>
  <w:style w:type="character" w:customStyle="1" w:styleId="sub">
    <w:name w:val="sub"/>
    <w:basedOn w:val="Domylnaczcionkaakapitu"/>
    <w:qFormat/>
    <w:rsid w:val="00616BC2"/>
    <w:rPr>
      <w:sz w:val="17"/>
      <w:szCs w:val="17"/>
      <w:vertAlign w:val="subscript"/>
    </w:rPr>
  </w:style>
  <w:style w:type="character" w:customStyle="1" w:styleId="super">
    <w:name w:val="super"/>
    <w:basedOn w:val="Domylnaczcionkaakapitu"/>
    <w:qFormat/>
    <w:rsid w:val="00616BC2"/>
    <w:rPr>
      <w:sz w:val="17"/>
      <w:szCs w:val="17"/>
      <w:vertAlign w:val="superscript"/>
    </w:rPr>
  </w:style>
  <w:style w:type="character" w:customStyle="1" w:styleId="stroke">
    <w:name w:val="stroke"/>
    <w:basedOn w:val="Domylnaczcionkaakapitu"/>
    <w:qFormat/>
    <w:rsid w:val="00616BC2"/>
    <w:rPr>
      <w:strike/>
    </w:rPr>
  </w:style>
  <w:style w:type="character" w:customStyle="1" w:styleId="underline">
    <w:name w:val="underline"/>
    <w:basedOn w:val="Domylnaczcionkaakapitu"/>
    <w:qFormat/>
    <w:rsid w:val="00616BC2"/>
    <w:rPr>
      <w:u w:val="single"/>
    </w:rPr>
  </w:style>
  <w:style w:type="character" w:customStyle="1" w:styleId="Internetlink">
    <w:name w:val="Internetlink"/>
    <w:basedOn w:val="Domylnaczcionkaakapitu"/>
    <w:rsid w:val="00616BC2"/>
    <w:rPr>
      <w:color w:val="0000FF"/>
      <w:u w:val="single"/>
    </w:rPr>
  </w:style>
  <w:style w:type="character" w:styleId="UyteHipercze">
    <w:name w:val="FollowedHyperlink"/>
    <w:basedOn w:val="Domylnaczcionkaakapitu"/>
    <w:uiPriority w:val="99"/>
    <w:qFormat/>
    <w:rsid w:val="00616BC2"/>
    <w:rPr>
      <w:color w:val="800080"/>
      <w:u w:val="single"/>
    </w:rPr>
  </w:style>
  <w:style w:type="character" w:customStyle="1" w:styleId="BalloonTextChar">
    <w:name w:val="Balloon Text Char"/>
    <w:basedOn w:val="Domylnaczcionkaakapitu"/>
    <w:qFormat/>
    <w:rsid w:val="00616BC2"/>
    <w:rPr>
      <w:rFonts w:ascii="Segoe UI" w:hAnsi="Segoe UI" w:cs="Segoe UI"/>
      <w:sz w:val="18"/>
      <w:szCs w:val="18"/>
    </w:rPr>
  </w:style>
  <w:style w:type="character" w:styleId="Odwoaniedokomentarza">
    <w:name w:val="annotation reference"/>
    <w:basedOn w:val="Domylnaczcionkaakapitu"/>
    <w:qFormat/>
    <w:rsid w:val="00616BC2"/>
    <w:rPr>
      <w:sz w:val="16"/>
      <w:szCs w:val="16"/>
    </w:rPr>
  </w:style>
  <w:style w:type="character" w:customStyle="1" w:styleId="CommentTextChar">
    <w:name w:val="Comment Text Char"/>
    <w:basedOn w:val="Domylnaczcionkaakapitu"/>
    <w:qFormat/>
    <w:rsid w:val="00616BC2"/>
    <w:rPr>
      <w:sz w:val="20"/>
      <w:szCs w:val="20"/>
    </w:rPr>
  </w:style>
  <w:style w:type="character" w:customStyle="1" w:styleId="CommentSubjectChar">
    <w:name w:val="Comment Subject Char"/>
    <w:basedOn w:val="CommentTextChar"/>
    <w:qFormat/>
    <w:rsid w:val="00616BC2"/>
    <w:rPr>
      <w:b/>
      <w:bCs/>
      <w:sz w:val="20"/>
      <w:szCs w:val="20"/>
    </w:rPr>
  </w:style>
  <w:style w:type="character" w:customStyle="1" w:styleId="ListLabel1">
    <w:name w:val="ListLabel 1"/>
    <w:qFormat/>
    <w:rsid w:val="00616BC2"/>
    <w:rPr>
      <w:rFonts w:ascii="Times New Roman" w:eastAsia="Times New Roman" w:hAnsi="Times New Roman" w:cs="Times New Roman"/>
      <w:sz w:val="24"/>
    </w:rPr>
  </w:style>
  <w:style w:type="character" w:customStyle="1" w:styleId="ListLabel2">
    <w:name w:val="ListLabel 2"/>
    <w:qFormat/>
    <w:rsid w:val="00616BC2"/>
    <w:rPr>
      <w:rFonts w:cs="Courier New"/>
    </w:rPr>
  </w:style>
  <w:style w:type="character" w:customStyle="1" w:styleId="ListLabel3">
    <w:name w:val="ListLabel 3"/>
    <w:qFormat/>
    <w:rsid w:val="00616BC2"/>
    <w:rPr>
      <w:rFonts w:cs="Courier New"/>
    </w:rPr>
  </w:style>
  <w:style w:type="character" w:customStyle="1" w:styleId="ListLabel4">
    <w:name w:val="ListLabel 4"/>
    <w:qFormat/>
    <w:rsid w:val="00616BC2"/>
    <w:rPr>
      <w:rFonts w:cs="Courier New"/>
    </w:rPr>
  </w:style>
  <w:style w:type="character" w:customStyle="1" w:styleId="Funotenzeichen">
    <w:name w:val="Fußnotenzeichen"/>
    <w:qFormat/>
    <w:rsid w:val="00616BC2"/>
  </w:style>
  <w:style w:type="character" w:customStyle="1" w:styleId="Funotenanker">
    <w:name w:val="Fußnotenanker"/>
    <w:rsid w:val="00616BC2"/>
    <w:rPr>
      <w:vertAlign w:val="superscript"/>
    </w:rPr>
  </w:style>
  <w:style w:type="character" w:customStyle="1" w:styleId="Endnotenanker">
    <w:name w:val="Endnotenanker"/>
    <w:rsid w:val="00616BC2"/>
    <w:rPr>
      <w:vertAlign w:val="superscript"/>
    </w:rPr>
  </w:style>
  <w:style w:type="character" w:customStyle="1" w:styleId="Endnotenzeichen">
    <w:name w:val="Endnotenzeichen"/>
    <w:qFormat/>
    <w:rsid w:val="00616BC2"/>
  </w:style>
  <w:style w:type="character" w:customStyle="1" w:styleId="PlainTextChar">
    <w:name w:val="Plain Text Char"/>
    <w:basedOn w:val="Domylnaczcionkaakapitu"/>
    <w:qFormat/>
    <w:rsid w:val="00616BC2"/>
    <w:rPr>
      <w:rFonts w:ascii="Calibri" w:hAnsi="Calibri"/>
      <w:szCs w:val="21"/>
    </w:rPr>
  </w:style>
  <w:style w:type="character" w:customStyle="1" w:styleId="ListLabel5">
    <w:name w:val="ListLabel 5"/>
    <w:qFormat/>
    <w:rsid w:val="00616BC2"/>
    <w:rPr>
      <w:rFonts w:ascii="Times New Roman" w:hAnsi="Times New Roman" w:cs="Times New Roman"/>
      <w:sz w:val="24"/>
    </w:rPr>
  </w:style>
  <w:style w:type="character" w:customStyle="1" w:styleId="ListLabel6">
    <w:name w:val="ListLabel 6"/>
    <w:qFormat/>
    <w:rsid w:val="00616BC2"/>
    <w:rPr>
      <w:rFonts w:cs="Courier New"/>
    </w:rPr>
  </w:style>
  <w:style w:type="character" w:customStyle="1" w:styleId="ListLabel7">
    <w:name w:val="ListLabel 7"/>
    <w:qFormat/>
    <w:rsid w:val="00616BC2"/>
    <w:rPr>
      <w:rFonts w:cs="Wingdings"/>
    </w:rPr>
  </w:style>
  <w:style w:type="character" w:customStyle="1" w:styleId="ListLabel8">
    <w:name w:val="ListLabel 8"/>
    <w:qFormat/>
    <w:rsid w:val="00616BC2"/>
    <w:rPr>
      <w:rFonts w:cs="Symbol"/>
    </w:rPr>
  </w:style>
  <w:style w:type="character" w:customStyle="1" w:styleId="ListLabel9">
    <w:name w:val="ListLabel 9"/>
    <w:qFormat/>
    <w:rsid w:val="00616BC2"/>
    <w:rPr>
      <w:rFonts w:cs="Courier New"/>
    </w:rPr>
  </w:style>
  <w:style w:type="character" w:customStyle="1" w:styleId="ListLabel10">
    <w:name w:val="ListLabel 10"/>
    <w:qFormat/>
    <w:rsid w:val="00616BC2"/>
    <w:rPr>
      <w:rFonts w:cs="Wingdings"/>
    </w:rPr>
  </w:style>
  <w:style w:type="character" w:customStyle="1" w:styleId="ListLabel11">
    <w:name w:val="ListLabel 11"/>
    <w:qFormat/>
    <w:rsid w:val="00616BC2"/>
    <w:rPr>
      <w:rFonts w:cs="Symbol"/>
    </w:rPr>
  </w:style>
  <w:style w:type="character" w:customStyle="1" w:styleId="ListLabel12">
    <w:name w:val="ListLabel 12"/>
    <w:qFormat/>
    <w:rsid w:val="00616BC2"/>
    <w:rPr>
      <w:rFonts w:cs="Courier New"/>
    </w:rPr>
  </w:style>
  <w:style w:type="character" w:customStyle="1" w:styleId="ListLabel13">
    <w:name w:val="ListLabel 13"/>
    <w:qFormat/>
    <w:rsid w:val="00616BC2"/>
    <w:rPr>
      <w:rFonts w:cs="Wingdings"/>
    </w:rPr>
  </w:style>
  <w:style w:type="character" w:customStyle="1" w:styleId="ListLabel14">
    <w:name w:val="ListLabel 14"/>
    <w:qFormat/>
    <w:rsid w:val="00616BC2"/>
    <w:rPr>
      <w:rFonts w:cs="Courier New"/>
    </w:rPr>
  </w:style>
  <w:style w:type="character" w:customStyle="1" w:styleId="ListLabel15">
    <w:name w:val="ListLabel 15"/>
    <w:qFormat/>
    <w:rsid w:val="00616BC2"/>
    <w:rPr>
      <w:rFonts w:cs="Courier New"/>
    </w:rPr>
  </w:style>
  <w:style w:type="character" w:customStyle="1" w:styleId="ListLabel16">
    <w:name w:val="ListLabel 16"/>
    <w:qFormat/>
    <w:rsid w:val="00616BC2"/>
    <w:rPr>
      <w:rFonts w:cs="Courier New"/>
    </w:rPr>
  </w:style>
  <w:style w:type="character" w:customStyle="1" w:styleId="ListLabel17">
    <w:name w:val="ListLabel 17"/>
    <w:qFormat/>
    <w:rsid w:val="00616BC2"/>
    <w:rPr>
      <w:rFonts w:ascii="Times New Roman" w:hAnsi="Times New Roman" w:cs="Times New Roman"/>
      <w:sz w:val="24"/>
    </w:rPr>
  </w:style>
  <w:style w:type="character" w:customStyle="1" w:styleId="ListLabel18">
    <w:name w:val="ListLabel 18"/>
    <w:qFormat/>
    <w:rsid w:val="00616BC2"/>
    <w:rPr>
      <w:rFonts w:cs="Courier New"/>
    </w:rPr>
  </w:style>
  <w:style w:type="character" w:customStyle="1" w:styleId="ListLabel19">
    <w:name w:val="ListLabel 19"/>
    <w:qFormat/>
    <w:rsid w:val="00616BC2"/>
    <w:rPr>
      <w:rFonts w:cs="Wingdings"/>
    </w:rPr>
  </w:style>
  <w:style w:type="character" w:customStyle="1" w:styleId="ListLabel20">
    <w:name w:val="ListLabel 20"/>
    <w:qFormat/>
    <w:rsid w:val="00616BC2"/>
    <w:rPr>
      <w:rFonts w:cs="Symbol"/>
    </w:rPr>
  </w:style>
  <w:style w:type="character" w:customStyle="1" w:styleId="ListLabel21">
    <w:name w:val="ListLabel 21"/>
    <w:qFormat/>
    <w:rsid w:val="00616BC2"/>
    <w:rPr>
      <w:rFonts w:cs="Courier New"/>
    </w:rPr>
  </w:style>
  <w:style w:type="character" w:customStyle="1" w:styleId="ListLabel22">
    <w:name w:val="ListLabel 22"/>
    <w:qFormat/>
    <w:rsid w:val="00616BC2"/>
    <w:rPr>
      <w:rFonts w:cs="Wingdings"/>
    </w:rPr>
  </w:style>
  <w:style w:type="character" w:customStyle="1" w:styleId="ListLabel23">
    <w:name w:val="ListLabel 23"/>
    <w:qFormat/>
    <w:rsid w:val="00616BC2"/>
    <w:rPr>
      <w:rFonts w:cs="Symbol"/>
    </w:rPr>
  </w:style>
  <w:style w:type="character" w:customStyle="1" w:styleId="ListLabel24">
    <w:name w:val="ListLabel 24"/>
    <w:qFormat/>
    <w:rsid w:val="00616BC2"/>
    <w:rPr>
      <w:rFonts w:cs="Courier New"/>
    </w:rPr>
  </w:style>
  <w:style w:type="character" w:customStyle="1" w:styleId="ListLabel25">
    <w:name w:val="ListLabel 25"/>
    <w:qFormat/>
    <w:rsid w:val="00616BC2"/>
    <w:rPr>
      <w:rFonts w:cs="Wingdings"/>
    </w:rPr>
  </w:style>
  <w:style w:type="character" w:customStyle="1" w:styleId="ListLabel26">
    <w:name w:val="ListLabel 26"/>
    <w:qFormat/>
    <w:rsid w:val="00616BC2"/>
    <w:rPr>
      <w:rFonts w:cs="Symbol"/>
    </w:rPr>
  </w:style>
  <w:style w:type="character" w:customStyle="1" w:styleId="ListLabel27">
    <w:name w:val="ListLabel 27"/>
    <w:qFormat/>
    <w:rsid w:val="00616BC2"/>
    <w:rPr>
      <w:rFonts w:cs="Courier New"/>
    </w:rPr>
  </w:style>
  <w:style w:type="character" w:customStyle="1" w:styleId="ListLabel28">
    <w:name w:val="ListLabel 28"/>
    <w:qFormat/>
    <w:rsid w:val="00616BC2"/>
    <w:rPr>
      <w:rFonts w:cs="Wingdings"/>
    </w:rPr>
  </w:style>
  <w:style w:type="character" w:customStyle="1" w:styleId="ListLabel29">
    <w:name w:val="ListLabel 29"/>
    <w:qFormat/>
    <w:rsid w:val="00616BC2"/>
    <w:rPr>
      <w:rFonts w:cs="Symbol"/>
    </w:rPr>
  </w:style>
  <w:style w:type="character" w:customStyle="1" w:styleId="ListLabel30">
    <w:name w:val="ListLabel 30"/>
    <w:qFormat/>
    <w:rsid w:val="00616BC2"/>
    <w:rPr>
      <w:rFonts w:cs="Courier New"/>
    </w:rPr>
  </w:style>
  <w:style w:type="character" w:customStyle="1" w:styleId="ListLabel31">
    <w:name w:val="ListLabel 31"/>
    <w:qFormat/>
    <w:rsid w:val="00616BC2"/>
    <w:rPr>
      <w:rFonts w:cs="Wingdings"/>
    </w:rPr>
  </w:style>
  <w:style w:type="character" w:customStyle="1" w:styleId="ListLabel32">
    <w:name w:val="ListLabel 32"/>
    <w:qFormat/>
    <w:rsid w:val="00616BC2"/>
    <w:rPr>
      <w:rFonts w:cs="Symbol"/>
    </w:rPr>
  </w:style>
  <w:style w:type="character" w:customStyle="1" w:styleId="ListLabel33">
    <w:name w:val="ListLabel 33"/>
    <w:qFormat/>
    <w:rsid w:val="00616BC2"/>
    <w:rPr>
      <w:rFonts w:cs="Courier New"/>
    </w:rPr>
  </w:style>
  <w:style w:type="character" w:customStyle="1" w:styleId="ListLabel34">
    <w:name w:val="ListLabel 34"/>
    <w:qFormat/>
    <w:rsid w:val="00616BC2"/>
    <w:rPr>
      <w:rFonts w:cs="Wingdings"/>
    </w:rPr>
  </w:style>
  <w:style w:type="character" w:customStyle="1" w:styleId="ListLabel35">
    <w:name w:val="ListLabel 35"/>
    <w:qFormat/>
    <w:rsid w:val="00616BC2"/>
    <w:rPr>
      <w:rFonts w:ascii="Times New Roman" w:hAnsi="Times New Roman" w:cs="Times New Roman"/>
      <w:sz w:val="24"/>
    </w:rPr>
  </w:style>
  <w:style w:type="character" w:customStyle="1" w:styleId="ListLabel36">
    <w:name w:val="ListLabel 36"/>
    <w:qFormat/>
    <w:rsid w:val="00616BC2"/>
    <w:rPr>
      <w:rFonts w:cs="Courier New"/>
    </w:rPr>
  </w:style>
  <w:style w:type="character" w:customStyle="1" w:styleId="ListLabel37">
    <w:name w:val="ListLabel 37"/>
    <w:qFormat/>
    <w:rsid w:val="00616BC2"/>
    <w:rPr>
      <w:rFonts w:cs="Wingdings"/>
    </w:rPr>
  </w:style>
  <w:style w:type="character" w:customStyle="1" w:styleId="ListLabel38">
    <w:name w:val="ListLabel 38"/>
    <w:qFormat/>
    <w:rsid w:val="00616BC2"/>
    <w:rPr>
      <w:rFonts w:cs="Symbol"/>
    </w:rPr>
  </w:style>
  <w:style w:type="character" w:customStyle="1" w:styleId="ListLabel39">
    <w:name w:val="ListLabel 39"/>
    <w:qFormat/>
    <w:rsid w:val="00616BC2"/>
    <w:rPr>
      <w:rFonts w:cs="Courier New"/>
    </w:rPr>
  </w:style>
  <w:style w:type="character" w:customStyle="1" w:styleId="ListLabel40">
    <w:name w:val="ListLabel 40"/>
    <w:qFormat/>
    <w:rsid w:val="00616BC2"/>
    <w:rPr>
      <w:rFonts w:cs="Wingdings"/>
    </w:rPr>
  </w:style>
  <w:style w:type="character" w:customStyle="1" w:styleId="ListLabel41">
    <w:name w:val="ListLabel 41"/>
    <w:qFormat/>
    <w:rsid w:val="00616BC2"/>
    <w:rPr>
      <w:rFonts w:cs="Symbol"/>
    </w:rPr>
  </w:style>
  <w:style w:type="character" w:customStyle="1" w:styleId="ListLabel42">
    <w:name w:val="ListLabel 42"/>
    <w:qFormat/>
    <w:rsid w:val="00616BC2"/>
    <w:rPr>
      <w:rFonts w:cs="Courier New"/>
    </w:rPr>
  </w:style>
  <w:style w:type="character" w:customStyle="1" w:styleId="ListLabel43">
    <w:name w:val="ListLabel 43"/>
    <w:qFormat/>
    <w:rsid w:val="00616BC2"/>
    <w:rPr>
      <w:rFonts w:cs="Wingdings"/>
    </w:rPr>
  </w:style>
  <w:style w:type="character" w:customStyle="1" w:styleId="ListLabel44">
    <w:name w:val="ListLabel 44"/>
    <w:qFormat/>
    <w:rsid w:val="00616BC2"/>
    <w:rPr>
      <w:rFonts w:cs="Symbol"/>
    </w:rPr>
  </w:style>
  <w:style w:type="character" w:customStyle="1" w:styleId="ListLabel45">
    <w:name w:val="ListLabel 45"/>
    <w:qFormat/>
    <w:rsid w:val="00616BC2"/>
    <w:rPr>
      <w:rFonts w:cs="Courier New"/>
    </w:rPr>
  </w:style>
  <w:style w:type="character" w:customStyle="1" w:styleId="ListLabel46">
    <w:name w:val="ListLabel 46"/>
    <w:qFormat/>
    <w:rsid w:val="00616BC2"/>
    <w:rPr>
      <w:rFonts w:cs="Wingdings"/>
    </w:rPr>
  </w:style>
  <w:style w:type="character" w:customStyle="1" w:styleId="ListLabel47">
    <w:name w:val="ListLabel 47"/>
    <w:qFormat/>
    <w:rsid w:val="00616BC2"/>
    <w:rPr>
      <w:rFonts w:cs="Symbol"/>
    </w:rPr>
  </w:style>
  <w:style w:type="character" w:customStyle="1" w:styleId="ListLabel48">
    <w:name w:val="ListLabel 48"/>
    <w:qFormat/>
    <w:rsid w:val="00616BC2"/>
    <w:rPr>
      <w:rFonts w:cs="Courier New"/>
    </w:rPr>
  </w:style>
  <w:style w:type="character" w:customStyle="1" w:styleId="ListLabel49">
    <w:name w:val="ListLabel 49"/>
    <w:qFormat/>
    <w:rsid w:val="00616BC2"/>
    <w:rPr>
      <w:rFonts w:cs="Wingdings"/>
    </w:rPr>
  </w:style>
  <w:style w:type="character" w:customStyle="1" w:styleId="ListLabel50">
    <w:name w:val="ListLabel 50"/>
    <w:qFormat/>
    <w:rsid w:val="00616BC2"/>
    <w:rPr>
      <w:rFonts w:cs="Symbol"/>
    </w:rPr>
  </w:style>
  <w:style w:type="character" w:customStyle="1" w:styleId="ListLabel51">
    <w:name w:val="ListLabel 51"/>
    <w:qFormat/>
    <w:rsid w:val="00616BC2"/>
    <w:rPr>
      <w:rFonts w:cs="Courier New"/>
    </w:rPr>
  </w:style>
  <w:style w:type="character" w:customStyle="1" w:styleId="ListLabel52">
    <w:name w:val="ListLabel 52"/>
    <w:qFormat/>
    <w:rsid w:val="00616BC2"/>
    <w:rPr>
      <w:rFonts w:cs="Wingdings"/>
    </w:rPr>
  </w:style>
  <w:style w:type="character" w:customStyle="1" w:styleId="ListLabel53">
    <w:name w:val="ListLabel 53"/>
    <w:qFormat/>
    <w:rsid w:val="00616BC2"/>
    <w:rPr>
      <w:rFonts w:ascii="Times New Roman" w:hAnsi="Times New Roman" w:cs="Times New Roman"/>
      <w:sz w:val="24"/>
    </w:rPr>
  </w:style>
  <w:style w:type="character" w:customStyle="1" w:styleId="ListLabel54">
    <w:name w:val="ListLabel 54"/>
    <w:qFormat/>
    <w:rsid w:val="00616BC2"/>
    <w:rPr>
      <w:rFonts w:cs="Courier New"/>
    </w:rPr>
  </w:style>
  <w:style w:type="character" w:customStyle="1" w:styleId="ListLabel55">
    <w:name w:val="ListLabel 55"/>
    <w:qFormat/>
    <w:rsid w:val="00616BC2"/>
    <w:rPr>
      <w:rFonts w:cs="Wingdings"/>
    </w:rPr>
  </w:style>
  <w:style w:type="character" w:customStyle="1" w:styleId="ListLabel56">
    <w:name w:val="ListLabel 56"/>
    <w:qFormat/>
    <w:rsid w:val="00616BC2"/>
    <w:rPr>
      <w:rFonts w:cs="Symbol"/>
    </w:rPr>
  </w:style>
  <w:style w:type="character" w:customStyle="1" w:styleId="ListLabel57">
    <w:name w:val="ListLabel 57"/>
    <w:qFormat/>
    <w:rsid w:val="00616BC2"/>
    <w:rPr>
      <w:rFonts w:cs="Courier New"/>
    </w:rPr>
  </w:style>
  <w:style w:type="character" w:customStyle="1" w:styleId="ListLabel58">
    <w:name w:val="ListLabel 58"/>
    <w:qFormat/>
    <w:rsid w:val="00616BC2"/>
    <w:rPr>
      <w:rFonts w:cs="Wingdings"/>
    </w:rPr>
  </w:style>
  <w:style w:type="character" w:customStyle="1" w:styleId="ListLabel59">
    <w:name w:val="ListLabel 59"/>
    <w:qFormat/>
    <w:rsid w:val="00616BC2"/>
    <w:rPr>
      <w:rFonts w:cs="Symbol"/>
    </w:rPr>
  </w:style>
  <w:style w:type="character" w:customStyle="1" w:styleId="ListLabel60">
    <w:name w:val="ListLabel 60"/>
    <w:qFormat/>
    <w:rsid w:val="00616BC2"/>
    <w:rPr>
      <w:rFonts w:cs="Courier New"/>
    </w:rPr>
  </w:style>
  <w:style w:type="character" w:customStyle="1" w:styleId="ListLabel61">
    <w:name w:val="ListLabel 61"/>
    <w:qFormat/>
    <w:rsid w:val="00616BC2"/>
    <w:rPr>
      <w:rFonts w:cs="Wingdings"/>
    </w:rPr>
  </w:style>
  <w:style w:type="character" w:customStyle="1" w:styleId="ListLabel62">
    <w:name w:val="ListLabel 62"/>
    <w:qFormat/>
    <w:rsid w:val="00616BC2"/>
    <w:rPr>
      <w:rFonts w:cs="Symbol"/>
    </w:rPr>
  </w:style>
  <w:style w:type="character" w:customStyle="1" w:styleId="ListLabel63">
    <w:name w:val="ListLabel 63"/>
    <w:qFormat/>
    <w:rsid w:val="00616BC2"/>
    <w:rPr>
      <w:rFonts w:cs="Courier New"/>
    </w:rPr>
  </w:style>
  <w:style w:type="character" w:customStyle="1" w:styleId="ListLabel64">
    <w:name w:val="ListLabel 64"/>
    <w:qFormat/>
    <w:rsid w:val="00616BC2"/>
    <w:rPr>
      <w:rFonts w:cs="Wingdings"/>
    </w:rPr>
  </w:style>
  <w:style w:type="character" w:customStyle="1" w:styleId="ListLabel65">
    <w:name w:val="ListLabel 65"/>
    <w:qFormat/>
    <w:rsid w:val="00616BC2"/>
    <w:rPr>
      <w:rFonts w:cs="Symbol"/>
    </w:rPr>
  </w:style>
  <w:style w:type="character" w:customStyle="1" w:styleId="ListLabel66">
    <w:name w:val="ListLabel 66"/>
    <w:qFormat/>
    <w:rsid w:val="00616BC2"/>
    <w:rPr>
      <w:rFonts w:cs="Courier New"/>
    </w:rPr>
  </w:style>
  <w:style w:type="character" w:customStyle="1" w:styleId="ListLabel67">
    <w:name w:val="ListLabel 67"/>
    <w:qFormat/>
    <w:rsid w:val="00616BC2"/>
    <w:rPr>
      <w:rFonts w:cs="Wingdings"/>
    </w:rPr>
  </w:style>
  <w:style w:type="character" w:customStyle="1" w:styleId="ListLabel68">
    <w:name w:val="ListLabel 68"/>
    <w:qFormat/>
    <w:rsid w:val="00616BC2"/>
    <w:rPr>
      <w:rFonts w:cs="Symbol"/>
    </w:rPr>
  </w:style>
  <w:style w:type="character" w:customStyle="1" w:styleId="ListLabel69">
    <w:name w:val="ListLabel 69"/>
    <w:qFormat/>
    <w:rsid w:val="00616BC2"/>
    <w:rPr>
      <w:rFonts w:cs="Courier New"/>
    </w:rPr>
  </w:style>
  <w:style w:type="character" w:customStyle="1" w:styleId="ListLabel70">
    <w:name w:val="ListLabel 70"/>
    <w:qFormat/>
    <w:rsid w:val="00616BC2"/>
    <w:rPr>
      <w:rFonts w:cs="Wingdings"/>
    </w:rPr>
  </w:style>
  <w:style w:type="character" w:customStyle="1" w:styleId="ListLabel71">
    <w:name w:val="ListLabel 71"/>
    <w:qFormat/>
    <w:rsid w:val="00616BC2"/>
    <w:rPr>
      <w:rFonts w:ascii="Times New Roman" w:hAnsi="Times New Roman" w:cs="Times New Roman"/>
      <w:sz w:val="24"/>
    </w:rPr>
  </w:style>
  <w:style w:type="character" w:customStyle="1" w:styleId="ListLabel72">
    <w:name w:val="ListLabel 72"/>
    <w:qFormat/>
    <w:rsid w:val="00616BC2"/>
    <w:rPr>
      <w:rFonts w:cs="Courier New"/>
    </w:rPr>
  </w:style>
  <w:style w:type="character" w:customStyle="1" w:styleId="ListLabel73">
    <w:name w:val="ListLabel 73"/>
    <w:qFormat/>
    <w:rsid w:val="00616BC2"/>
    <w:rPr>
      <w:rFonts w:cs="Wingdings"/>
    </w:rPr>
  </w:style>
  <w:style w:type="character" w:customStyle="1" w:styleId="ListLabel74">
    <w:name w:val="ListLabel 74"/>
    <w:qFormat/>
    <w:rsid w:val="00616BC2"/>
    <w:rPr>
      <w:rFonts w:cs="Symbol"/>
    </w:rPr>
  </w:style>
  <w:style w:type="character" w:customStyle="1" w:styleId="ListLabel75">
    <w:name w:val="ListLabel 75"/>
    <w:qFormat/>
    <w:rsid w:val="00616BC2"/>
    <w:rPr>
      <w:rFonts w:cs="Courier New"/>
    </w:rPr>
  </w:style>
  <w:style w:type="character" w:customStyle="1" w:styleId="ListLabel76">
    <w:name w:val="ListLabel 76"/>
    <w:qFormat/>
    <w:rsid w:val="00616BC2"/>
    <w:rPr>
      <w:rFonts w:cs="Wingdings"/>
    </w:rPr>
  </w:style>
  <w:style w:type="character" w:customStyle="1" w:styleId="ListLabel77">
    <w:name w:val="ListLabel 77"/>
    <w:qFormat/>
    <w:rsid w:val="00616BC2"/>
    <w:rPr>
      <w:rFonts w:cs="Symbol"/>
    </w:rPr>
  </w:style>
  <w:style w:type="character" w:customStyle="1" w:styleId="ListLabel78">
    <w:name w:val="ListLabel 78"/>
    <w:qFormat/>
    <w:rsid w:val="00616BC2"/>
    <w:rPr>
      <w:rFonts w:cs="Courier New"/>
    </w:rPr>
  </w:style>
  <w:style w:type="character" w:customStyle="1" w:styleId="ListLabel79">
    <w:name w:val="ListLabel 79"/>
    <w:qFormat/>
    <w:rsid w:val="00616BC2"/>
    <w:rPr>
      <w:rFonts w:cs="Wingdings"/>
    </w:rPr>
  </w:style>
  <w:style w:type="character" w:customStyle="1" w:styleId="ListLabel80">
    <w:name w:val="ListLabel 80"/>
    <w:qFormat/>
    <w:rsid w:val="00616BC2"/>
    <w:rPr>
      <w:rFonts w:cs="Symbol"/>
    </w:rPr>
  </w:style>
  <w:style w:type="character" w:customStyle="1" w:styleId="ListLabel81">
    <w:name w:val="ListLabel 81"/>
    <w:qFormat/>
    <w:rsid w:val="00616BC2"/>
    <w:rPr>
      <w:rFonts w:cs="Courier New"/>
    </w:rPr>
  </w:style>
  <w:style w:type="character" w:customStyle="1" w:styleId="ListLabel82">
    <w:name w:val="ListLabel 82"/>
    <w:qFormat/>
    <w:rsid w:val="00616BC2"/>
    <w:rPr>
      <w:rFonts w:cs="Wingdings"/>
    </w:rPr>
  </w:style>
  <w:style w:type="character" w:customStyle="1" w:styleId="ListLabel83">
    <w:name w:val="ListLabel 83"/>
    <w:qFormat/>
    <w:rsid w:val="00616BC2"/>
    <w:rPr>
      <w:rFonts w:cs="Symbol"/>
    </w:rPr>
  </w:style>
  <w:style w:type="character" w:customStyle="1" w:styleId="ListLabel84">
    <w:name w:val="ListLabel 84"/>
    <w:qFormat/>
    <w:rsid w:val="00616BC2"/>
    <w:rPr>
      <w:rFonts w:cs="Courier New"/>
    </w:rPr>
  </w:style>
  <w:style w:type="character" w:customStyle="1" w:styleId="ListLabel85">
    <w:name w:val="ListLabel 85"/>
    <w:qFormat/>
    <w:rsid w:val="00616BC2"/>
    <w:rPr>
      <w:rFonts w:cs="Wingdings"/>
    </w:rPr>
  </w:style>
  <w:style w:type="character" w:customStyle="1" w:styleId="ListLabel86">
    <w:name w:val="ListLabel 86"/>
    <w:qFormat/>
    <w:rsid w:val="00616BC2"/>
    <w:rPr>
      <w:rFonts w:cs="Symbol"/>
    </w:rPr>
  </w:style>
  <w:style w:type="character" w:customStyle="1" w:styleId="ListLabel87">
    <w:name w:val="ListLabel 87"/>
    <w:qFormat/>
    <w:rsid w:val="00616BC2"/>
    <w:rPr>
      <w:rFonts w:cs="Courier New"/>
    </w:rPr>
  </w:style>
  <w:style w:type="character" w:customStyle="1" w:styleId="ListLabel88">
    <w:name w:val="ListLabel 88"/>
    <w:qFormat/>
    <w:rsid w:val="00616BC2"/>
    <w:rPr>
      <w:rFonts w:cs="Wingdings"/>
    </w:rPr>
  </w:style>
  <w:style w:type="character" w:customStyle="1" w:styleId="ListLabel89">
    <w:name w:val="ListLabel 89"/>
    <w:qFormat/>
    <w:rsid w:val="00616BC2"/>
    <w:rPr>
      <w:rFonts w:ascii="Times New Roman" w:hAnsi="Times New Roman" w:cs="Times New Roman"/>
      <w:sz w:val="24"/>
    </w:rPr>
  </w:style>
  <w:style w:type="character" w:customStyle="1" w:styleId="ListLabel90">
    <w:name w:val="ListLabel 90"/>
    <w:qFormat/>
    <w:rsid w:val="00616BC2"/>
    <w:rPr>
      <w:rFonts w:cs="Courier New"/>
    </w:rPr>
  </w:style>
  <w:style w:type="character" w:customStyle="1" w:styleId="ListLabel91">
    <w:name w:val="ListLabel 91"/>
    <w:qFormat/>
    <w:rsid w:val="00616BC2"/>
    <w:rPr>
      <w:rFonts w:cs="Wingdings"/>
    </w:rPr>
  </w:style>
  <w:style w:type="character" w:customStyle="1" w:styleId="ListLabel92">
    <w:name w:val="ListLabel 92"/>
    <w:qFormat/>
    <w:rsid w:val="00616BC2"/>
    <w:rPr>
      <w:rFonts w:cs="Symbol"/>
    </w:rPr>
  </w:style>
  <w:style w:type="character" w:customStyle="1" w:styleId="ListLabel93">
    <w:name w:val="ListLabel 93"/>
    <w:qFormat/>
    <w:rsid w:val="00616BC2"/>
    <w:rPr>
      <w:rFonts w:cs="Courier New"/>
    </w:rPr>
  </w:style>
  <w:style w:type="character" w:customStyle="1" w:styleId="ListLabel94">
    <w:name w:val="ListLabel 94"/>
    <w:qFormat/>
    <w:rsid w:val="00616BC2"/>
    <w:rPr>
      <w:rFonts w:cs="Wingdings"/>
    </w:rPr>
  </w:style>
  <w:style w:type="character" w:customStyle="1" w:styleId="ListLabel95">
    <w:name w:val="ListLabel 95"/>
    <w:qFormat/>
    <w:rsid w:val="00616BC2"/>
    <w:rPr>
      <w:rFonts w:cs="Symbol"/>
    </w:rPr>
  </w:style>
  <w:style w:type="character" w:customStyle="1" w:styleId="ListLabel96">
    <w:name w:val="ListLabel 96"/>
    <w:qFormat/>
    <w:rsid w:val="00616BC2"/>
    <w:rPr>
      <w:rFonts w:cs="Courier New"/>
    </w:rPr>
  </w:style>
  <w:style w:type="character" w:customStyle="1" w:styleId="ListLabel97">
    <w:name w:val="ListLabel 97"/>
    <w:qFormat/>
    <w:rsid w:val="00616BC2"/>
    <w:rPr>
      <w:rFonts w:cs="Wingdings"/>
    </w:rPr>
  </w:style>
  <w:style w:type="character" w:customStyle="1" w:styleId="ListLabel98">
    <w:name w:val="ListLabel 98"/>
    <w:qFormat/>
    <w:rsid w:val="00616BC2"/>
    <w:rPr>
      <w:rFonts w:cs="Symbol"/>
    </w:rPr>
  </w:style>
  <w:style w:type="character" w:customStyle="1" w:styleId="ListLabel99">
    <w:name w:val="ListLabel 99"/>
    <w:qFormat/>
    <w:rsid w:val="00616BC2"/>
    <w:rPr>
      <w:rFonts w:cs="Courier New"/>
    </w:rPr>
  </w:style>
  <w:style w:type="character" w:customStyle="1" w:styleId="ListLabel100">
    <w:name w:val="ListLabel 100"/>
    <w:qFormat/>
    <w:rsid w:val="00616BC2"/>
    <w:rPr>
      <w:rFonts w:cs="Wingdings"/>
    </w:rPr>
  </w:style>
  <w:style w:type="character" w:customStyle="1" w:styleId="ListLabel101">
    <w:name w:val="ListLabel 101"/>
    <w:qFormat/>
    <w:rsid w:val="00616BC2"/>
    <w:rPr>
      <w:rFonts w:cs="Symbol"/>
    </w:rPr>
  </w:style>
  <w:style w:type="character" w:customStyle="1" w:styleId="ListLabel102">
    <w:name w:val="ListLabel 102"/>
    <w:qFormat/>
    <w:rsid w:val="00616BC2"/>
    <w:rPr>
      <w:rFonts w:cs="Courier New"/>
    </w:rPr>
  </w:style>
  <w:style w:type="character" w:customStyle="1" w:styleId="ListLabel103">
    <w:name w:val="ListLabel 103"/>
    <w:qFormat/>
    <w:rsid w:val="00616BC2"/>
    <w:rPr>
      <w:rFonts w:cs="Wingdings"/>
    </w:rPr>
  </w:style>
  <w:style w:type="character" w:customStyle="1" w:styleId="ListLabel104">
    <w:name w:val="ListLabel 104"/>
    <w:qFormat/>
    <w:rsid w:val="00616BC2"/>
    <w:rPr>
      <w:rFonts w:cs="Symbol"/>
    </w:rPr>
  </w:style>
  <w:style w:type="character" w:customStyle="1" w:styleId="ListLabel105">
    <w:name w:val="ListLabel 105"/>
    <w:qFormat/>
    <w:rsid w:val="00616BC2"/>
    <w:rPr>
      <w:rFonts w:cs="Courier New"/>
    </w:rPr>
  </w:style>
  <w:style w:type="character" w:customStyle="1" w:styleId="ListLabel106">
    <w:name w:val="ListLabel 106"/>
    <w:qFormat/>
    <w:rsid w:val="00616BC2"/>
    <w:rPr>
      <w:rFonts w:cs="Wingdings"/>
    </w:rPr>
  </w:style>
  <w:style w:type="character" w:customStyle="1" w:styleId="ListLabel107">
    <w:name w:val="ListLabel 107"/>
    <w:qFormat/>
    <w:rsid w:val="00616BC2"/>
    <w:rPr>
      <w:rFonts w:ascii="Times New Roman" w:hAnsi="Times New Roman" w:cs="Times New Roman"/>
      <w:sz w:val="24"/>
    </w:rPr>
  </w:style>
  <w:style w:type="character" w:customStyle="1" w:styleId="ListLabel108">
    <w:name w:val="ListLabel 108"/>
    <w:qFormat/>
    <w:rsid w:val="00616BC2"/>
    <w:rPr>
      <w:rFonts w:cs="Courier New"/>
    </w:rPr>
  </w:style>
  <w:style w:type="character" w:customStyle="1" w:styleId="ListLabel109">
    <w:name w:val="ListLabel 109"/>
    <w:qFormat/>
    <w:rsid w:val="00616BC2"/>
    <w:rPr>
      <w:rFonts w:cs="Wingdings"/>
    </w:rPr>
  </w:style>
  <w:style w:type="character" w:customStyle="1" w:styleId="ListLabel110">
    <w:name w:val="ListLabel 110"/>
    <w:qFormat/>
    <w:rsid w:val="00616BC2"/>
    <w:rPr>
      <w:rFonts w:cs="Symbol"/>
    </w:rPr>
  </w:style>
  <w:style w:type="character" w:customStyle="1" w:styleId="ListLabel111">
    <w:name w:val="ListLabel 111"/>
    <w:qFormat/>
    <w:rsid w:val="00616BC2"/>
    <w:rPr>
      <w:rFonts w:cs="Courier New"/>
    </w:rPr>
  </w:style>
  <w:style w:type="character" w:customStyle="1" w:styleId="ListLabel112">
    <w:name w:val="ListLabel 112"/>
    <w:qFormat/>
    <w:rsid w:val="00616BC2"/>
    <w:rPr>
      <w:rFonts w:cs="Wingdings"/>
    </w:rPr>
  </w:style>
  <w:style w:type="character" w:customStyle="1" w:styleId="ListLabel113">
    <w:name w:val="ListLabel 113"/>
    <w:qFormat/>
    <w:rsid w:val="00616BC2"/>
    <w:rPr>
      <w:rFonts w:cs="Symbol"/>
    </w:rPr>
  </w:style>
  <w:style w:type="character" w:customStyle="1" w:styleId="ListLabel114">
    <w:name w:val="ListLabel 114"/>
    <w:qFormat/>
    <w:rsid w:val="00616BC2"/>
    <w:rPr>
      <w:rFonts w:cs="Courier New"/>
    </w:rPr>
  </w:style>
  <w:style w:type="character" w:customStyle="1" w:styleId="ListLabel115">
    <w:name w:val="ListLabel 115"/>
    <w:qFormat/>
    <w:rsid w:val="00616BC2"/>
    <w:rPr>
      <w:rFonts w:cs="Wingdings"/>
    </w:rPr>
  </w:style>
  <w:style w:type="character" w:customStyle="1" w:styleId="ListLabel116">
    <w:name w:val="ListLabel 116"/>
    <w:qFormat/>
    <w:rsid w:val="00616BC2"/>
    <w:rPr>
      <w:rFonts w:cs="Symbol"/>
    </w:rPr>
  </w:style>
  <w:style w:type="character" w:customStyle="1" w:styleId="ListLabel117">
    <w:name w:val="ListLabel 117"/>
    <w:qFormat/>
    <w:rsid w:val="00616BC2"/>
    <w:rPr>
      <w:rFonts w:cs="Courier New"/>
    </w:rPr>
  </w:style>
  <w:style w:type="character" w:customStyle="1" w:styleId="ListLabel118">
    <w:name w:val="ListLabel 118"/>
    <w:qFormat/>
    <w:rsid w:val="00616BC2"/>
    <w:rPr>
      <w:rFonts w:cs="Wingdings"/>
    </w:rPr>
  </w:style>
  <w:style w:type="character" w:customStyle="1" w:styleId="ListLabel119">
    <w:name w:val="ListLabel 119"/>
    <w:qFormat/>
    <w:rsid w:val="00616BC2"/>
    <w:rPr>
      <w:rFonts w:cs="Symbol"/>
    </w:rPr>
  </w:style>
  <w:style w:type="character" w:customStyle="1" w:styleId="ListLabel120">
    <w:name w:val="ListLabel 120"/>
    <w:qFormat/>
    <w:rsid w:val="00616BC2"/>
    <w:rPr>
      <w:rFonts w:cs="Courier New"/>
    </w:rPr>
  </w:style>
  <w:style w:type="character" w:customStyle="1" w:styleId="ListLabel121">
    <w:name w:val="ListLabel 121"/>
    <w:qFormat/>
    <w:rsid w:val="00616BC2"/>
    <w:rPr>
      <w:rFonts w:cs="Wingdings"/>
    </w:rPr>
  </w:style>
  <w:style w:type="character" w:customStyle="1" w:styleId="ListLabel122">
    <w:name w:val="ListLabel 122"/>
    <w:qFormat/>
    <w:rsid w:val="00616BC2"/>
    <w:rPr>
      <w:rFonts w:cs="Symbol"/>
    </w:rPr>
  </w:style>
  <w:style w:type="character" w:customStyle="1" w:styleId="ListLabel123">
    <w:name w:val="ListLabel 123"/>
    <w:qFormat/>
    <w:rsid w:val="00616BC2"/>
    <w:rPr>
      <w:rFonts w:cs="Courier New"/>
    </w:rPr>
  </w:style>
  <w:style w:type="character" w:customStyle="1" w:styleId="ListLabel124">
    <w:name w:val="ListLabel 124"/>
    <w:qFormat/>
    <w:rsid w:val="00616BC2"/>
    <w:rPr>
      <w:rFonts w:cs="Wingdings"/>
    </w:rPr>
  </w:style>
  <w:style w:type="character" w:customStyle="1" w:styleId="ListLabel125">
    <w:name w:val="ListLabel 125"/>
    <w:qFormat/>
    <w:rsid w:val="00616BC2"/>
    <w:rPr>
      <w:rFonts w:ascii="Times New Roman" w:hAnsi="Times New Roman" w:cs="Times New Roman"/>
      <w:sz w:val="24"/>
    </w:rPr>
  </w:style>
  <w:style w:type="character" w:customStyle="1" w:styleId="ListLabel126">
    <w:name w:val="ListLabel 126"/>
    <w:qFormat/>
    <w:rsid w:val="00616BC2"/>
    <w:rPr>
      <w:rFonts w:cs="Courier New"/>
    </w:rPr>
  </w:style>
  <w:style w:type="character" w:customStyle="1" w:styleId="ListLabel127">
    <w:name w:val="ListLabel 127"/>
    <w:qFormat/>
    <w:rsid w:val="00616BC2"/>
    <w:rPr>
      <w:rFonts w:cs="Wingdings"/>
    </w:rPr>
  </w:style>
  <w:style w:type="character" w:customStyle="1" w:styleId="ListLabel128">
    <w:name w:val="ListLabel 128"/>
    <w:qFormat/>
    <w:rsid w:val="00616BC2"/>
    <w:rPr>
      <w:rFonts w:cs="Symbol"/>
    </w:rPr>
  </w:style>
  <w:style w:type="character" w:customStyle="1" w:styleId="ListLabel129">
    <w:name w:val="ListLabel 129"/>
    <w:qFormat/>
    <w:rsid w:val="00616BC2"/>
    <w:rPr>
      <w:rFonts w:cs="Courier New"/>
    </w:rPr>
  </w:style>
  <w:style w:type="character" w:customStyle="1" w:styleId="ListLabel130">
    <w:name w:val="ListLabel 130"/>
    <w:qFormat/>
    <w:rsid w:val="00616BC2"/>
    <w:rPr>
      <w:rFonts w:cs="Wingdings"/>
    </w:rPr>
  </w:style>
  <w:style w:type="character" w:customStyle="1" w:styleId="ListLabel131">
    <w:name w:val="ListLabel 131"/>
    <w:qFormat/>
    <w:rsid w:val="00616BC2"/>
    <w:rPr>
      <w:rFonts w:cs="Symbol"/>
    </w:rPr>
  </w:style>
  <w:style w:type="character" w:customStyle="1" w:styleId="ListLabel132">
    <w:name w:val="ListLabel 132"/>
    <w:qFormat/>
    <w:rsid w:val="00616BC2"/>
    <w:rPr>
      <w:rFonts w:cs="Courier New"/>
    </w:rPr>
  </w:style>
  <w:style w:type="character" w:customStyle="1" w:styleId="ListLabel133">
    <w:name w:val="ListLabel 133"/>
    <w:qFormat/>
    <w:rsid w:val="00616BC2"/>
    <w:rPr>
      <w:rFonts w:cs="Wingdings"/>
    </w:rPr>
  </w:style>
  <w:style w:type="character" w:customStyle="1" w:styleId="ListLabel134">
    <w:name w:val="ListLabel 134"/>
    <w:qFormat/>
    <w:rsid w:val="00616BC2"/>
    <w:rPr>
      <w:rFonts w:cs="Symbol"/>
    </w:rPr>
  </w:style>
  <w:style w:type="character" w:customStyle="1" w:styleId="ListLabel135">
    <w:name w:val="ListLabel 135"/>
    <w:qFormat/>
    <w:rsid w:val="00616BC2"/>
    <w:rPr>
      <w:rFonts w:cs="Courier New"/>
    </w:rPr>
  </w:style>
  <w:style w:type="character" w:customStyle="1" w:styleId="ListLabel136">
    <w:name w:val="ListLabel 136"/>
    <w:qFormat/>
    <w:rsid w:val="00616BC2"/>
    <w:rPr>
      <w:rFonts w:cs="Wingdings"/>
    </w:rPr>
  </w:style>
  <w:style w:type="character" w:customStyle="1" w:styleId="ListLabel137">
    <w:name w:val="ListLabel 137"/>
    <w:qFormat/>
    <w:rsid w:val="00616BC2"/>
    <w:rPr>
      <w:rFonts w:cs="Symbol"/>
    </w:rPr>
  </w:style>
  <w:style w:type="character" w:customStyle="1" w:styleId="ListLabel138">
    <w:name w:val="ListLabel 138"/>
    <w:qFormat/>
    <w:rsid w:val="00616BC2"/>
    <w:rPr>
      <w:rFonts w:cs="Courier New"/>
    </w:rPr>
  </w:style>
  <w:style w:type="character" w:customStyle="1" w:styleId="ListLabel139">
    <w:name w:val="ListLabel 139"/>
    <w:qFormat/>
    <w:rsid w:val="00616BC2"/>
    <w:rPr>
      <w:rFonts w:cs="Wingdings"/>
    </w:rPr>
  </w:style>
  <w:style w:type="character" w:customStyle="1" w:styleId="ListLabel140">
    <w:name w:val="ListLabel 140"/>
    <w:qFormat/>
    <w:rsid w:val="00616BC2"/>
    <w:rPr>
      <w:rFonts w:cs="Symbol"/>
    </w:rPr>
  </w:style>
  <w:style w:type="character" w:customStyle="1" w:styleId="ListLabel141">
    <w:name w:val="ListLabel 141"/>
    <w:qFormat/>
    <w:rsid w:val="00616BC2"/>
    <w:rPr>
      <w:rFonts w:cs="Courier New"/>
    </w:rPr>
  </w:style>
  <w:style w:type="character" w:customStyle="1" w:styleId="ListLabel142">
    <w:name w:val="ListLabel 142"/>
    <w:qFormat/>
    <w:rsid w:val="00616BC2"/>
    <w:rPr>
      <w:rFonts w:cs="Wingdings"/>
    </w:rPr>
  </w:style>
  <w:style w:type="character" w:customStyle="1" w:styleId="ListLabel143">
    <w:name w:val="ListLabel 143"/>
    <w:qFormat/>
    <w:rsid w:val="00616BC2"/>
    <w:rPr>
      <w:rFonts w:ascii="Times New Roman" w:hAnsi="Times New Roman" w:cs="Times New Roman"/>
      <w:sz w:val="24"/>
    </w:rPr>
  </w:style>
  <w:style w:type="character" w:customStyle="1" w:styleId="ListLabel144">
    <w:name w:val="ListLabel 144"/>
    <w:qFormat/>
    <w:rsid w:val="00616BC2"/>
    <w:rPr>
      <w:rFonts w:cs="Courier New"/>
    </w:rPr>
  </w:style>
  <w:style w:type="character" w:customStyle="1" w:styleId="ListLabel145">
    <w:name w:val="ListLabel 145"/>
    <w:qFormat/>
    <w:rsid w:val="00616BC2"/>
    <w:rPr>
      <w:rFonts w:cs="Wingdings"/>
    </w:rPr>
  </w:style>
  <w:style w:type="character" w:customStyle="1" w:styleId="ListLabel146">
    <w:name w:val="ListLabel 146"/>
    <w:qFormat/>
    <w:rsid w:val="00616BC2"/>
    <w:rPr>
      <w:rFonts w:cs="Symbol"/>
    </w:rPr>
  </w:style>
  <w:style w:type="character" w:customStyle="1" w:styleId="ListLabel147">
    <w:name w:val="ListLabel 147"/>
    <w:qFormat/>
    <w:rsid w:val="00616BC2"/>
    <w:rPr>
      <w:rFonts w:cs="Courier New"/>
    </w:rPr>
  </w:style>
  <w:style w:type="character" w:customStyle="1" w:styleId="ListLabel148">
    <w:name w:val="ListLabel 148"/>
    <w:qFormat/>
    <w:rsid w:val="00616BC2"/>
    <w:rPr>
      <w:rFonts w:cs="Wingdings"/>
    </w:rPr>
  </w:style>
  <w:style w:type="character" w:customStyle="1" w:styleId="ListLabel149">
    <w:name w:val="ListLabel 149"/>
    <w:qFormat/>
    <w:rsid w:val="00616BC2"/>
    <w:rPr>
      <w:rFonts w:cs="Symbol"/>
    </w:rPr>
  </w:style>
  <w:style w:type="character" w:customStyle="1" w:styleId="ListLabel150">
    <w:name w:val="ListLabel 150"/>
    <w:qFormat/>
    <w:rsid w:val="00616BC2"/>
    <w:rPr>
      <w:rFonts w:cs="Courier New"/>
    </w:rPr>
  </w:style>
  <w:style w:type="character" w:customStyle="1" w:styleId="ListLabel151">
    <w:name w:val="ListLabel 151"/>
    <w:qFormat/>
    <w:rsid w:val="00616BC2"/>
    <w:rPr>
      <w:rFonts w:cs="Wingdings"/>
    </w:rPr>
  </w:style>
  <w:style w:type="character" w:customStyle="1" w:styleId="ListLabel152">
    <w:name w:val="ListLabel 152"/>
    <w:qFormat/>
    <w:rsid w:val="00616BC2"/>
    <w:rPr>
      <w:rFonts w:cs="Symbol"/>
    </w:rPr>
  </w:style>
  <w:style w:type="character" w:customStyle="1" w:styleId="ListLabel153">
    <w:name w:val="ListLabel 153"/>
    <w:qFormat/>
    <w:rsid w:val="00616BC2"/>
    <w:rPr>
      <w:rFonts w:cs="Courier New"/>
    </w:rPr>
  </w:style>
  <w:style w:type="character" w:customStyle="1" w:styleId="ListLabel154">
    <w:name w:val="ListLabel 154"/>
    <w:qFormat/>
    <w:rsid w:val="00616BC2"/>
    <w:rPr>
      <w:rFonts w:cs="Wingdings"/>
    </w:rPr>
  </w:style>
  <w:style w:type="character" w:customStyle="1" w:styleId="ListLabel155">
    <w:name w:val="ListLabel 155"/>
    <w:qFormat/>
    <w:rsid w:val="00616BC2"/>
    <w:rPr>
      <w:rFonts w:cs="Symbol"/>
    </w:rPr>
  </w:style>
  <w:style w:type="character" w:customStyle="1" w:styleId="ListLabel156">
    <w:name w:val="ListLabel 156"/>
    <w:qFormat/>
    <w:rsid w:val="00616BC2"/>
    <w:rPr>
      <w:rFonts w:cs="Courier New"/>
    </w:rPr>
  </w:style>
  <w:style w:type="character" w:customStyle="1" w:styleId="ListLabel157">
    <w:name w:val="ListLabel 157"/>
    <w:qFormat/>
    <w:rsid w:val="00616BC2"/>
    <w:rPr>
      <w:rFonts w:cs="Wingdings"/>
    </w:rPr>
  </w:style>
  <w:style w:type="character" w:customStyle="1" w:styleId="ListLabel158">
    <w:name w:val="ListLabel 158"/>
    <w:qFormat/>
    <w:rsid w:val="00616BC2"/>
    <w:rPr>
      <w:rFonts w:cs="Symbol"/>
    </w:rPr>
  </w:style>
  <w:style w:type="character" w:customStyle="1" w:styleId="ListLabel159">
    <w:name w:val="ListLabel 159"/>
    <w:qFormat/>
    <w:rsid w:val="00616BC2"/>
    <w:rPr>
      <w:rFonts w:cs="Courier New"/>
    </w:rPr>
  </w:style>
  <w:style w:type="character" w:customStyle="1" w:styleId="ListLabel160">
    <w:name w:val="ListLabel 160"/>
    <w:qFormat/>
    <w:rsid w:val="00616BC2"/>
    <w:rPr>
      <w:rFonts w:cs="Wingdings"/>
    </w:rPr>
  </w:style>
  <w:style w:type="character" w:customStyle="1" w:styleId="ListLabel161">
    <w:name w:val="ListLabel 161"/>
    <w:qFormat/>
    <w:rsid w:val="00616BC2"/>
    <w:rPr>
      <w:rFonts w:ascii="Times New Roman" w:hAnsi="Times New Roman" w:cs="Times New Roman"/>
      <w:sz w:val="24"/>
    </w:rPr>
  </w:style>
  <w:style w:type="character" w:customStyle="1" w:styleId="ListLabel162">
    <w:name w:val="ListLabel 162"/>
    <w:qFormat/>
    <w:rsid w:val="00616BC2"/>
    <w:rPr>
      <w:rFonts w:cs="Courier New"/>
    </w:rPr>
  </w:style>
  <w:style w:type="character" w:customStyle="1" w:styleId="ListLabel163">
    <w:name w:val="ListLabel 163"/>
    <w:qFormat/>
    <w:rsid w:val="00616BC2"/>
    <w:rPr>
      <w:rFonts w:cs="Wingdings"/>
    </w:rPr>
  </w:style>
  <w:style w:type="character" w:customStyle="1" w:styleId="ListLabel164">
    <w:name w:val="ListLabel 164"/>
    <w:qFormat/>
    <w:rsid w:val="00616BC2"/>
    <w:rPr>
      <w:rFonts w:cs="Symbol"/>
    </w:rPr>
  </w:style>
  <w:style w:type="character" w:customStyle="1" w:styleId="ListLabel165">
    <w:name w:val="ListLabel 165"/>
    <w:qFormat/>
    <w:rsid w:val="00616BC2"/>
    <w:rPr>
      <w:rFonts w:cs="Courier New"/>
    </w:rPr>
  </w:style>
  <w:style w:type="character" w:customStyle="1" w:styleId="ListLabel166">
    <w:name w:val="ListLabel 166"/>
    <w:qFormat/>
    <w:rsid w:val="00616BC2"/>
    <w:rPr>
      <w:rFonts w:cs="Wingdings"/>
    </w:rPr>
  </w:style>
  <w:style w:type="character" w:customStyle="1" w:styleId="ListLabel167">
    <w:name w:val="ListLabel 167"/>
    <w:qFormat/>
    <w:rsid w:val="00616BC2"/>
    <w:rPr>
      <w:rFonts w:cs="Symbol"/>
    </w:rPr>
  </w:style>
  <w:style w:type="character" w:customStyle="1" w:styleId="ListLabel168">
    <w:name w:val="ListLabel 168"/>
    <w:qFormat/>
    <w:rsid w:val="00616BC2"/>
    <w:rPr>
      <w:rFonts w:cs="Courier New"/>
    </w:rPr>
  </w:style>
  <w:style w:type="character" w:customStyle="1" w:styleId="ListLabel169">
    <w:name w:val="ListLabel 169"/>
    <w:qFormat/>
    <w:rsid w:val="00616BC2"/>
    <w:rPr>
      <w:rFonts w:cs="Wingdings"/>
    </w:rPr>
  </w:style>
  <w:style w:type="character" w:customStyle="1" w:styleId="ListLabel170">
    <w:name w:val="ListLabel 170"/>
    <w:qFormat/>
    <w:rsid w:val="00616BC2"/>
    <w:rPr>
      <w:rFonts w:cs="Symbol"/>
    </w:rPr>
  </w:style>
  <w:style w:type="character" w:customStyle="1" w:styleId="ListLabel171">
    <w:name w:val="ListLabel 171"/>
    <w:qFormat/>
    <w:rsid w:val="00616BC2"/>
    <w:rPr>
      <w:rFonts w:cs="Courier New"/>
    </w:rPr>
  </w:style>
  <w:style w:type="character" w:customStyle="1" w:styleId="ListLabel172">
    <w:name w:val="ListLabel 172"/>
    <w:qFormat/>
    <w:rsid w:val="00616BC2"/>
    <w:rPr>
      <w:rFonts w:cs="Wingdings"/>
    </w:rPr>
  </w:style>
  <w:style w:type="character" w:customStyle="1" w:styleId="ListLabel173">
    <w:name w:val="ListLabel 173"/>
    <w:qFormat/>
    <w:rsid w:val="00616BC2"/>
    <w:rPr>
      <w:rFonts w:cs="Symbol"/>
    </w:rPr>
  </w:style>
  <w:style w:type="character" w:customStyle="1" w:styleId="ListLabel174">
    <w:name w:val="ListLabel 174"/>
    <w:qFormat/>
    <w:rsid w:val="00616BC2"/>
    <w:rPr>
      <w:rFonts w:cs="Courier New"/>
    </w:rPr>
  </w:style>
  <w:style w:type="character" w:customStyle="1" w:styleId="ListLabel175">
    <w:name w:val="ListLabel 175"/>
    <w:qFormat/>
    <w:rsid w:val="00616BC2"/>
    <w:rPr>
      <w:rFonts w:cs="Wingdings"/>
    </w:rPr>
  </w:style>
  <w:style w:type="character" w:customStyle="1" w:styleId="ListLabel176">
    <w:name w:val="ListLabel 176"/>
    <w:qFormat/>
    <w:rsid w:val="00616BC2"/>
    <w:rPr>
      <w:rFonts w:cs="Symbol"/>
    </w:rPr>
  </w:style>
  <w:style w:type="character" w:customStyle="1" w:styleId="ListLabel177">
    <w:name w:val="ListLabel 177"/>
    <w:qFormat/>
    <w:rsid w:val="00616BC2"/>
    <w:rPr>
      <w:rFonts w:cs="Courier New"/>
    </w:rPr>
  </w:style>
  <w:style w:type="character" w:customStyle="1" w:styleId="ListLabel178">
    <w:name w:val="ListLabel 178"/>
    <w:qFormat/>
    <w:rsid w:val="00616BC2"/>
    <w:rPr>
      <w:rFonts w:cs="Wingdings"/>
    </w:rPr>
  </w:style>
  <w:style w:type="character" w:customStyle="1" w:styleId="ListLabel179">
    <w:name w:val="ListLabel 179"/>
    <w:qFormat/>
    <w:rsid w:val="00616BC2"/>
    <w:rPr>
      <w:rFonts w:ascii="Times New Roman" w:hAnsi="Times New Roman" w:cs="Times New Roman"/>
      <w:sz w:val="24"/>
    </w:rPr>
  </w:style>
  <w:style w:type="character" w:customStyle="1" w:styleId="ListLabel180">
    <w:name w:val="ListLabel 180"/>
    <w:qFormat/>
    <w:rsid w:val="00616BC2"/>
    <w:rPr>
      <w:rFonts w:cs="Courier New"/>
    </w:rPr>
  </w:style>
  <w:style w:type="character" w:customStyle="1" w:styleId="ListLabel181">
    <w:name w:val="ListLabel 181"/>
    <w:qFormat/>
    <w:rsid w:val="00616BC2"/>
    <w:rPr>
      <w:rFonts w:cs="Wingdings"/>
    </w:rPr>
  </w:style>
  <w:style w:type="character" w:customStyle="1" w:styleId="ListLabel182">
    <w:name w:val="ListLabel 182"/>
    <w:qFormat/>
    <w:rsid w:val="00616BC2"/>
    <w:rPr>
      <w:rFonts w:cs="Symbol"/>
    </w:rPr>
  </w:style>
  <w:style w:type="character" w:customStyle="1" w:styleId="ListLabel183">
    <w:name w:val="ListLabel 183"/>
    <w:qFormat/>
    <w:rsid w:val="00616BC2"/>
    <w:rPr>
      <w:rFonts w:cs="Courier New"/>
    </w:rPr>
  </w:style>
  <w:style w:type="character" w:customStyle="1" w:styleId="ListLabel184">
    <w:name w:val="ListLabel 184"/>
    <w:qFormat/>
    <w:rsid w:val="00616BC2"/>
    <w:rPr>
      <w:rFonts w:cs="Wingdings"/>
    </w:rPr>
  </w:style>
  <w:style w:type="character" w:customStyle="1" w:styleId="ListLabel185">
    <w:name w:val="ListLabel 185"/>
    <w:qFormat/>
    <w:rsid w:val="00616BC2"/>
    <w:rPr>
      <w:rFonts w:cs="Symbol"/>
    </w:rPr>
  </w:style>
  <w:style w:type="character" w:customStyle="1" w:styleId="ListLabel186">
    <w:name w:val="ListLabel 186"/>
    <w:qFormat/>
    <w:rsid w:val="00616BC2"/>
    <w:rPr>
      <w:rFonts w:cs="Courier New"/>
    </w:rPr>
  </w:style>
  <w:style w:type="character" w:customStyle="1" w:styleId="ListLabel187">
    <w:name w:val="ListLabel 187"/>
    <w:qFormat/>
    <w:rsid w:val="00616BC2"/>
    <w:rPr>
      <w:rFonts w:cs="Wingdings"/>
    </w:rPr>
  </w:style>
  <w:style w:type="character" w:customStyle="1" w:styleId="ListLabel188">
    <w:name w:val="ListLabel 188"/>
    <w:qFormat/>
    <w:rsid w:val="00616BC2"/>
    <w:rPr>
      <w:rFonts w:cs="Symbol"/>
    </w:rPr>
  </w:style>
  <w:style w:type="character" w:customStyle="1" w:styleId="ListLabel189">
    <w:name w:val="ListLabel 189"/>
    <w:qFormat/>
    <w:rsid w:val="00616BC2"/>
    <w:rPr>
      <w:rFonts w:cs="Courier New"/>
    </w:rPr>
  </w:style>
  <w:style w:type="character" w:customStyle="1" w:styleId="ListLabel190">
    <w:name w:val="ListLabel 190"/>
    <w:qFormat/>
    <w:rsid w:val="00616BC2"/>
    <w:rPr>
      <w:rFonts w:cs="Wingdings"/>
    </w:rPr>
  </w:style>
  <w:style w:type="character" w:customStyle="1" w:styleId="ListLabel191">
    <w:name w:val="ListLabel 191"/>
    <w:qFormat/>
    <w:rsid w:val="00616BC2"/>
    <w:rPr>
      <w:rFonts w:cs="Symbol"/>
    </w:rPr>
  </w:style>
  <w:style w:type="character" w:customStyle="1" w:styleId="ListLabel192">
    <w:name w:val="ListLabel 192"/>
    <w:qFormat/>
    <w:rsid w:val="00616BC2"/>
    <w:rPr>
      <w:rFonts w:cs="Courier New"/>
    </w:rPr>
  </w:style>
  <w:style w:type="character" w:customStyle="1" w:styleId="ListLabel193">
    <w:name w:val="ListLabel 193"/>
    <w:qFormat/>
    <w:rsid w:val="00616BC2"/>
    <w:rPr>
      <w:rFonts w:cs="Wingdings"/>
    </w:rPr>
  </w:style>
  <w:style w:type="character" w:customStyle="1" w:styleId="ListLabel194">
    <w:name w:val="ListLabel 194"/>
    <w:qFormat/>
    <w:rsid w:val="00616BC2"/>
    <w:rPr>
      <w:rFonts w:cs="Symbol"/>
    </w:rPr>
  </w:style>
  <w:style w:type="character" w:customStyle="1" w:styleId="ListLabel195">
    <w:name w:val="ListLabel 195"/>
    <w:qFormat/>
    <w:rsid w:val="00616BC2"/>
    <w:rPr>
      <w:rFonts w:cs="Courier New"/>
    </w:rPr>
  </w:style>
  <w:style w:type="character" w:customStyle="1" w:styleId="ListLabel196">
    <w:name w:val="ListLabel 196"/>
    <w:qFormat/>
    <w:rsid w:val="00616BC2"/>
    <w:rPr>
      <w:rFonts w:cs="Wingdings"/>
    </w:rPr>
  </w:style>
  <w:style w:type="character" w:customStyle="1" w:styleId="ListLabel197">
    <w:name w:val="ListLabel 197"/>
    <w:qFormat/>
    <w:rsid w:val="00616BC2"/>
    <w:rPr>
      <w:rFonts w:ascii="Times New Roman" w:hAnsi="Times New Roman" w:cs="Times New Roman"/>
      <w:sz w:val="24"/>
    </w:rPr>
  </w:style>
  <w:style w:type="character" w:customStyle="1" w:styleId="ListLabel198">
    <w:name w:val="ListLabel 198"/>
    <w:qFormat/>
    <w:rsid w:val="00616BC2"/>
    <w:rPr>
      <w:rFonts w:cs="Courier New"/>
    </w:rPr>
  </w:style>
  <w:style w:type="character" w:customStyle="1" w:styleId="ListLabel199">
    <w:name w:val="ListLabel 199"/>
    <w:qFormat/>
    <w:rsid w:val="00616BC2"/>
    <w:rPr>
      <w:rFonts w:cs="Wingdings"/>
    </w:rPr>
  </w:style>
  <w:style w:type="character" w:customStyle="1" w:styleId="ListLabel200">
    <w:name w:val="ListLabel 200"/>
    <w:qFormat/>
    <w:rsid w:val="00616BC2"/>
    <w:rPr>
      <w:rFonts w:cs="Symbol"/>
    </w:rPr>
  </w:style>
  <w:style w:type="character" w:customStyle="1" w:styleId="ListLabel201">
    <w:name w:val="ListLabel 201"/>
    <w:qFormat/>
    <w:rsid w:val="00616BC2"/>
    <w:rPr>
      <w:rFonts w:cs="Courier New"/>
    </w:rPr>
  </w:style>
  <w:style w:type="character" w:customStyle="1" w:styleId="ListLabel202">
    <w:name w:val="ListLabel 202"/>
    <w:qFormat/>
    <w:rsid w:val="00616BC2"/>
    <w:rPr>
      <w:rFonts w:cs="Wingdings"/>
    </w:rPr>
  </w:style>
  <w:style w:type="character" w:customStyle="1" w:styleId="ListLabel203">
    <w:name w:val="ListLabel 203"/>
    <w:qFormat/>
    <w:rsid w:val="00616BC2"/>
    <w:rPr>
      <w:rFonts w:cs="Symbol"/>
    </w:rPr>
  </w:style>
  <w:style w:type="character" w:customStyle="1" w:styleId="ListLabel204">
    <w:name w:val="ListLabel 204"/>
    <w:qFormat/>
    <w:rsid w:val="00616BC2"/>
    <w:rPr>
      <w:rFonts w:cs="Courier New"/>
    </w:rPr>
  </w:style>
  <w:style w:type="character" w:customStyle="1" w:styleId="ListLabel205">
    <w:name w:val="ListLabel 205"/>
    <w:qFormat/>
    <w:rsid w:val="00616BC2"/>
    <w:rPr>
      <w:rFonts w:cs="Wingdings"/>
    </w:rPr>
  </w:style>
  <w:style w:type="character" w:customStyle="1" w:styleId="ListLabel206">
    <w:name w:val="ListLabel 206"/>
    <w:qFormat/>
    <w:rsid w:val="00616BC2"/>
    <w:rPr>
      <w:rFonts w:cs="Symbol"/>
    </w:rPr>
  </w:style>
  <w:style w:type="character" w:customStyle="1" w:styleId="ListLabel207">
    <w:name w:val="ListLabel 207"/>
    <w:qFormat/>
    <w:rsid w:val="00616BC2"/>
    <w:rPr>
      <w:rFonts w:cs="Courier New"/>
    </w:rPr>
  </w:style>
  <w:style w:type="character" w:customStyle="1" w:styleId="ListLabel208">
    <w:name w:val="ListLabel 208"/>
    <w:qFormat/>
    <w:rsid w:val="00616BC2"/>
    <w:rPr>
      <w:rFonts w:cs="Wingdings"/>
    </w:rPr>
  </w:style>
  <w:style w:type="character" w:customStyle="1" w:styleId="ListLabel209">
    <w:name w:val="ListLabel 209"/>
    <w:qFormat/>
    <w:rsid w:val="00616BC2"/>
    <w:rPr>
      <w:rFonts w:cs="Symbol"/>
    </w:rPr>
  </w:style>
  <w:style w:type="character" w:customStyle="1" w:styleId="ListLabel210">
    <w:name w:val="ListLabel 210"/>
    <w:qFormat/>
    <w:rsid w:val="00616BC2"/>
    <w:rPr>
      <w:rFonts w:cs="Courier New"/>
    </w:rPr>
  </w:style>
  <w:style w:type="character" w:customStyle="1" w:styleId="ListLabel211">
    <w:name w:val="ListLabel 211"/>
    <w:qFormat/>
    <w:rsid w:val="00616BC2"/>
    <w:rPr>
      <w:rFonts w:cs="Wingdings"/>
    </w:rPr>
  </w:style>
  <w:style w:type="character" w:customStyle="1" w:styleId="ListLabel212">
    <w:name w:val="ListLabel 212"/>
    <w:qFormat/>
    <w:rsid w:val="00616BC2"/>
    <w:rPr>
      <w:rFonts w:cs="Symbol"/>
    </w:rPr>
  </w:style>
  <w:style w:type="character" w:customStyle="1" w:styleId="ListLabel213">
    <w:name w:val="ListLabel 213"/>
    <w:qFormat/>
    <w:rsid w:val="00616BC2"/>
    <w:rPr>
      <w:rFonts w:cs="Courier New"/>
    </w:rPr>
  </w:style>
  <w:style w:type="character" w:customStyle="1" w:styleId="ListLabel214">
    <w:name w:val="ListLabel 214"/>
    <w:qFormat/>
    <w:rsid w:val="00616BC2"/>
    <w:rPr>
      <w:rFonts w:cs="Wingdings"/>
    </w:rPr>
  </w:style>
  <w:style w:type="paragraph" w:customStyle="1" w:styleId="berschrift">
    <w:name w:val="Überschrift"/>
    <w:basedOn w:val="Normalny"/>
    <w:next w:val="Tekstpodstawowy"/>
    <w:qFormat/>
    <w:rsid w:val="00616BC2"/>
    <w:pPr>
      <w:keepNext/>
      <w:overflowPunct w:val="0"/>
      <w:spacing w:before="240" w:line="276" w:lineRule="auto"/>
      <w:jc w:val="left"/>
    </w:pPr>
    <w:rPr>
      <w:rFonts w:ascii="Liberation Sans" w:eastAsia="WenQuanYi Micro Hei" w:hAnsi="Liberation Sans" w:cs="Lohit Devanagari"/>
      <w:color w:val="00000A"/>
      <w:sz w:val="28"/>
      <w:szCs w:val="28"/>
    </w:rPr>
  </w:style>
  <w:style w:type="paragraph" w:styleId="Tekstpodstawowy">
    <w:name w:val="Body Text"/>
    <w:basedOn w:val="Normalny"/>
    <w:link w:val="TekstpodstawowyZnak"/>
    <w:rsid w:val="00616BC2"/>
    <w:pPr>
      <w:overflowPunct w:val="0"/>
      <w:spacing w:before="0" w:after="140" w:line="288" w:lineRule="auto"/>
      <w:jc w:val="left"/>
    </w:pPr>
    <w:rPr>
      <w:rFonts w:ascii="Calibri" w:eastAsia="Calibri" w:hAnsi="Calibri" w:cs="DejaVu Sans"/>
      <w:color w:val="00000A"/>
      <w:sz w:val="22"/>
    </w:rPr>
  </w:style>
  <w:style w:type="character" w:customStyle="1" w:styleId="TekstpodstawowyZnak">
    <w:name w:val="Tekst podstawowy Znak"/>
    <w:basedOn w:val="Domylnaczcionkaakapitu"/>
    <w:link w:val="Tekstpodstawowy"/>
    <w:rsid w:val="00616BC2"/>
    <w:rPr>
      <w:rFonts w:ascii="Calibri" w:eastAsia="Calibri" w:hAnsi="Calibri" w:cs="DejaVu Sans"/>
      <w:color w:val="00000A"/>
      <w:lang w:val="pl-PL"/>
    </w:rPr>
  </w:style>
  <w:style w:type="paragraph" w:styleId="Lista">
    <w:name w:val="List"/>
    <w:basedOn w:val="Tekstpodstawowy"/>
    <w:rsid w:val="00616BC2"/>
    <w:rPr>
      <w:rFonts w:cs="Lohit Devanagari"/>
    </w:rPr>
  </w:style>
  <w:style w:type="paragraph" w:styleId="Legenda">
    <w:name w:val="caption"/>
    <w:basedOn w:val="Normalny"/>
    <w:qFormat/>
    <w:rsid w:val="00616BC2"/>
    <w:pPr>
      <w:suppressLineNumbers/>
      <w:overflowPunct w:val="0"/>
      <w:spacing w:line="276" w:lineRule="auto"/>
      <w:jc w:val="left"/>
    </w:pPr>
    <w:rPr>
      <w:rFonts w:ascii="Calibri" w:eastAsia="Calibri" w:hAnsi="Calibri" w:cs="Lohit Devanagari"/>
      <w:i/>
      <w:iCs/>
      <w:color w:val="00000A"/>
      <w:szCs w:val="24"/>
    </w:rPr>
  </w:style>
  <w:style w:type="paragraph" w:customStyle="1" w:styleId="Verzeichnis">
    <w:name w:val="Verzeichnis"/>
    <w:basedOn w:val="Normalny"/>
    <w:qFormat/>
    <w:rsid w:val="00616BC2"/>
    <w:pPr>
      <w:suppressLineNumbers/>
      <w:overflowPunct w:val="0"/>
      <w:spacing w:before="0" w:after="200" w:line="276" w:lineRule="auto"/>
      <w:jc w:val="left"/>
    </w:pPr>
    <w:rPr>
      <w:rFonts w:ascii="Calibri" w:eastAsia="Calibri" w:hAnsi="Calibri" w:cs="Lohit Devanagari"/>
      <w:color w:val="00000A"/>
      <w:sz w:val="22"/>
    </w:rPr>
  </w:style>
  <w:style w:type="paragraph" w:customStyle="1" w:styleId="msonormal0">
    <w:name w:val="msonormal"/>
    <w:basedOn w:val="Normalny"/>
    <w:qFormat/>
    <w:rsid w:val="00616BC2"/>
    <w:pPr>
      <w:overflowPunct w:val="0"/>
      <w:spacing w:before="280" w:after="280"/>
      <w:jc w:val="left"/>
    </w:pPr>
    <w:rPr>
      <w:rFonts w:eastAsia="Times New Roman"/>
      <w:color w:val="00000A"/>
      <w:szCs w:val="24"/>
      <w:lang w:eastAsia="en-GB"/>
    </w:rPr>
  </w:style>
  <w:style w:type="paragraph" w:customStyle="1" w:styleId="addr">
    <w:name w:val="addr"/>
    <w:basedOn w:val="Normalny"/>
    <w:qFormat/>
    <w:rsid w:val="00616BC2"/>
    <w:pPr>
      <w:overflowPunct w:val="0"/>
      <w:spacing w:before="0" w:after="0"/>
    </w:pPr>
    <w:rPr>
      <w:rFonts w:eastAsia="Times New Roman"/>
      <w:color w:val="00000A"/>
      <w:szCs w:val="24"/>
      <w:lang w:eastAsia="en-GB"/>
    </w:rPr>
  </w:style>
  <w:style w:type="paragraph" w:customStyle="1" w:styleId="center">
    <w:name w:val="center"/>
    <w:basedOn w:val="Normalny"/>
    <w:qFormat/>
    <w:rsid w:val="00616BC2"/>
    <w:pPr>
      <w:overflowPunct w:val="0"/>
      <w:spacing w:after="0"/>
      <w:jc w:val="center"/>
    </w:pPr>
    <w:rPr>
      <w:rFonts w:eastAsia="Times New Roman"/>
      <w:color w:val="00000A"/>
      <w:szCs w:val="24"/>
      <w:lang w:eastAsia="en-GB"/>
    </w:rPr>
  </w:style>
  <w:style w:type="paragraph" w:customStyle="1" w:styleId="doc-ti">
    <w:name w:val="doc-ti"/>
    <w:basedOn w:val="Normalny"/>
    <w:qFormat/>
    <w:rsid w:val="00616BC2"/>
    <w:pPr>
      <w:overflowPunct w:val="0"/>
      <w:spacing w:before="240"/>
      <w:jc w:val="center"/>
    </w:pPr>
    <w:rPr>
      <w:rFonts w:eastAsia="Times New Roman"/>
      <w:b/>
      <w:bCs/>
      <w:color w:val="00000A"/>
      <w:szCs w:val="24"/>
      <w:lang w:eastAsia="en-GB"/>
    </w:rPr>
  </w:style>
  <w:style w:type="paragraph" w:customStyle="1" w:styleId="edition">
    <w:name w:val="edition"/>
    <w:basedOn w:val="Normalny"/>
    <w:qFormat/>
    <w:rsid w:val="00616BC2"/>
    <w:pPr>
      <w:overflowPunct w:val="0"/>
      <w:jc w:val="left"/>
    </w:pPr>
    <w:rPr>
      <w:rFonts w:eastAsia="Times New Roman"/>
      <w:color w:val="00000A"/>
      <w:szCs w:val="24"/>
      <w:lang w:eastAsia="en-GB"/>
    </w:rPr>
  </w:style>
  <w:style w:type="paragraph" w:customStyle="1" w:styleId="hd-date">
    <w:name w:val="hd-date"/>
    <w:basedOn w:val="Normalny"/>
    <w:qFormat/>
    <w:rsid w:val="00616BC2"/>
    <w:pPr>
      <w:overflowPunct w:val="0"/>
      <w:jc w:val="left"/>
    </w:pPr>
    <w:rPr>
      <w:rFonts w:eastAsia="Times New Roman"/>
      <w:color w:val="00000A"/>
      <w:szCs w:val="24"/>
      <w:lang w:eastAsia="en-GB"/>
    </w:rPr>
  </w:style>
  <w:style w:type="paragraph" w:customStyle="1" w:styleId="hd-lg">
    <w:name w:val="hd-lg"/>
    <w:basedOn w:val="Normalny"/>
    <w:qFormat/>
    <w:rsid w:val="00616BC2"/>
    <w:pPr>
      <w:pBdr>
        <w:top w:val="single" w:sz="6" w:space="0" w:color="000001"/>
        <w:left w:val="single" w:sz="6" w:space="0" w:color="000001"/>
        <w:bottom w:val="single" w:sz="6" w:space="0" w:color="000001"/>
        <w:right w:val="single" w:sz="6" w:space="0" w:color="000001"/>
      </w:pBdr>
      <w:overflowPunct w:val="0"/>
      <w:jc w:val="center"/>
    </w:pPr>
    <w:rPr>
      <w:rFonts w:eastAsia="Times New Roman"/>
      <w:color w:val="00000A"/>
      <w:szCs w:val="24"/>
      <w:lang w:eastAsia="en-GB"/>
    </w:rPr>
  </w:style>
  <w:style w:type="paragraph" w:customStyle="1" w:styleId="hd-oj">
    <w:name w:val="hd-oj"/>
    <w:basedOn w:val="Normalny"/>
    <w:qFormat/>
    <w:rsid w:val="00616BC2"/>
    <w:pPr>
      <w:overflowPunct w:val="0"/>
      <w:jc w:val="right"/>
    </w:pPr>
    <w:rPr>
      <w:rFonts w:eastAsia="Times New Roman"/>
      <w:color w:val="00000A"/>
      <w:szCs w:val="24"/>
      <w:lang w:eastAsia="en-GB"/>
    </w:rPr>
  </w:style>
  <w:style w:type="paragraph" w:customStyle="1" w:styleId="hd-ti">
    <w:name w:val="hd-ti"/>
    <w:basedOn w:val="Normalny"/>
    <w:qFormat/>
    <w:rsid w:val="00616BC2"/>
    <w:pPr>
      <w:overflowPunct w:val="0"/>
      <w:jc w:val="center"/>
    </w:pPr>
    <w:rPr>
      <w:rFonts w:eastAsia="Times New Roman"/>
      <w:color w:val="00000A"/>
      <w:szCs w:val="24"/>
      <w:lang w:eastAsia="en-GB"/>
    </w:rPr>
  </w:style>
  <w:style w:type="paragraph" w:customStyle="1" w:styleId="image">
    <w:name w:val="image"/>
    <w:basedOn w:val="Normalny"/>
    <w:qFormat/>
    <w:rsid w:val="00616BC2"/>
    <w:pPr>
      <w:overflowPunct w:val="0"/>
      <w:jc w:val="center"/>
    </w:pPr>
    <w:rPr>
      <w:rFonts w:eastAsia="Times New Roman"/>
      <w:color w:val="00000A"/>
      <w:szCs w:val="24"/>
      <w:lang w:eastAsia="en-GB"/>
    </w:rPr>
  </w:style>
  <w:style w:type="paragraph" w:customStyle="1" w:styleId="issn">
    <w:name w:val="issn"/>
    <w:basedOn w:val="Normalny"/>
    <w:qFormat/>
    <w:rsid w:val="00616BC2"/>
    <w:pPr>
      <w:overflowPunct w:val="0"/>
      <w:spacing w:before="240"/>
      <w:jc w:val="right"/>
    </w:pPr>
    <w:rPr>
      <w:rFonts w:eastAsia="Times New Roman"/>
      <w:color w:val="00000A"/>
      <w:sz w:val="19"/>
      <w:szCs w:val="19"/>
      <w:lang w:eastAsia="en-GB"/>
    </w:rPr>
  </w:style>
  <w:style w:type="paragraph" w:customStyle="1" w:styleId="lg">
    <w:name w:val="lg"/>
    <w:basedOn w:val="Normalny"/>
    <w:qFormat/>
    <w:rsid w:val="00616BC2"/>
    <w:pPr>
      <w:pBdr>
        <w:top w:val="single" w:sz="6" w:space="10" w:color="000001"/>
        <w:left w:val="single" w:sz="6" w:space="10" w:color="000001"/>
        <w:bottom w:val="single" w:sz="6" w:space="10" w:color="000001"/>
        <w:right w:val="single" w:sz="6" w:space="10" w:color="000001"/>
      </w:pBdr>
      <w:overflowPunct w:val="0"/>
      <w:jc w:val="center"/>
    </w:pPr>
    <w:rPr>
      <w:rFonts w:eastAsia="Times New Roman"/>
      <w:b/>
      <w:bCs/>
      <w:color w:val="00000A"/>
      <w:sz w:val="58"/>
      <w:szCs w:val="58"/>
      <w:lang w:eastAsia="en-GB"/>
    </w:rPr>
  </w:style>
  <w:style w:type="paragraph" w:customStyle="1" w:styleId="no-doc-c">
    <w:name w:val="no-doc-c"/>
    <w:basedOn w:val="Normalny"/>
    <w:qFormat/>
    <w:rsid w:val="00616BC2"/>
    <w:pPr>
      <w:overflowPunct w:val="0"/>
      <w:jc w:val="center"/>
    </w:pPr>
    <w:rPr>
      <w:rFonts w:eastAsia="Times New Roman"/>
      <w:color w:val="00000A"/>
      <w:szCs w:val="24"/>
      <w:lang w:eastAsia="en-GB"/>
    </w:rPr>
  </w:style>
  <w:style w:type="paragraph" w:customStyle="1" w:styleId="Normal1">
    <w:name w:val="Normal1"/>
    <w:basedOn w:val="Normalny"/>
    <w:qFormat/>
    <w:rsid w:val="00616BC2"/>
    <w:pPr>
      <w:overflowPunct w:val="0"/>
      <w:spacing w:after="0"/>
    </w:pPr>
    <w:rPr>
      <w:rFonts w:eastAsia="Times New Roman"/>
      <w:color w:val="00000A"/>
      <w:szCs w:val="24"/>
      <w:lang w:eastAsia="en-GB"/>
    </w:rPr>
  </w:style>
  <w:style w:type="paragraph" w:customStyle="1" w:styleId="normal-center">
    <w:name w:val="normal-center"/>
    <w:basedOn w:val="Normalny"/>
    <w:qFormat/>
    <w:rsid w:val="00616BC2"/>
    <w:pPr>
      <w:overflowPunct w:val="0"/>
      <w:spacing w:after="0"/>
      <w:jc w:val="center"/>
    </w:pPr>
    <w:rPr>
      <w:rFonts w:eastAsia="Times New Roman"/>
      <w:color w:val="00000A"/>
      <w:szCs w:val="24"/>
      <w:lang w:eastAsia="en-GB"/>
    </w:rPr>
  </w:style>
  <w:style w:type="paragraph" w:customStyle="1" w:styleId="normal-right">
    <w:name w:val="normal-right"/>
    <w:basedOn w:val="Normalny"/>
    <w:qFormat/>
    <w:rsid w:val="00616BC2"/>
    <w:pPr>
      <w:overflowPunct w:val="0"/>
      <w:spacing w:after="0"/>
      <w:jc w:val="right"/>
    </w:pPr>
    <w:rPr>
      <w:rFonts w:eastAsia="Times New Roman"/>
      <w:color w:val="00000A"/>
      <w:szCs w:val="24"/>
      <w:lang w:eastAsia="en-GB"/>
    </w:rPr>
  </w:style>
  <w:style w:type="paragraph" w:customStyle="1" w:styleId="note">
    <w:name w:val="note"/>
    <w:basedOn w:val="Normalny"/>
    <w:qFormat/>
    <w:rsid w:val="00616BC2"/>
    <w:pPr>
      <w:overflowPunct w:val="0"/>
      <w:spacing w:before="60" w:after="60"/>
    </w:pPr>
    <w:rPr>
      <w:rFonts w:eastAsia="Times New Roman"/>
      <w:color w:val="00000A"/>
      <w:sz w:val="19"/>
      <w:szCs w:val="19"/>
      <w:lang w:eastAsia="en-GB"/>
    </w:rPr>
  </w:style>
  <w:style w:type="paragraph" w:customStyle="1" w:styleId="separator">
    <w:name w:val="separator"/>
    <w:basedOn w:val="Normalny"/>
    <w:qFormat/>
    <w:rsid w:val="00616BC2"/>
    <w:pPr>
      <w:overflowPunct w:val="0"/>
      <w:jc w:val="center"/>
    </w:pPr>
    <w:rPr>
      <w:rFonts w:eastAsia="Times New Roman"/>
      <w:color w:val="00000A"/>
      <w:szCs w:val="24"/>
      <w:lang w:eastAsia="en-GB"/>
    </w:rPr>
  </w:style>
  <w:style w:type="paragraph" w:customStyle="1" w:styleId="signatory">
    <w:name w:val="signatory"/>
    <w:basedOn w:val="Normalny"/>
    <w:qFormat/>
    <w:rsid w:val="00616BC2"/>
    <w:pPr>
      <w:overflowPunct w:val="0"/>
      <w:spacing w:before="60" w:after="60"/>
      <w:jc w:val="center"/>
    </w:pPr>
    <w:rPr>
      <w:rFonts w:eastAsia="Times New Roman"/>
      <w:color w:val="00000A"/>
      <w:szCs w:val="24"/>
      <w:lang w:eastAsia="en-GB"/>
    </w:rPr>
  </w:style>
  <w:style w:type="paragraph" w:customStyle="1" w:styleId="sti-art">
    <w:name w:val="sti-art"/>
    <w:basedOn w:val="Normalny"/>
    <w:qFormat/>
    <w:rsid w:val="00616BC2"/>
    <w:pPr>
      <w:overflowPunct w:val="0"/>
      <w:spacing w:before="60"/>
      <w:jc w:val="center"/>
    </w:pPr>
    <w:rPr>
      <w:rFonts w:eastAsia="Times New Roman"/>
      <w:b/>
      <w:bCs/>
      <w:color w:val="00000A"/>
      <w:szCs w:val="24"/>
      <w:lang w:eastAsia="en-GB"/>
    </w:rPr>
  </w:style>
  <w:style w:type="paragraph" w:customStyle="1" w:styleId="tbl-cod">
    <w:name w:val="tbl-cod"/>
    <w:basedOn w:val="Normalny"/>
    <w:qFormat/>
    <w:rsid w:val="00616BC2"/>
    <w:pPr>
      <w:overflowPunct w:val="0"/>
      <w:spacing w:before="60" w:after="60"/>
      <w:ind w:right="195"/>
      <w:jc w:val="center"/>
    </w:pPr>
    <w:rPr>
      <w:rFonts w:eastAsia="Times New Roman"/>
      <w:color w:val="00000A"/>
      <w:sz w:val="22"/>
      <w:lang w:eastAsia="en-GB"/>
    </w:rPr>
  </w:style>
  <w:style w:type="paragraph" w:customStyle="1" w:styleId="tbl-hdr">
    <w:name w:val="tbl-hdr"/>
    <w:basedOn w:val="Normalny"/>
    <w:qFormat/>
    <w:rsid w:val="00616BC2"/>
    <w:pPr>
      <w:overflowPunct w:val="0"/>
      <w:spacing w:before="60" w:after="60"/>
      <w:ind w:right="195"/>
      <w:jc w:val="center"/>
    </w:pPr>
    <w:rPr>
      <w:rFonts w:eastAsia="Times New Roman"/>
      <w:b/>
      <w:bCs/>
      <w:color w:val="00000A"/>
      <w:sz w:val="22"/>
      <w:lang w:eastAsia="en-GB"/>
    </w:rPr>
  </w:style>
  <w:style w:type="paragraph" w:customStyle="1" w:styleId="tbl-notcol">
    <w:name w:val="tbl-notcol"/>
    <w:basedOn w:val="Normalny"/>
    <w:qFormat/>
    <w:rsid w:val="00616BC2"/>
    <w:pPr>
      <w:overflowPunct w:val="0"/>
      <w:spacing w:before="60" w:after="60"/>
      <w:jc w:val="right"/>
    </w:pPr>
    <w:rPr>
      <w:rFonts w:eastAsia="Times New Roman"/>
      <w:color w:val="00000A"/>
      <w:sz w:val="22"/>
      <w:lang w:eastAsia="en-GB"/>
    </w:rPr>
  </w:style>
  <w:style w:type="paragraph" w:customStyle="1" w:styleId="tbl-num">
    <w:name w:val="tbl-num"/>
    <w:basedOn w:val="Normalny"/>
    <w:qFormat/>
    <w:rsid w:val="00616BC2"/>
    <w:pPr>
      <w:overflowPunct w:val="0"/>
      <w:spacing w:before="60" w:after="60"/>
      <w:ind w:right="195"/>
      <w:jc w:val="right"/>
    </w:pPr>
    <w:rPr>
      <w:rFonts w:eastAsia="Times New Roman"/>
      <w:color w:val="00000A"/>
      <w:sz w:val="22"/>
      <w:lang w:eastAsia="en-GB"/>
    </w:rPr>
  </w:style>
  <w:style w:type="paragraph" w:customStyle="1" w:styleId="tbl-txt">
    <w:name w:val="tbl-txt"/>
    <w:basedOn w:val="Normalny"/>
    <w:qFormat/>
    <w:rsid w:val="00616BC2"/>
    <w:pPr>
      <w:overflowPunct w:val="0"/>
      <w:spacing w:before="60" w:after="60"/>
      <w:jc w:val="left"/>
    </w:pPr>
    <w:rPr>
      <w:rFonts w:eastAsia="Times New Roman"/>
      <w:color w:val="00000A"/>
      <w:sz w:val="22"/>
      <w:lang w:eastAsia="en-GB"/>
    </w:rPr>
  </w:style>
  <w:style w:type="paragraph" w:customStyle="1" w:styleId="text-l">
    <w:name w:val="text-l"/>
    <w:basedOn w:val="Normalny"/>
    <w:qFormat/>
    <w:rsid w:val="00616BC2"/>
    <w:pPr>
      <w:overflowPunct w:val="0"/>
      <w:spacing w:before="60" w:after="60"/>
    </w:pPr>
    <w:rPr>
      <w:rFonts w:eastAsia="Times New Roman"/>
      <w:color w:val="00000A"/>
      <w:szCs w:val="24"/>
      <w:lang w:eastAsia="en-GB"/>
    </w:rPr>
  </w:style>
  <w:style w:type="paragraph" w:customStyle="1" w:styleId="ti-annotation">
    <w:name w:val="ti-annotation"/>
    <w:basedOn w:val="Normalny"/>
    <w:qFormat/>
    <w:rsid w:val="00616BC2"/>
    <w:pPr>
      <w:overflowPunct w:val="0"/>
      <w:spacing w:after="0"/>
      <w:jc w:val="left"/>
    </w:pPr>
    <w:rPr>
      <w:rFonts w:eastAsia="Times New Roman"/>
      <w:i/>
      <w:iCs/>
      <w:color w:val="00000A"/>
      <w:szCs w:val="24"/>
      <w:lang w:eastAsia="en-GB"/>
    </w:rPr>
  </w:style>
  <w:style w:type="paragraph" w:customStyle="1" w:styleId="ti-art">
    <w:name w:val="ti-art"/>
    <w:basedOn w:val="Normalny"/>
    <w:qFormat/>
    <w:rsid w:val="00616BC2"/>
    <w:pPr>
      <w:overflowPunct w:val="0"/>
      <w:spacing w:before="360"/>
      <w:jc w:val="center"/>
    </w:pPr>
    <w:rPr>
      <w:rFonts w:eastAsia="Times New Roman"/>
      <w:i/>
      <w:iCs/>
      <w:color w:val="00000A"/>
      <w:szCs w:val="24"/>
      <w:lang w:eastAsia="en-GB"/>
    </w:rPr>
  </w:style>
  <w:style w:type="paragraph" w:customStyle="1" w:styleId="ti-coll">
    <w:name w:val="ti-coll"/>
    <w:basedOn w:val="Normalny"/>
    <w:qFormat/>
    <w:rsid w:val="00616BC2"/>
    <w:pPr>
      <w:overflowPunct w:val="0"/>
      <w:jc w:val="left"/>
    </w:pPr>
    <w:rPr>
      <w:rFonts w:eastAsia="Times New Roman"/>
      <w:color w:val="00000A"/>
      <w:sz w:val="29"/>
      <w:szCs w:val="29"/>
      <w:lang w:eastAsia="en-GB"/>
    </w:rPr>
  </w:style>
  <w:style w:type="paragraph" w:customStyle="1" w:styleId="ti-doc-dur">
    <w:name w:val="ti-doc-dur"/>
    <w:basedOn w:val="Normalny"/>
    <w:qFormat/>
    <w:rsid w:val="00616BC2"/>
    <w:pPr>
      <w:overflowPunct w:val="0"/>
      <w:spacing w:before="180"/>
    </w:pPr>
    <w:rPr>
      <w:rFonts w:eastAsia="Times New Roman"/>
      <w:b/>
      <w:bCs/>
      <w:color w:val="00000A"/>
      <w:szCs w:val="24"/>
      <w:lang w:eastAsia="en-GB"/>
    </w:rPr>
  </w:style>
  <w:style w:type="paragraph" w:customStyle="1" w:styleId="ti-doc-dur-assoc">
    <w:name w:val="ti-doc-dur-assoc"/>
    <w:basedOn w:val="Normalny"/>
    <w:qFormat/>
    <w:rsid w:val="00616BC2"/>
    <w:pPr>
      <w:overflowPunct w:val="0"/>
      <w:spacing w:before="180"/>
    </w:pPr>
    <w:rPr>
      <w:rFonts w:eastAsia="Times New Roman"/>
      <w:b/>
      <w:bCs/>
      <w:color w:val="00000A"/>
      <w:szCs w:val="24"/>
      <w:lang w:eastAsia="en-GB"/>
    </w:rPr>
  </w:style>
  <w:style w:type="paragraph" w:customStyle="1" w:styleId="ti-doc-dur-num">
    <w:name w:val="ti-doc-dur-num"/>
    <w:basedOn w:val="Normalny"/>
    <w:qFormat/>
    <w:rsid w:val="00616BC2"/>
    <w:pPr>
      <w:overflowPunct w:val="0"/>
      <w:spacing w:before="180" w:after="0"/>
      <w:jc w:val="left"/>
    </w:pPr>
    <w:rPr>
      <w:rFonts w:eastAsia="Times New Roman"/>
      <w:b/>
      <w:bCs/>
      <w:color w:val="00000A"/>
      <w:szCs w:val="24"/>
      <w:lang w:eastAsia="en-GB"/>
    </w:rPr>
  </w:style>
  <w:style w:type="paragraph" w:customStyle="1" w:styleId="ti-doc-dur-star">
    <w:name w:val="ti-doc-dur-star"/>
    <w:basedOn w:val="Normalny"/>
    <w:qFormat/>
    <w:rsid w:val="00616BC2"/>
    <w:pPr>
      <w:overflowPunct w:val="0"/>
      <w:spacing w:before="180"/>
      <w:jc w:val="center"/>
    </w:pPr>
    <w:rPr>
      <w:rFonts w:eastAsia="Times New Roman"/>
      <w:b/>
      <w:bCs/>
      <w:color w:val="00000A"/>
      <w:szCs w:val="24"/>
      <w:lang w:eastAsia="en-GB"/>
    </w:rPr>
  </w:style>
  <w:style w:type="paragraph" w:customStyle="1" w:styleId="ti-doc-eph">
    <w:name w:val="ti-doc-eph"/>
    <w:basedOn w:val="Normalny"/>
    <w:qFormat/>
    <w:rsid w:val="00616BC2"/>
    <w:pPr>
      <w:overflowPunct w:val="0"/>
      <w:spacing w:before="180"/>
    </w:pPr>
    <w:rPr>
      <w:rFonts w:eastAsia="Times New Roman"/>
      <w:color w:val="00000A"/>
      <w:szCs w:val="24"/>
      <w:lang w:eastAsia="en-GB"/>
    </w:rPr>
  </w:style>
  <w:style w:type="paragraph" w:customStyle="1" w:styleId="ti-grseq-1">
    <w:name w:val="ti-grseq-1"/>
    <w:basedOn w:val="Normalny"/>
    <w:qFormat/>
    <w:rsid w:val="00616BC2"/>
    <w:pPr>
      <w:overflowPunct w:val="0"/>
      <w:spacing w:before="240"/>
    </w:pPr>
    <w:rPr>
      <w:rFonts w:eastAsia="Times New Roman"/>
      <w:b/>
      <w:bCs/>
      <w:color w:val="00000A"/>
      <w:szCs w:val="24"/>
      <w:lang w:eastAsia="en-GB"/>
    </w:rPr>
  </w:style>
  <w:style w:type="paragraph" w:customStyle="1" w:styleId="ti-grseq-toc">
    <w:name w:val="ti-grseq-toc"/>
    <w:basedOn w:val="Normalny"/>
    <w:qFormat/>
    <w:rsid w:val="00616BC2"/>
    <w:pPr>
      <w:overflowPunct w:val="0"/>
      <w:spacing w:before="240"/>
      <w:jc w:val="center"/>
    </w:pPr>
    <w:rPr>
      <w:rFonts w:eastAsia="Times New Roman"/>
      <w:i/>
      <w:iCs/>
      <w:color w:val="00000A"/>
      <w:szCs w:val="24"/>
      <w:lang w:eastAsia="en-GB"/>
    </w:rPr>
  </w:style>
  <w:style w:type="paragraph" w:customStyle="1" w:styleId="ti-oj-1">
    <w:name w:val="ti-oj-1"/>
    <w:basedOn w:val="Normalny"/>
    <w:qFormat/>
    <w:rsid w:val="00616BC2"/>
    <w:pPr>
      <w:overflowPunct w:val="0"/>
      <w:spacing w:after="0"/>
      <w:jc w:val="left"/>
    </w:pPr>
    <w:rPr>
      <w:rFonts w:eastAsia="Times New Roman"/>
      <w:b/>
      <w:bCs/>
      <w:color w:val="00000A"/>
      <w:sz w:val="58"/>
      <w:szCs w:val="58"/>
      <w:lang w:eastAsia="en-GB"/>
    </w:rPr>
  </w:style>
  <w:style w:type="paragraph" w:customStyle="1" w:styleId="ti-oj-2">
    <w:name w:val="ti-oj-2"/>
    <w:basedOn w:val="Normalny"/>
    <w:qFormat/>
    <w:rsid w:val="00616BC2"/>
    <w:pPr>
      <w:overflowPunct w:val="0"/>
      <w:jc w:val="left"/>
    </w:pPr>
    <w:rPr>
      <w:rFonts w:eastAsia="Times New Roman"/>
      <w:color w:val="00000A"/>
      <w:sz w:val="38"/>
      <w:szCs w:val="38"/>
      <w:lang w:eastAsia="en-GB"/>
    </w:rPr>
  </w:style>
  <w:style w:type="paragraph" w:customStyle="1" w:styleId="ti-oj-3">
    <w:name w:val="ti-oj-3"/>
    <w:basedOn w:val="Normalny"/>
    <w:qFormat/>
    <w:rsid w:val="00616BC2"/>
    <w:pPr>
      <w:overflowPunct w:val="0"/>
      <w:spacing w:after="0"/>
      <w:jc w:val="right"/>
    </w:pPr>
    <w:rPr>
      <w:rFonts w:eastAsia="Times New Roman"/>
      <w:b/>
      <w:bCs/>
      <w:color w:val="00000A"/>
      <w:sz w:val="58"/>
      <w:szCs w:val="58"/>
      <w:lang w:eastAsia="en-GB"/>
    </w:rPr>
  </w:style>
  <w:style w:type="paragraph" w:customStyle="1" w:styleId="ti-sect-1-n">
    <w:name w:val="ti-sect-1-n"/>
    <w:basedOn w:val="Normalny"/>
    <w:qFormat/>
    <w:rsid w:val="00616BC2"/>
    <w:pPr>
      <w:overflowPunct w:val="0"/>
      <w:jc w:val="left"/>
    </w:pPr>
    <w:rPr>
      <w:rFonts w:eastAsia="Times New Roman"/>
      <w:color w:val="00000A"/>
      <w:szCs w:val="24"/>
      <w:lang w:eastAsia="en-GB"/>
    </w:rPr>
  </w:style>
  <w:style w:type="paragraph" w:customStyle="1" w:styleId="ti-sect-1-t">
    <w:name w:val="ti-sect-1-t"/>
    <w:basedOn w:val="Normalny"/>
    <w:qFormat/>
    <w:rsid w:val="00616BC2"/>
    <w:pPr>
      <w:overflowPunct w:val="0"/>
      <w:jc w:val="left"/>
    </w:pPr>
    <w:rPr>
      <w:rFonts w:eastAsia="Times New Roman"/>
      <w:i/>
      <w:iCs/>
      <w:color w:val="00000A"/>
      <w:szCs w:val="24"/>
      <w:lang w:eastAsia="en-GB"/>
    </w:rPr>
  </w:style>
  <w:style w:type="paragraph" w:customStyle="1" w:styleId="ti-sect-2">
    <w:name w:val="ti-sect-2"/>
    <w:basedOn w:val="Normalny"/>
    <w:qFormat/>
    <w:rsid w:val="00616BC2"/>
    <w:pPr>
      <w:overflowPunct w:val="0"/>
      <w:jc w:val="left"/>
    </w:pPr>
    <w:rPr>
      <w:rFonts w:eastAsia="Times New Roman"/>
      <w:color w:val="00000A"/>
      <w:szCs w:val="24"/>
      <w:lang w:eastAsia="en-GB"/>
    </w:rPr>
  </w:style>
  <w:style w:type="paragraph" w:customStyle="1" w:styleId="ti-section-1">
    <w:name w:val="ti-section-1"/>
    <w:basedOn w:val="Normalny"/>
    <w:qFormat/>
    <w:rsid w:val="00616BC2"/>
    <w:pPr>
      <w:overflowPunct w:val="0"/>
      <w:spacing w:before="480" w:after="0"/>
      <w:jc w:val="center"/>
    </w:pPr>
    <w:rPr>
      <w:rFonts w:eastAsia="Times New Roman"/>
      <w:b/>
      <w:bCs/>
      <w:color w:val="00000A"/>
      <w:szCs w:val="24"/>
      <w:lang w:eastAsia="en-GB"/>
    </w:rPr>
  </w:style>
  <w:style w:type="paragraph" w:customStyle="1" w:styleId="ti-section-2">
    <w:name w:val="ti-section-2"/>
    <w:basedOn w:val="Normalny"/>
    <w:qFormat/>
    <w:rsid w:val="00616BC2"/>
    <w:pPr>
      <w:overflowPunct w:val="0"/>
      <w:spacing w:before="75"/>
      <w:jc w:val="center"/>
    </w:pPr>
    <w:rPr>
      <w:rFonts w:eastAsia="Times New Roman"/>
      <w:b/>
      <w:bCs/>
      <w:color w:val="00000A"/>
      <w:szCs w:val="24"/>
      <w:lang w:eastAsia="en-GB"/>
    </w:rPr>
  </w:style>
  <w:style w:type="paragraph" w:customStyle="1" w:styleId="ti-tbl">
    <w:name w:val="ti-tbl"/>
    <w:basedOn w:val="Normalny"/>
    <w:qFormat/>
    <w:rsid w:val="00616BC2"/>
    <w:pPr>
      <w:overflowPunct w:val="0"/>
      <w:jc w:val="center"/>
    </w:pPr>
    <w:rPr>
      <w:rFonts w:eastAsia="Times New Roman"/>
      <w:color w:val="00000A"/>
      <w:szCs w:val="24"/>
      <w:lang w:eastAsia="en-GB"/>
    </w:rPr>
  </w:style>
  <w:style w:type="paragraph" w:customStyle="1" w:styleId="year-date">
    <w:name w:val="year-date"/>
    <w:basedOn w:val="Normalny"/>
    <w:qFormat/>
    <w:rsid w:val="00616BC2"/>
    <w:pPr>
      <w:overflowPunct w:val="0"/>
      <w:jc w:val="right"/>
    </w:pPr>
    <w:rPr>
      <w:rFonts w:eastAsia="Times New Roman"/>
      <w:b/>
      <w:bCs/>
      <w:color w:val="00000A"/>
      <w:szCs w:val="24"/>
      <w:lang w:eastAsia="en-GB"/>
    </w:rPr>
  </w:style>
  <w:style w:type="paragraph" w:customStyle="1" w:styleId="table">
    <w:name w:val="table"/>
    <w:basedOn w:val="Normalny"/>
    <w:qFormat/>
    <w:rsid w:val="00616BC2"/>
    <w:pPr>
      <w:pBdr>
        <w:top w:val="single" w:sz="6" w:space="0" w:color="000001"/>
        <w:left w:val="single" w:sz="6" w:space="0" w:color="000001"/>
        <w:bottom w:val="single" w:sz="6" w:space="0" w:color="000001"/>
        <w:right w:val="single" w:sz="6" w:space="0" w:color="000001"/>
      </w:pBdr>
      <w:overflowPunct w:val="0"/>
      <w:spacing w:before="280" w:after="280"/>
      <w:jc w:val="left"/>
    </w:pPr>
    <w:rPr>
      <w:rFonts w:eastAsia="Times New Roman"/>
      <w:color w:val="00000A"/>
      <w:szCs w:val="24"/>
      <w:lang w:eastAsia="en-GB"/>
    </w:rPr>
  </w:style>
  <w:style w:type="paragraph" w:customStyle="1" w:styleId="ti-info">
    <w:name w:val="ti-info"/>
    <w:basedOn w:val="Normalny"/>
    <w:qFormat/>
    <w:rsid w:val="00616BC2"/>
    <w:pPr>
      <w:overflowPunct w:val="0"/>
      <w:spacing w:before="280" w:after="280"/>
      <w:jc w:val="left"/>
    </w:pPr>
    <w:rPr>
      <w:rFonts w:eastAsia="Times New Roman"/>
      <w:color w:val="00000A"/>
      <w:szCs w:val="24"/>
      <w:u w:val="single"/>
      <w:lang w:eastAsia="en-GB"/>
    </w:rPr>
  </w:style>
  <w:style w:type="paragraph" w:customStyle="1" w:styleId="enumeration-spacing">
    <w:name w:val="enumeration-spacing"/>
    <w:basedOn w:val="Normalny"/>
    <w:qFormat/>
    <w:rsid w:val="00616BC2"/>
    <w:pPr>
      <w:overflowPunct w:val="0"/>
      <w:spacing w:before="280" w:after="240"/>
      <w:jc w:val="left"/>
    </w:pPr>
    <w:rPr>
      <w:rFonts w:eastAsia="Times New Roman"/>
      <w:color w:val="00000A"/>
      <w:szCs w:val="24"/>
      <w:lang w:eastAsia="en-GB"/>
    </w:rPr>
  </w:style>
  <w:style w:type="paragraph" w:customStyle="1" w:styleId="quotation-ti">
    <w:name w:val="quotation-ti"/>
    <w:basedOn w:val="Normalny"/>
    <w:qFormat/>
    <w:rsid w:val="00616BC2"/>
    <w:pPr>
      <w:overflowPunct w:val="0"/>
      <w:spacing w:before="280" w:after="280"/>
      <w:jc w:val="left"/>
    </w:pPr>
    <w:rPr>
      <w:rFonts w:eastAsia="Times New Roman"/>
      <w:i/>
      <w:iCs/>
      <w:color w:val="00000A"/>
      <w:szCs w:val="24"/>
      <w:lang w:eastAsia="en-GB"/>
    </w:rPr>
  </w:style>
  <w:style w:type="paragraph" w:styleId="NormalnyWeb">
    <w:name w:val="Normal (Web)"/>
    <w:basedOn w:val="Normalny"/>
    <w:uiPriority w:val="99"/>
    <w:qFormat/>
    <w:rsid w:val="00616BC2"/>
    <w:pPr>
      <w:overflowPunct w:val="0"/>
      <w:spacing w:before="280" w:after="280"/>
      <w:jc w:val="left"/>
    </w:pPr>
    <w:rPr>
      <w:rFonts w:eastAsia="Times New Roman"/>
      <w:color w:val="00000A"/>
      <w:szCs w:val="24"/>
      <w:lang w:eastAsia="en-GB"/>
    </w:rPr>
  </w:style>
  <w:style w:type="paragraph" w:styleId="Tekstdymka">
    <w:name w:val="Balloon Text"/>
    <w:basedOn w:val="Normalny"/>
    <w:link w:val="TekstdymkaZnak"/>
    <w:qFormat/>
    <w:rsid w:val="00616BC2"/>
    <w:pPr>
      <w:overflowPunct w:val="0"/>
      <w:spacing w:before="0" w:after="0"/>
      <w:jc w:val="left"/>
    </w:pPr>
    <w:rPr>
      <w:rFonts w:ascii="Segoe UI" w:eastAsia="Calibri" w:hAnsi="Segoe UI" w:cs="Segoe UI"/>
      <w:color w:val="00000A"/>
      <w:sz w:val="18"/>
      <w:szCs w:val="18"/>
    </w:rPr>
  </w:style>
  <w:style w:type="character" w:customStyle="1" w:styleId="TekstdymkaZnak">
    <w:name w:val="Tekst dymka Znak"/>
    <w:basedOn w:val="Domylnaczcionkaakapitu"/>
    <w:link w:val="Tekstdymka"/>
    <w:rsid w:val="00616BC2"/>
    <w:rPr>
      <w:rFonts w:ascii="Segoe UI" w:eastAsia="Calibri" w:hAnsi="Segoe UI" w:cs="Segoe UI"/>
      <w:color w:val="00000A"/>
      <w:sz w:val="18"/>
      <w:szCs w:val="18"/>
      <w:lang w:val="pl-PL"/>
    </w:rPr>
  </w:style>
  <w:style w:type="paragraph" w:styleId="Tekstkomentarza">
    <w:name w:val="annotation text"/>
    <w:basedOn w:val="Normalny"/>
    <w:link w:val="TekstkomentarzaZnak"/>
    <w:qFormat/>
    <w:rsid w:val="00616BC2"/>
    <w:pPr>
      <w:overflowPunct w:val="0"/>
      <w:spacing w:before="0" w:after="200"/>
      <w:jc w:val="left"/>
    </w:pPr>
    <w:rPr>
      <w:rFonts w:ascii="Calibri" w:eastAsia="Calibri" w:hAnsi="Calibri" w:cs="DejaVu Sans"/>
      <w:color w:val="00000A"/>
      <w:sz w:val="20"/>
      <w:szCs w:val="20"/>
    </w:rPr>
  </w:style>
  <w:style w:type="character" w:customStyle="1" w:styleId="TekstkomentarzaZnak">
    <w:name w:val="Tekst komentarza Znak"/>
    <w:basedOn w:val="Domylnaczcionkaakapitu"/>
    <w:link w:val="Tekstkomentarza"/>
    <w:uiPriority w:val="99"/>
    <w:rsid w:val="00616BC2"/>
    <w:rPr>
      <w:rFonts w:ascii="Calibri" w:eastAsia="Calibri" w:hAnsi="Calibri" w:cs="DejaVu Sans"/>
      <w:color w:val="00000A"/>
      <w:sz w:val="20"/>
      <w:szCs w:val="20"/>
      <w:lang w:val="pl-PL"/>
    </w:rPr>
  </w:style>
  <w:style w:type="paragraph" w:styleId="Tematkomentarza">
    <w:name w:val="annotation subject"/>
    <w:basedOn w:val="Tekstkomentarza"/>
    <w:link w:val="TematkomentarzaZnak"/>
    <w:qFormat/>
    <w:rsid w:val="00616BC2"/>
    <w:rPr>
      <w:b/>
      <w:bCs/>
    </w:rPr>
  </w:style>
  <w:style w:type="character" w:customStyle="1" w:styleId="TematkomentarzaZnak">
    <w:name w:val="Temat komentarza Znak"/>
    <w:basedOn w:val="TekstkomentarzaZnak"/>
    <w:link w:val="Tematkomentarza"/>
    <w:rsid w:val="00616BC2"/>
    <w:rPr>
      <w:rFonts w:ascii="Calibri" w:eastAsia="Calibri" w:hAnsi="Calibri" w:cs="DejaVu Sans"/>
      <w:b/>
      <w:bCs/>
      <w:color w:val="00000A"/>
      <w:sz w:val="20"/>
      <w:szCs w:val="20"/>
      <w:lang w:val="pl-PL"/>
    </w:rPr>
  </w:style>
  <w:style w:type="paragraph" w:styleId="Akapitzlist">
    <w:name w:val="List Paragraph"/>
    <w:basedOn w:val="Normalny"/>
    <w:uiPriority w:val="34"/>
    <w:qFormat/>
    <w:rsid w:val="00616BC2"/>
    <w:pPr>
      <w:overflowPunct w:val="0"/>
      <w:spacing w:before="0" w:after="200" w:line="276" w:lineRule="auto"/>
      <w:ind w:left="720"/>
      <w:contextualSpacing/>
      <w:jc w:val="left"/>
    </w:pPr>
    <w:rPr>
      <w:rFonts w:ascii="Calibri" w:eastAsia="Calibri" w:hAnsi="Calibri" w:cs="DejaVu Sans"/>
      <w:color w:val="00000A"/>
      <w:sz w:val="22"/>
    </w:rPr>
  </w:style>
  <w:style w:type="paragraph" w:styleId="Zwykytekst">
    <w:name w:val="Plain Text"/>
    <w:basedOn w:val="Normalny"/>
    <w:link w:val="ZwykytekstZnak"/>
    <w:qFormat/>
    <w:rsid w:val="00616BC2"/>
    <w:pPr>
      <w:overflowPunct w:val="0"/>
      <w:spacing w:before="0" w:after="0"/>
      <w:jc w:val="left"/>
    </w:pPr>
    <w:rPr>
      <w:rFonts w:ascii="Calibri" w:eastAsia="Calibri" w:hAnsi="Calibri" w:cs="DejaVu Sans"/>
      <w:color w:val="00000A"/>
      <w:sz w:val="22"/>
      <w:szCs w:val="21"/>
    </w:rPr>
  </w:style>
  <w:style w:type="character" w:customStyle="1" w:styleId="ZwykytekstZnak">
    <w:name w:val="Zwykły tekst Znak"/>
    <w:basedOn w:val="Domylnaczcionkaakapitu"/>
    <w:link w:val="Zwykytekst"/>
    <w:rsid w:val="00616BC2"/>
    <w:rPr>
      <w:rFonts w:ascii="Calibri" w:eastAsia="Calibri" w:hAnsi="Calibri" w:cs="DejaVu Sans"/>
      <w:color w:val="00000A"/>
      <w:szCs w:val="21"/>
      <w:lang w:val="pl-PL"/>
    </w:rPr>
  </w:style>
  <w:style w:type="paragraph" w:customStyle="1" w:styleId="TabellenInhalt">
    <w:name w:val="Tabellen Inhalt"/>
    <w:basedOn w:val="Normalny"/>
    <w:qFormat/>
    <w:rsid w:val="00616BC2"/>
    <w:pPr>
      <w:overflowPunct w:val="0"/>
      <w:spacing w:before="0" w:after="200" w:line="276" w:lineRule="auto"/>
      <w:jc w:val="left"/>
    </w:pPr>
    <w:rPr>
      <w:rFonts w:ascii="Calibri" w:eastAsia="Calibri" w:hAnsi="Calibri" w:cs="DejaVu Sans"/>
      <w:color w:val="00000A"/>
      <w:sz w:val="22"/>
    </w:rPr>
  </w:style>
  <w:style w:type="paragraph" w:customStyle="1" w:styleId="Tabellenberschrift">
    <w:name w:val="Tabellen Überschrift"/>
    <w:basedOn w:val="TabellenInhalt"/>
    <w:qFormat/>
    <w:rsid w:val="00616BC2"/>
  </w:style>
  <w:style w:type="character" w:styleId="Hipercze">
    <w:name w:val="Hyperlink"/>
    <w:basedOn w:val="Domylnaczcionkaakapitu"/>
    <w:unhideWhenUsed/>
    <w:rsid w:val="00616BC2"/>
    <w:rPr>
      <w:color w:val="0000FF" w:themeColor="hyperlink"/>
      <w:u w:val="single"/>
    </w:rPr>
  </w:style>
  <w:style w:type="paragraph" w:customStyle="1" w:styleId="Normal2">
    <w:name w:val="Normal2"/>
    <w:basedOn w:val="Normalny"/>
    <w:rsid w:val="00616BC2"/>
    <w:pPr>
      <w:spacing w:before="100" w:beforeAutospacing="1" w:after="100" w:afterAutospacing="1"/>
      <w:jc w:val="left"/>
    </w:pPr>
    <w:rPr>
      <w:rFonts w:eastAsia="Times New Roman"/>
      <w:szCs w:val="24"/>
      <w:lang w:eastAsia="fr-BE"/>
    </w:rPr>
  </w:style>
  <w:style w:type="paragraph" w:styleId="Poprawka">
    <w:name w:val="Revision"/>
    <w:hidden/>
    <w:uiPriority w:val="99"/>
    <w:semiHidden/>
    <w:rsid w:val="00616BC2"/>
    <w:pPr>
      <w:spacing w:after="0" w:line="240" w:lineRule="auto"/>
    </w:pPr>
    <w:rPr>
      <w:rFonts w:ascii="Calibri" w:eastAsia="Calibri" w:hAnsi="Calibri" w:cs="DejaVu Sans"/>
      <w:color w:val="00000A"/>
    </w:rPr>
  </w:style>
  <w:style w:type="paragraph" w:styleId="Listanumerowana2">
    <w:name w:val="List Number 2"/>
    <w:basedOn w:val="Normalny"/>
    <w:unhideWhenUsed/>
    <w:rsid w:val="00616BC2"/>
    <w:pPr>
      <w:numPr>
        <w:numId w:val="5"/>
      </w:numPr>
      <w:overflowPunct w:val="0"/>
      <w:spacing w:before="0" w:after="200" w:line="276" w:lineRule="auto"/>
      <w:contextualSpacing/>
      <w:jc w:val="left"/>
    </w:pPr>
    <w:rPr>
      <w:rFonts w:ascii="Calibri" w:eastAsia="Calibri" w:hAnsi="Calibri" w:cs="DejaVu Sans"/>
      <w:color w:val="00000A"/>
      <w:sz w:val="22"/>
    </w:rPr>
  </w:style>
  <w:style w:type="paragraph" w:customStyle="1" w:styleId="Normal3">
    <w:name w:val="Normal3"/>
    <w:basedOn w:val="Normalny"/>
    <w:rsid w:val="00616BC2"/>
    <w:pPr>
      <w:spacing w:before="100" w:beforeAutospacing="1" w:after="100" w:afterAutospacing="1"/>
      <w:jc w:val="left"/>
    </w:pPr>
    <w:rPr>
      <w:rFonts w:eastAsia="Times New Roman"/>
      <w:szCs w:val="24"/>
      <w:lang w:eastAsia="en-GB"/>
    </w:rPr>
  </w:style>
  <w:style w:type="character" w:customStyle="1" w:styleId="WW8Num31z3">
    <w:name w:val="WW8Num31z3"/>
    <w:rsid w:val="00616BC2"/>
  </w:style>
  <w:style w:type="paragraph" w:customStyle="1" w:styleId="Normal4">
    <w:name w:val="Normal4"/>
    <w:basedOn w:val="Normalny"/>
    <w:rsid w:val="00616BC2"/>
    <w:pPr>
      <w:spacing w:before="100" w:beforeAutospacing="1" w:after="100" w:afterAutospacing="1"/>
      <w:jc w:val="left"/>
    </w:pPr>
    <w:rPr>
      <w:rFonts w:eastAsia="Times New Roman"/>
      <w:szCs w:val="24"/>
      <w:lang w:eastAsia="en-GB"/>
    </w:rPr>
  </w:style>
  <w:style w:type="table" w:styleId="Tabela-Siatka">
    <w:name w:val="Table Grid"/>
    <w:basedOn w:val="Standardowy"/>
    <w:rsid w:val="00616BC2"/>
    <w:pPr>
      <w:spacing w:after="0" w:line="240" w:lineRule="auto"/>
    </w:pPr>
    <w:rPr>
      <w:rFonts w:ascii="Calibri" w:eastAsia="Calibri" w:hAnsi="Calibri" w:cs="DejaVu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16BC2"/>
    <w:rPr>
      <w:i/>
      <w:iCs/>
    </w:rPr>
  </w:style>
  <w:style w:type="paragraph" w:customStyle="1" w:styleId="Normal5">
    <w:name w:val="Normal5"/>
    <w:basedOn w:val="Normalny"/>
    <w:rsid w:val="00616BC2"/>
    <w:pPr>
      <w:spacing w:before="100" w:beforeAutospacing="1" w:after="100" w:afterAutospacing="1"/>
      <w:jc w:val="left"/>
    </w:pPr>
    <w:rPr>
      <w:rFonts w:eastAsia="Times New Roman"/>
      <w:szCs w:val="24"/>
      <w:lang w:eastAsia="en-GB"/>
    </w:rPr>
  </w:style>
  <w:style w:type="paragraph" w:customStyle="1" w:styleId="Normal6">
    <w:name w:val="Normal6"/>
    <w:basedOn w:val="Normalny"/>
    <w:rsid w:val="00616BC2"/>
    <w:pPr>
      <w:spacing w:before="100" w:beforeAutospacing="1" w:after="100" w:afterAutospacing="1"/>
      <w:jc w:val="left"/>
    </w:pPr>
    <w:rPr>
      <w:rFonts w:eastAsia="Times New Roman"/>
      <w:szCs w:val="24"/>
      <w:lang w:eastAsia="en-GB"/>
    </w:rPr>
  </w:style>
  <w:style w:type="paragraph" w:customStyle="1" w:styleId="Considerant">
    <w:name w:val="Considerant"/>
    <w:basedOn w:val="Normalny"/>
    <w:rsid w:val="00616BC2"/>
    <w:pPr>
      <w:spacing w:after="0"/>
    </w:pPr>
    <w:rPr>
      <w:rFonts w:eastAsia="Times New Roman"/>
      <w:color w:val="000000"/>
      <w:szCs w:val="24"/>
      <w:lang w:eastAsia="en-GB"/>
    </w:rPr>
  </w:style>
  <w:style w:type="numbering" w:customStyle="1" w:styleId="NoList1">
    <w:name w:val="No List1"/>
    <w:next w:val="Bezlisty"/>
    <w:uiPriority w:val="99"/>
    <w:semiHidden/>
    <w:unhideWhenUsed/>
    <w:rsid w:val="00BC1E12"/>
  </w:style>
  <w:style w:type="table" w:customStyle="1" w:styleId="TableGrid1">
    <w:name w:val="Table Grid1"/>
    <w:basedOn w:val="Standardowy"/>
    <w:next w:val="Tabela-Siatka"/>
    <w:uiPriority w:val="39"/>
    <w:rsid w:val="00BC1E12"/>
    <w:pPr>
      <w:spacing w:after="0" w:line="240" w:lineRule="auto"/>
    </w:pPr>
    <w:rPr>
      <w:rFonts w:ascii="Calibri" w:eastAsia="Calibri" w:hAnsi="Calibri" w:cs="DejaVu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BC1E12"/>
  </w:style>
  <w:style w:type="table" w:customStyle="1" w:styleId="TableGrid2">
    <w:name w:val="Table Grid2"/>
    <w:basedOn w:val="Standardowy"/>
    <w:next w:val="Tabela-Siatka"/>
    <w:uiPriority w:val="39"/>
    <w:rsid w:val="00BC1E12"/>
    <w:pPr>
      <w:spacing w:after="0" w:line="240" w:lineRule="auto"/>
    </w:pPr>
    <w:rPr>
      <w:rFonts w:ascii="Calibri" w:eastAsia="Calibri" w:hAnsi="Calibri" w:cs="DejaVu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eraanl">
    <w:name w:val="Consideraanl"/>
    <w:basedOn w:val="Normalny"/>
    <w:rsid w:val="00B610D0"/>
  </w:style>
  <w:style w:type="paragraph" w:styleId="Tekstprzypisukocowego">
    <w:name w:val="endnote text"/>
    <w:basedOn w:val="Normalny"/>
    <w:link w:val="TekstprzypisukocowegoZnak"/>
    <w:uiPriority w:val="99"/>
    <w:semiHidden/>
    <w:unhideWhenUsed/>
    <w:rsid w:val="00F51C44"/>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F51C44"/>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F51C44"/>
    <w:rPr>
      <w:vertAlign w:val="superscript"/>
    </w:rPr>
  </w:style>
  <w:style w:type="paragraph" w:customStyle="1" w:styleId="ManuelNumpar1">
    <w:name w:val="Manuel Numpar1"/>
    <w:basedOn w:val="NumPar1"/>
    <w:rsid w:val="002E074F"/>
    <w:pPr>
      <w:numPr>
        <w:numId w:val="0"/>
      </w:numPr>
      <w:tabs>
        <w:tab w:val="num" w:pos="850"/>
      </w:tabs>
      <w:ind w:left="850" w:hanging="850"/>
    </w:pPr>
    <w:rPr>
      <w:lang w:eastAsia="en-GB"/>
    </w:rPr>
  </w:style>
  <w:style w:type="paragraph" w:customStyle="1" w:styleId="Numpar10">
    <w:name w:val="Numpar1"/>
    <w:basedOn w:val="ManuelNumpar1"/>
    <w:rsid w:val="0098187F"/>
    <w:rPr>
      <w:rFonts w:eastAsia="Times New Roman"/>
      <w:color w:val="000000"/>
      <w:szCs w:val="24"/>
    </w:rPr>
  </w:style>
  <w:style w:type="paragraph" w:customStyle="1" w:styleId="Tiret">
    <w:name w:val="Tiret"/>
    <w:basedOn w:val="Normalny"/>
    <w:rsid w:val="00EF1F4D"/>
    <w:pPr>
      <w:overflowPunct w:val="0"/>
      <w:spacing w:after="0"/>
    </w:pPr>
    <w:rPr>
      <w:rFonts w:eastAsia="Times New Roman"/>
      <w:color w:val="000000"/>
      <w:szCs w:val="24"/>
      <w:lang w:eastAsia="en-GB"/>
    </w:rPr>
  </w:style>
  <w:style w:type="paragraph" w:customStyle="1" w:styleId="1NumPar1">
    <w:name w:val="1. NumPar 1"/>
    <w:basedOn w:val="Normalny"/>
    <w:rsid w:val="000558F4"/>
    <w:rPr>
      <w:lang w:eastAsia="en-GB"/>
    </w:rPr>
  </w:style>
  <w:style w:type="paragraph" w:styleId="Spisilustracji">
    <w:name w:val="table of figures"/>
    <w:basedOn w:val="Normalny"/>
    <w:next w:val="Normalny"/>
    <w:unhideWhenUsed/>
    <w:rsid w:val="007461C8"/>
    <w:pPr>
      <w:spacing w:after="0"/>
    </w:pPr>
  </w:style>
  <w:style w:type="paragraph" w:styleId="Listanumerowana">
    <w:name w:val="List Number"/>
    <w:basedOn w:val="Normalny"/>
    <w:unhideWhenUsed/>
    <w:rsid w:val="007461C8"/>
    <w:pPr>
      <w:numPr>
        <w:numId w:val="10"/>
      </w:numPr>
      <w:contextualSpacing/>
    </w:pPr>
  </w:style>
  <w:style w:type="paragraph" w:styleId="Listanumerowana3">
    <w:name w:val="List Number 3"/>
    <w:basedOn w:val="Normalny"/>
    <w:unhideWhenUsed/>
    <w:rsid w:val="007461C8"/>
    <w:pPr>
      <w:numPr>
        <w:numId w:val="11"/>
      </w:numPr>
      <w:contextualSpacing/>
    </w:pPr>
  </w:style>
  <w:style w:type="paragraph" w:styleId="Listanumerowana4">
    <w:name w:val="List Number 4"/>
    <w:basedOn w:val="Normalny"/>
    <w:unhideWhenUsed/>
    <w:rsid w:val="007461C8"/>
    <w:pPr>
      <w:numPr>
        <w:numId w:val="12"/>
      </w:numPr>
      <w:contextualSpacing/>
    </w:pPr>
  </w:style>
  <w:style w:type="paragraph" w:customStyle="1" w:styleId="1consi">
    <w:name w:val="1 consi"/>
    <w:basedOn w:val="Normalny"/>
    <w:rsid w:val="00E7660D"/>
    <w:pPr>
      <w:tabs>
        <w:tab w:val="num" w:pos="709"/>
      </w:tabs>
      <w:overflowPunct w:val="0"/>
      <w:spacing w:after="0"/>
      <w:ind w:left="709" w:hanging="709"/>
    </w:pPr>
    <w:rPr>
      <w:rFonts w:eastAsia="Calibri"/>
    </w:rPr>
  </w:style>
  <w:style w:type="paragraph" w:customStyle="1" w:styleId="1Conside">
    <w:name w:val="1 Conside"/>
    <w:basedOn w:val="1consi"/>
    <w:rsid w:val="00E7660D"/>
    <w:pPr>
      <w:tabs>
        <w:tab w:val="clear" w:pos="709"/>
      </w:tabs>
    </w:pPr>
  </w:style>
  <w:style w:type="paragraph" w:customStyle="1" w:styleId="1Considerant">
    <w:name w:val="1 Considerant"/>
    <w:basedOn w:val="Considerant"/>
    <w:rsid w:val="00E7660D"/>
  </w:style>
  <w:style w:type="paragraph" w:customStyle="1" w:styleId="Manuelheadi">
    <w:name w:val="Manuel headi"/>
    <w:basedOn w:val="Normalny"/>
    <w:rsid w:val="008B1F23"/>
    <w:pPr>
      <w:keepNext/>
      <w:tabs>
        <w:tab w:val="left" w:pos="850"/>
      </w:tabs>
      <w:spacing w:before="360"/>
      <w:ind w:left="850" w:hanging="850"/>
      <w:outlineLvl w:val="0"/>
    </w:pPr>
    <w:rPr>
      <w:rFonts w:eastAsia="Calibri"/>
      <w:b/>
      <w:smallCaps/>
    </w:rPr>
  </w:style>
  <w:style w:type="paragraph" w:customStyle="1" w:styleId="Manuelheading">
    <w:name w:val="Manuel heading"/>
    <w:basedOn w:val="Normalny"/>
    <w:rsid w:val="00B80A02"/>
    <w:pPr>
      <w:keepNext/>
      <w:tabs>
        <w:tab w:val="left" w:pos="850"/>
      </w:tabs>
      <w:ind w:left="850" w:hanging="850"/>
      <w:outlineLvl w:val="1"/>
    </w:pPr>
    <w:rPr>
      <w:rFonts w:eastAsia="Calibri"/>
      <w:b/>
      <w:noProof/>
    </w:rPr>
  </w:style>
  <w:style w:type="paragraph" w:customStyle="1" w:styleId="ListBullet1">
    <w:name w:val="List Bullet 1"/>
    <w:basedOn w:val="Normalny"/>
    <w:rsid w:val="00475C81"/>
    <w:rPr>
      <w:b/>
      <w:bCs/>
    </w:rPr>
  </w:style>
  <w:style w:type="paragraph" w:customStyle="1" w:styleId="ListDash">
    <w:name w:val="List Dash"/>
    <w:basedOn w:val="Normalny"/>
    <w:rsid w:val="00B16F96"/>
    <w:pPr>
      <w:numPr>
        <w:numId w:val="29"/>
      </w:numPr>
    </w:pPr>
    <w:rPr>
      <w:rFonts w:eastAsia="Times New Roman"/>
      <w:lang w:eastAsia="de-DE"/>
    </w:rPr>
  </w:style>
  <w:style w:type="paragraph" w:customStyle="1" w:styleId="ListDash1">
    <w:name w:val="List Dash 1"/>
    <w:basedOn w:val="Normalny"/>
    <w:rsid w:val="00B16F96"/>
    <w:pPr>
      <w:numPr>
        <w:numId w:val="30"/>
      </w:numPr>
    </w:pPr>
    <w:rPr>
      <w:rFonts w:eastAsia="Times New Roman"/>
      <w:lang w:eastAsia="de-DE"/>
    </w:rPr>
  </w:style>
  <w:style w:type="paragraph" w:customStyle="1" w:styleId="ListDash2">
    <w:name w:val="List Dash 2"/>
    <w:basedOn w:val="Normalny"/>
    <w:rsid w:val="00B16F96"/>
    <w:pPr>
      <w:numPr>
        <w:numId w:val="31"/>
      </w:numPr>
    </w:pPr>
    <w:rPr>
      <w:rFonts w:eastAsia="Times New Roman"/>
      <w:lang w:eastAsia="de-DE"/>
    </w:rPr>
  </w:style>
  <w:style w:type="paragraph" w:customStyle="1" w:styleId="ListNumberLevel2">
    <w:name w:val="List Number (Level 2)"/>
    <w:basedOn w:val="Normalny"/>
    <w:rsid w:val="00B16F96"/>
    <w:pPr>
      <w:tabs>
        <w:tab w:val="num" w:pos="1417"/>
      </w:tabs>
      <w:ind w:left="1417" w:hanging="708"/>
    </w:pPr>
    <w:rPr>
      <w:rFonts w:eastAsia="Times New Roman"/>
      <w:lang w:eastAsia="de-DE"/>
    </w:rPr>
  </w:style>
  <w:style w:type="paragraph" w:customStyle="1" w:styleId="ListNumberLevel3">
    <w:name w:val="List Number (Level 3)"/>
    <w:basedOn w:val="Normalny"/>
    <w:rsid w:val="00B16F96"/>
    <w:pPr>
      <w:tabs>
        <w:tab w:val="num" w:pos="2126"/>
      </w:tabs>
      <w:ind w:left="2126" w:hanging="709"/>
    </w:pPr>
    <w:rPr>
      <w:rFonts w:eastAsia="Times New Roman"/>
      <w:lang w:eastAsia="de-DE"/>
    </w:rPr>
  </w:style>
  <w:style w:type="paragraph" w:customStyle="1" w:styleId="ListNumberLevel4">
    <w:name w:val="List Number (Level 4)"/>
    <w:basedOn w:val="Normalny"/>
    <w:rsid w:val="00B16F96"/>
    <w:pPr>
      <w:tabs>
        <w:tab w:val="num" w:pos="2835"/>
      </w:tabs>
      <w:ind w:left="2835" w:hanging="709"/>
    </w:pPr>
    <w:rPr>
      <w:rFonts w:eastAsia="Times New Roman"/>
      <w:lang w:eastAsia="de-DE"/>
    </w:rPr>
  </w:style>
  <w:style w:type="paragraph" w:customStyle="1" w:styleId="ListDash3">
    <w:name w:val="List Dash 3"/>
    <w:basedOn w:val="Normalny"/>
    <w:rsid w:val="00B16F96"/>
    <w:pPr>
      <w:numPr>
        <w:numId w:val="32"/>
      </w:numPr>
    </w:pPr>
    <w:rPr>
      <w:rFonts w:eastAsia="Times New Roman"/>
      <w:lang w:eastAsia="en-GB"/>
    </w:rPr>
  </w:style>
  <w:style w:type="paragraph" w:customStyle="1" w:styleId="ListDash4">
    <w:name w:val="List Dash 4"/>
    <w:basedOn w:val="Normalny"/>
    <w:rsid w:val="00B16F96"/>
    <w:pPr>
      <w:numPr>
        <w:numId w:val="33"/>
      </w:numPr>
    </w:pPr>
    <w:rPr>
      <w:rFonts w:eastAsia="Times New Roman"/>
      <w:lang w:eastAsia="en-GB"/>
    </w:rPr>
  </w:style>
  <w:style w:type="paragraph" w:customStyle="1" w:styleId="ListNumber1">
    <w:name w:val="List Number 1"/>
    <w:basedOn w:val="Text1"/>
    <w:rsid w:val="00B16F96"/>
    <w:pPr>
      <w:numPr>
        <w:numId w:val="34"/>
      </w:numPr>
    </w:pPr>
    <w:rPr>
      <w:rFonts w:eastAsia="Times New Roman"/>
      <w:lang w:eastAsia="en-GB"/>
    </w:rPr>
  </w:style>
  <w:style w:type="paragraph" w:customStyle="1" w:styleId="ListNumber1Level2">
    <w:name w:val="List Number 1 (Level 2)"/>
    <w:basedOn w:val="Text1"/>
    <w:rsid w:val="00B16F96"/>
    <w:pPr>
      <w:numPr>
        <w:ilvl w:val="1"/>
        <w:numId w:val="34"/>
      </w:numPr>
    </w:pPr>
    <w:rPr>
      <w:rFonts w:eastAsia="Times New Roman"/>
      <w:lang w:eastAsia="en-GB"/>
    </w:rPr>
  </w:style>
  <w:style w:type="paragraph" w:customStyle="1" w:styleId="ListNumber2Level2">
    <w:name w:val="List Number 2 (Level 2)"/>
    <w:basedOn w:val="Text2"/>
    <w:rsid w:val="00B16F96"/>
    <w:pPr>
      <w:tabs>
        <w:tab w:val="num" w:pos="2268"/>
      </w:tabs>
      <w:ind w:left="2268" w:hanging="708"/>
    </w:pPr>
    <w:rPr>
      <w:rFonts w:eastAsia="Times New Roman"/>
      <w:lang w:eastAsia="en-GB"/>
    </w:rPr>
  </w:style>
  <w:style w:type="paragraph" w:customStyle="1" w:styleId="ListNumber3Level2">
    <w:name w:val="List Number 3 (Level 2)"/>
    <w:basedOn w:val="Text3"/>
    <w:rsid w:val="00B16F96"/>
    <w:pPr>
      <w:tabs>
        <w:tab w:val="num" w:pos="2268"/>
      </w:tabs>
      <w:ind w:left="2268" w:hanging="708"/>
    </w:pPr>
    <w:rPr>
      <w:rFonts w:eastAsia="Times New Roman"/>
      <w:lang w:eastAsia="en-GB"/>
    </w:rPr>
  </w:style>
  <w:style w:type="paragraph" w:customStyle="1" w:styleId="ListNumber4Level2">
    <w:name w:val="List Number 4 (Level 2)"/>
    <w:basedOn w:val="Text4"/>
    <w:rsid w:val="00B16F96"/>
    <w:pPr>
      <w:tabs>
        <w:tab w:val="num" w:pos="2268"/>
      </w:tabs>
      <w:ind w:left="2268" w:hanging="708"/>
    </w:pPr>
    <w:rPr>
      <w:rFonts w:eastAsia="Times New Roman"/>
      <w:lang w:eastAsia="en-GB"/>
    </w:rPr>
  </w:style>
  <w:style w:type="paragraph" w:customStyle="1" w:styleId="ListNumber1Level3">
    <w:name w:val="List Number 1 (Level 3)"/>
    <w:basedOn w:val="Text1"/>
    <w:rsid w:val="00B16F96"/>
    <w:pPr>
      <w:numPr>
        <w:ilvl w:val="2"/>
        <w:numId w:val="34"/>
      </w:numPr>
    </w:pPr>
    <w:rPr>
      <w:rFonts w:eastAsia="Times New Roman"/>
      <w:lang w:eastAsia="en-GB"/>
    </w:rPr>
  </w:style>
  <w:style w:type="paragraph" w:customStyle="1" w:styleId="ListNumber2Level3">
    <w:name w:val="List Number 2 (Level 3)"/>
    <w:basedOn w:val="Text2"/>
    <w:rsid w:val="00B16F96"/>
    <w:pPr>
      <w:tabs>
        <w:tab w:val="num" w:pos="2977"/>
      </w:tabs>
      <w:ind w:left="2977" w:hanging="709"/>
    </w:pPr>
    <w:rPr>
      <w:rFonts w:eastAsia="Times New Roman"/>
      <w:lang w:eastAsia="en-GB"/>
    </w:rPr>
  </w:style>
  <w:style w:type="paragraph" w:customStyle="1" w:styleId="ListNumber3Level3">
    <w:name w:val="List Number 3 (Level 3)"/>
    <w:basedOn w:val="Text3"/>
    <w:rsid w:val="00B16F96"/>
    <w:pPr>
      <w:tabs>
        <w:tab w:val="num" w:pos="2977"/>
      </w:tabs>
      <w:ind w:left="2977" w:hanging="709"/>
    </w:pPr>
    <w:rPr>
      <w:rFonts w:eastAsia="Times New Roman"/>
      <w:lang w:eastAsia="en-GB"/>
    </w:rPr>
  </w:style>
  <w:style w:type="paragraph" w:customStyle="1" w:styleId="ListNumber4Level3">
    <w:name w:val="List Number 4 (Level 3)"/>
    <w:basedOn w:val="Text4"/>
    <w:rsid w:val="00B16F96"/>
    <w:pPr>
      <w:tabs>
        <w:tab w:val="num" w:pos="2977"/>
      </w:tabs>
      <w:ind w:left="2977" w:hanging="709"/>
    </w:pPr>
    <w:rPr>
      <w:rFonts w:eastAsia="Times New Roman"/>
      <w:lang w:eastAsia="en-GB"/>
    </w:rPr>
  </w:style>
  <w:style w:type="paragraph" w:customStyle="1" w:styleId="ListNumber1Level4">
    <w:name w:val="List Number 1 (Level 4)"/>
    <w:basedOn w:val="Text1"/>
    <w:rsid w:val="00B16F96"/>
    <w:pPr>
      <w:numPr>
        <w:ilvl w:val="3"/>
        <w:numId w:val="34"/>
      </w:numPr>
    </w:pPr>
    <w:rPr>
      <w:rFonts w:eastAsia="Times New Roman"/>
      <w:lang w:eastAsia="en-GB"/>
    </w:rPr>
  </w:style>
  <w:style w:type="paragraph" w:customStyle="1" w:styleId="ListNumber2Level4">
    <w:name w:val="List Number 2 (Level 4)"/>
    <w:basedOn w:val="Text2"/>
    <w:rsid w:val="00B16F96"/>
    <w:pPr>
      <w:tabs>
        <w:tab w:val="num" w:pos="3686"/>
      </w:tabs>
      <w:ind w:left="3686" w:hanging="709"/>
    </w:pPr>
    <w:rPr>
      <w:rFonts w:eastAsia="Times New Roman"/>
      <w:lang w:eastAsia="en-GB"/>
    </w:rPr>
  </w:style>
  <w:style w:type="paragraph" w:customStyle="1" w:styleId="ListNumber3Level4">
    <w:name w:val="List Number 3 (Level 4)"/>
    <w:basedOn w:val="Text3"/>
    <w:rsid w:val="00B16F96"/>
    <w:pPr>
      <w:tabs>
        <w:tab w:val="num" w:pos="3686"/>
      </w:tabs>
      <w:ind w:left="3686" w:hanging="709"/>
    </w:pPr>
    <w:rPr>
      <w:rFonts w:eastAsia="Times New Roman"/>
      <w:lang w:eastAsia="en-GB"/>
    </w:rPr>
  </w:style>
  <w:style w:type="paragraph" w:customStyle="1" w:styleId="ListNumber4Level4">
    <w:name w:val="List Number 4 (Level 4)"/>
    <w:basedOn w:val="Text4"/>
    <w:rsid w:val="00B16F96"/>
    <w:pPr>
      <w:tabs>
        <w:tab w:val="num" w:pos="3686"/>
      </w:tabs>
      <w:ind w:left="3686" w:hanging="709"/>
    </w:pPr>
    <w:rPr>
      <w:rFonts w:eastAsia="Times New Roman"/>
      <w:lang w:eastAsia="en-GB"/>
    </w:rPr>
  </w:style>
  <w:style w:type="paragraph" w:customStyle="1" w:styleId="Annexetitreacte">
    <w:name w:val="Annexe titre (acte)"/>
    <w:basedOn w:val="Normalny"/>
    <w:next w:val="Normalny"/>
    <w:rsid w:val="00B16F96"/>
    <w:pPr>
      <w:jc w:val="center"/>
    </w:pPr>
    <w:rPr>
      <w:rFonts w:eastAsia="Times New Roman"/>
      <w:b/>
      <w:u w:val="single"/>
      <w:lang w:eastAsia="en-GB"/>
    </w:rPr>
  </w:style>
  <w:style w:type="paragraph" w:customStyle="1" w:styleId="Annexetitreexposglobal">
    <w:name w:val="Annexe titre (exposé global)"/>
    <w:basedOn w:val="Normalny"/>
    <w:next w:val="Normalny"/>
    <w:rsid w:val="00B16F96"/>
    <w:pPr>
      <w:jc w:val="center"/>
    </w:pPr>
    <w:rPr>
      <w:rFonts w:eastAsia="Times New Roman"/>
      <w:b/>
      <w:u w:val="single"/>
      <w:lang w:eastAsia="en-GB"/>
    </w:rPr>
  </w:style>
  <w:style w:type="paragraph" w:customStyle="1" w:styleId="Annexetitrefichefinacte">
    <w:name w:val="Annexe titre (fiche fin. acte)"/>
    <w:basedOn w:val="Normalny"/>
    <w:next w:val="Normalny"/>
    <w:rsid w:val="00B16F96"/>
    <w:pPr>
      <w:jc w:val="center"/>
    </w:pPr>
    <w:rPr>
      <w:rFonts w:eastAsia="Times New Roman"/>
      <w:b/>
      <w:u w:val="single"/>
      <w:lang w:eastAsia="en-GB"/>
    </w:rPr>
  </w:style>
  <w:style w:type="paragraph" w:customStyle="1" w:styleId="Annexetitrefichefinglobale">
    <w:name w:val="Annexe titre (fiche fin. globale)"/>
    <w:basedOn w:val="Normalny"/>
    <w:next w:val="Normalny"/>
    <w:rsid w:val="00B16F96"/>
    <w:pPr>
      <w:jc w:val="center"/>
    </w:pPr>
    <w:rPr>
      <w:rFonts w:eastAsia="Times New Roman"/>
      <w:b/>
      <w:u w:val="single"/>
      <w:lang w:eastAsia="en-GB"/>
    </w:rPr>
  </w:style>
  <w:style w:type="paragraph" w:customStyle="1" w:styleId="Annexetitreglobale">
    <w:name w:val="Annexe titre (globale)"/>
    <w:basedOn w:val="Normalny"/>
    <w:next w:val="Normalny"/>
    <w:rsid w:val="00B16F96"/>
    <w:pPr>
      <w:jc w:val="center"/>
    </w:pPr>
    <w:rPr>
      <w:rFonts w:eastAsia="Times New Roman"/>
      <w:b/>
      <w:u w:val="single"/>
      <w:lang w:eastAsia="en-GB"/>
    </w:rPr>
  </w:style>
  <w:style w:type="paragraph" w:customStyle="1" w:styleId="Exposdesmotifstitreglobal">
    <w:name w:val="Exposé des motifs titre (global)"/>
    <w:basedOn w:val="Normalny"/>
    <w:next w:val="Normalny"/>
    <w:rsid w:val="00B16F96"/>
    <w:pPr>
      <w:jc w:val="center"/>
    </w:pPr>
    <w:rPr>
      <w:rFonts w:eastAsia="Times New Roman"/>
      <w:b/>
      <w:u w:val="single"/>
      <w:lang w:eastAsia="en-GB"/>
    </w:rPr>
  </w:style>
  <w:style w:type="paragraph" w:customStyle="1" w:styleId="Langueoriginale">
    <w:name w:val="Langue originale"/>
    <w:basedOn w:val="Normalny"/>
    <w:rsid w:val="00B16F96"/>
    <w:pPr>
      <w:spacing w:before="360"/>
      <w:jc w:val="center"/>
    </w:pPr>
    <w:rPr>
      <w:rFonts w:eastAsia="Times New Roman"/>
      <w:caps/>
      <w:lang w:eastAsia="en-GB"/>
    </w:rPr>
  </w:style>
  <w:style w:type="paragraph" w:customStyle="1" w:styleId="Phrasefinale">
    <w:name w:val="Phrase finale"/>
    <w:basedOn w:val="Normalny"/>
    <w:next w:val="Normalny"/>
    <w:rsid w:val="00B16F96"/>
    <w:pPr>
      <w:spacing w:before="360" w:after="0"/>
      <w:jc w:val="center"/>
    </w:pPr>
    <w:rPr>
      <w:rFonts w:eastAsia="Times New Roman"/>
      <w:lang w:eastAsia="en-GB"/>
    </w:rPr>
  </w:style>
  <w:style w:type="paragraph" w:customStyle="1" w:styleId="Prliminairetitre">
    <w:name w:val="Préliminaire titre"/>
    <w:basedOn w:val="Normalny"/>
    <w:next w:val="Normalny"/>
    <w:rsid w:val="00B16F96"/>
    <w:pPr>
      <w:spacing w:before="360" w:after="360"/>
      <w:jc w:val="center"/>
    </w:pPr>
    <w:rPr>
      <w:rFonts w:eastAsia="Times New Roman"/>
      <w:b/>
      <w:lang w:eastAsia="en-GB"/>
    </w:rPr>
  </w:style>
  <w:style w:type="paragraph" w:customStyle="1" w:styleId="Prliminairetype">
    <w:name w:val="Préliminaire type"/>
    <w:basedOn w:val="Normalny"/>
    <w:next w:val="Normalny"/>
    <w:rsid w:val="00B16F96"/>
    <w:pPr>
      <w:spacing w:before="360" w:after="0"/>
      <w:jc w:val="center"/>
    </w:pPr>
    <w:rPr>
      <w:rFonts w:eastAsia="Times New Roman"/>
      <w:b/>
      <w:lang w:eastAsia="en-GB"/>
    </w:rPr>
  </w:style>
  <w:style w:type="paragraph" w:customStyle="1" w:styleId="Rfrenceinstitutionelle">
    <w:name w:val="Référence institutionelle"/>
    <w:basedOn w:val="Normalny"/>
    <w:next w:val="Statut"/>
    <w:rsid w:val="00B16F96"/>
    <w:pPr>
      <w:spacing w:before="0" w:after="240"/>
      <w:ind w:left="5103"/>
      <w:jc w:val="left"/>
    </w:pPr>
    <w:rPr>
      <w:rFonts w:eastAsia="Times New Roman"/>
      <w:lang w:eastAsia="en-GB"/>
    </w:rPr>
  </w:style>
  <w:style w:type="paragraph" w:customStyle="1" w:styleId="Rfrenceinterinstitutionelle">
    <w:name w:val="Référence interinstitutionelle"/>
    <w:basedOn w:val="Normalny"/>
    <w:next w:val="Statut"/>
    <w:rsid w:val="00B16F96"/>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ny"/>
    <w:next w:val="Normalny"/>
    <w:rsid w:val="00B16F96"/>
    <w:pPr>
      <w:spacing w:before="0" w:after="0"/>
      <w:ind w:left="5103"/>
      <w:jc w:val="left"/>
    </w:pPr>
    <w:rPr>
      <w:rFonts w:eastAsia="Times New Roman"/>
      <w:lang w:eastAsia="en-GB"/>
    </w:rPr>
  </w:style>
  <w:style w:type="paragraph" w:customStyle="1" w:styleId="Sous-titreobjetprliminaire">
    <w:name w:val="Sous-titre objet (préliminaire)"/>
    <w:basedOn w:val="Normalny"/>
    <w:rsid w:val="00B16F96"/>
    <w:pPr>
      <w:spacing w:before="0" w:after="0"/>
      <w:jc w:val="center"/>
    </w:pPr>
    <w:rPr>
      <w:rFonts w:eastAsia="Times New Roman"/>
      <w:b/>
      <w:lang w:eastAsia="en-GB"/>
    </w:rPr>
  </w:style>
  <w:style w:type="paragraph" w:customStyle="1" w:styleId="Statutprliminaire">
    <w:name w:val="Statut (préliminaire)"/>
    <w:basedOn w:val="Normalny"/>
    <w:next w:val="Normalny"/>
    <w:rsid w:val="00B16F96"/>
    <w:pPr>
      <w:spacing w:before="360" w:after="0"/>
      <w:jc w:val="center"/>
    </w:pPr>
    <w:rPr>
      <w:rFonts w:eastAsia="Times New Roman"/>
      <w:lang w:eastAsia="en-GB"/>
    </w:rPr>
  </w:style>
  <w:style w:type="paragraph" w:customStyle="1" w:styleId="Titreobjetprliminaire">
    <w:name w:val="Titre objet (préliminaire)"/>
    <w:basedOn w:val="Normalny"/>
    <w:next w:val="Normalny"/>
    <w:rsid w:val="00B16F96"/>
    <w:pPr>
      <w:spacing w:before="360" w:after="360"/>
      <w:jc w:val="center"/>
    </w:pPr>
    <w:rPr>
      <w:rFonts w:eastAsia="Times New Roman"/>
      <w:b/>
      <w:lang w:eastAsia="en-GB"/>
    </w:rPr>
  </w:style>
  <w:style w:type="paragraph" w:customStyle="1" w:styleId="Typedudocumentprliminaire">
    <w:name w:val="Type du document (préliminaire)"/>
    <w:basedOn w:val="Normalny"/>
    <w:next w:val="Normalny"/>
    <w:rsid w:val="00B16F96"/>
    <w:pPr>
      <w:spacing w:before="360" w:after="0"/>
      <w:jc w:val="center"/>
    </w:pPr>
    <w:rPr>
      <w:rFonts w:eastAsia="Times New Roman"/>
      <w:b/>
      <w:lang w:eastAsia="en-GB"/>
    </w:rPr>
  </w:style>
  <w:style w:type="paragraph" w:customStyle="1" w:styleId="Fichefinancirestandardtitre">
    <w:name w:val="Fiche financière (standard) titre"/>
    <w:basedOn w:val="Normalny"/>
    <w:next w:val="Normalny"/>
    <w:rsid w:val="00B16F96"/>
    <w:pPr>
      <w:jc w:val="center"/>
    </w:pPr>
    <w:rPr>
      <w:rFonts w:eastAsia="Times New Roman"/>
      <w:b/>
      <w:u w:val="single"/>
      <w:lang w:eastAsia="en-GB"/>
    </w:rPr>
  </w:style>
  <w:style w:type="paragraph" w:customStyle="1" w:styleId="Fichefinancirestandardtitreacte">
    <w:name w:val="Fiche financière (standard) titre (acte)"/>
    <w:basedOn w:val="Normalny"/>
    <w:next w:val="Normalny"/>
    <w:rsid w:val="00B16F96"/>
    <w:pPr>
      <w:jc w:val="center"/>
    </w:pPr>
    <w:rPr>
      <w:rFonts w:eastAsia="Times New Roman"/>
      <w:b/>
      <w:u w:val="single"/>
      <w:lang w:eastAsia="en-GB"/>
    </w:rPr>
  </w:style>
  <w:style w:type="paragraph" w:customStyle="1" w:styleId="Fichefinanciretravailtitre">
    <w:name w:val="Fiche financière (travail) titre"/>
    <w:basedOn w:val="Normalny"/>
    <w:next w:val="Normalny"/>
    <w:rsid w:val="00B16F96"/>
    <w:pPr>
      <w:jc w:val="center"/>
    </w:pPr>
    <w:rPr>
      <w:rFonts w:eastAsia="Times New Roman"/>
      <w:b/>
      <w:u w:val="single"/>
      <w:lang w:eastAsia="en-GB"/>
    </w:rPr>
  </w:style>
  <w:style w:type="paragraph" w:customStyle="1" w:styleId="Fichefinanciretravailtitreacte">
    <w:name w:val="Fiche financière (travail) titre (acte)"/>
    <w:basedOn w:val="Normalny"/>
    <w:next w:val="Normalny"/>
    <w:rsid w:val="00B16F96"/>
    <w:pPr>
      <w:jc w:val="center"/>
    </w:pPr>
    <w:rPr>
      <w:rFonts w:eastAsia="Times New Roman"/>
      <w:b/>
      <w:u w:val="single"/>
      <w:lang w:eastAsia="en-GB"/>
    </w:rPr>
  </w:style>
  <w:style w:type="paragraph" w:customStyle="1" w:styleId="Fichefinancireattributiontitre">
    <w:name w:val="Fiche financière (attribution) titre"/>
    <w:basedOn w:val="Normalny"/>
    <w:next w:val="Normalny"/>
    <w:rsid w:val="00B16F96"/>
    <w:pPr>
      <w:jc w:val="center"/>
    </w:pPr>
    <w:rPr>
      <w:rFonts w:eastAsia="Times New Roman"/>
      <w:b/>
      <w:u w:val="single"/>
      <w:lang w:eastAsia="en-GB"/>
    </w:rPr>
  </w:style>
  <w:style w:type="paragraph" w:customStyle="1" w:styleId="Fichefinancireattributiontitreacte">
    <w:name w:val="Fiche financière (attribution) titre (acte)"/>
    <w:basedOn w:val="Normalny"/>
    <w:next w:val="Normalny"/>
    <w:rsid w:val="00B16F96"/>
    <w:pPr>
      <w:jc w:val="center"/>
    </w:pPr>
    <w:rPr>
      <w:rFonts w:eastAsia="Times New Roman"/>
      <w:b/>
      <w:u w:val="single"/>
      <w:lang w:eastAsia="en-GB"/>
    </w:rPr>
  </w:style>
  <w:style w:type="character" w:styleId="Numerstrony">
    <w:name w:val="page number"/>
    <w:rsid w:val="00B16F96"/>
  </w:style>
  <w:style w:type="character" w:customStyle="1" w:styleId="tw4winMark">
    <w:name w:val="tw4winMark"/>
    <w:rsid w:val="00B16F96"/>
    <w:rPr>
      <w:vanish/>
      <w:color w:val="800080"/>
      <w:vertAlign w:val="subscript"/>
    </w:rPr>
  </w:style>
  <w:style w:type="paragraph" w:customStyle="1" w:styleId="Sous-titreobjet">
    <w:name w:val="Sous-titre objet"/>
    <w:basedOn w:val="Normalny"/>
    <w:rsid w:val="00B16F96"/>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B16F96"/>
  </w:style>
  <w:style w:type="paragraph" w:customStyle="1" w:styleId="FooterCoverPage">
    <w:name w:val="Footer Cover Page"/>
    <w:basedOn w:val="Normalny"/>
    <w:link w:val="FooterCoverPageChar"/>
    <w:rsid w:val="00B16F96"/>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B16F96"/>
    <w:rPr>
      <w:rFonts w:ascii="Times New Roman" w:hAnsi="Times New Roman" w:cs="Times New Roman"/>
      <w:b/>
      <w:sz w:val="28"/>
      <w:lang w:val="pl-PL"/>
    </w:rPr>
  </w:style>
  <w:style w:type="character" w:customStyle="1" w:styleId="FooterCoverPageChar">
    <w:name w:val="Footer Cover Page Char"/>
    <w:link w:val="FooterCoverPage"/>
    <w:rsid w:val="00B16F96"/>
    <w:rPr>
      <w:rFonts w:ascii="Times New Roman" w:eastAsia="Calibri" w:hAnsi="Times New Roman" w:cs="Times New Roman"/>
      <w:sz w:val="24"/>
      <w:lang w:val="pl-PL" w:eastAsia="en-GB"/>
    </w:rPr>
  </w:style>
  <w:style w:type="paragraph" w:customStyle="1" w:styleId="HeaderCoverPage">
    <w:name w:val="Header Cover Page"/>
    <w:basedOn w:val="Normalny"/>
    <w:link w:val="HeaderCoverPageChar"/>
    <w:rsid w:val="00B16F96"/>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B16F96"/>
    <w:rPr>
      <w:rFonts w:ascii="Times New Roman" w:eastAsia="Calibri" w:hAnsi="Times New Roman" w:cs="Times New Roman"/>
      <w:sz w:val="24"/>
      <w:lang w:val="pl-PL" w:eastAsia="en-GB"/>
    </w:rPr>
  </w:style>
  <w:style w:type="numbering" w:customStyle="1" w:styleId="NoList3">
    <w:name w:val="No List3"/>
    <w:next w:val="Bezlisty"/>
    <w:uiPriority w:val="99"/>
    <w:semiHidden/>
    <w:unhideWhenUsed/>
    <w:rsid w:val="005D44AF"/>
  </w:style>
  <w:style w:type="table" w:customStyle="1" w:styleId="TableGrid3">
    <w:name w:val="Table Grid3"/>
    <w:basedOn w:val="Standardowy"/>
    <w:next w:val="Tabela-Siatka"/>
    <w:rsid w:val="005D44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Error">
    <w:name w:val="tw4winError"/>
    <w:rsid w:val="005D44AF"/>
    <w:rPr>
      <w:color w:val="00FF00"/>
      <w:sz w:val="40"/>
      <w:lang w:val="pl-PL" w:eastAsia="en-GB"/>
    </w:rPr>
  </w:style>
  <w:style w:type="character" w:customStyle="1" w:styleId="tw4winTerm">
    <w:name w:val="tw4winTerm"/>
    <w:rsid w:val="005D44AF"/>
    <w:rPr>
      <w:color w:val="0000FF"/>
      <w:lang w:val="pl-PL" w:eastAsia="en-GB"/>
    </w:rPr>
  </w:style>
  <w:style w:type="character" w:customStyle="1" w:styleId="tw4winPopup">
    <w:name w:val="tw4winPopup"/>
    <w:rsid w:val="005D44AF"/>
    <w:rPr>
      <w:noProof/>
      <w:color w:val="008000"/>
      <w:lang w:val="pl-PL" w:eastAsia="en-GB"/>
    </w:rPr>
  </w:style>
  <w:style w:type="character" w:customStyle="1" w:styleId="tw4winJump">
    <w:name w:val="tw4winJump"/>
    <w:rsid w:val="005D44AF"/>
    <w:rPr>
      <w:noProof/>
      <w:color w:val="008080"/>
      <w:lang w:val="pl-PL" w:eastAsia="en-GB"/>
    </w:rPr>
  </w:style>
  <w:style w:type="character" w:customStyle="1" w:styleId="tw4winExternal">
    <w:name w:val="tw4winExternal"/>
    <w:rsid w:val="005D44AF"/>
    <w:rPr>
      <w:noProof/>
      <w:color w:val="808080"/>
      <w:lang w:val="pl-PL" w:eastAsia="en-GB"/>
    </w:rPr>
  </w:style>
  <w:style w:type="character" w:customStyle="1" w:styleId="tw4winInternal">
    <w:name w:val="tw4winInternal"/>
    <w:rsid w:val="005D44AF"/>
    <w:rPr>
      <w:noProof/>
      <w:color w:val="FF0000"/>
      <w:lang w:val="pl-PL" w:eastAsia="en-GB"/>
    </w:rPr>
  </w:style>
  <w:style w:type="character" w:customStyle="1" w:styleId="DONOTTRANSLATE">
    <w:name w:val="DO_NOT_TRANSLATE"/>
    <w:rsid w:val="005D44AF"/>
    <w:rPr>
      <w:noProof/>
      <w:color w:val="800000"/>
      <w:lang w:val="pl-PL" w:eastAsia="en-GB"/>
    </w:rPr>
  </w:style>
  <w:style w:type="paragraph" w:styleId="Nagwek">
    <w:name w:val="header"/>
    <w:basedOn w:val="Normalny"/>
    <w:link w:val="NagwekZnak"/>
    <w:uiPriority w:val="99"/>
    <w:unhideWhenUsed/>
    <w:rsid w:val="0037392B"/>
    <w:pPr>
      <w:tabs>
        <w:tab w:val="center" w:pos="4535"/>
        <w:tab w:val="right" w:pos="9071"/>
      </w:tabs>
      <w:spacing w:before="0"/>
    </w:pPr>
  </w:style>
  <w:style w:type="character" w:customStyle="1" w:styleId="NagwekZnak">
    <w:name w:val="Nagłówek Znak"/>
    <w:basedOn w:val="Domylnaczcionkaakapitu"/>
    <w:link w:val="Nagwek"/>
    <w:uiPriority w:val="99"/>
    <w:rsid w:val="0037392B"/>
    <w:rPr>
      <w:rFonts w:ascii="Times New Roman" w:hAnsi="Times New Roman" w:cs="Times New Roman"/>
      <w:sz w:val="24"/>
      <w:lang w:val="pl-PL"/>
    </w:rPr>
  </w:style>
  <w:style w:type="paragraph" w:styleId="Stopka">
    <w:name w:val="footer"/>
    <w:basedOn w:val="Normalny"/>
    <w:link w:val="StopkaZnak"/>
    <w:uiPriority w:val="99"/>
    <w:unhideWhenUsed/>
    <w:rsid w:val="0037392B"/>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37392B"/>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rsid w:val="00517205"/>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517205"/>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517205"/>
    <w:rPr>
      <w:rFonts w:ascii="Times New Roman" w:eastAsiaTheme="majorEastAsia" w:hAnsi="Times New Roman" w:cs="Times New Roman"/>
      <w:b/>
      <w:bCs/>
      <w:smallCaps/>
      <w:sz w:val="24"/>
      <w:szCs w:val="28"/>
      <w:lang w:val="pl-PL"/>
    </w:rPr>
  </w:style>
  <w:style w:type="character" w:customStyle="1" w:styleId="Nagwek2Znak">
    <w:name w:val="Nagłówek 2 Znak"/>
    <w:basedOn w:val="Domylnaczcionkaakapitu"/>
    <w:link w:val="Nagwek2"/>
    <w:uiPriority w:val="9"/>
    <w:semiHidden/>
    <w:rsid w:val="00517205"/>
    <w:rPr>
      <w:rFonts w:ascii="Times New Roman" w:eastAsiaTheme="majorEastAsia" w:hAnsi="Times New Roman" w:cs="Times New Roman"/>
      <w:b/>
      <w:bCs/>
      <w:sz w:val="24"/>
      <w:szCs w:val="26"/>
      <w:lang w:val="pl-PL"/>
    </w:rPr>
  </w:style>
  <w:style w:type="character" w:customStyle="1" w:styleId="Nagwek3Znak">
    <w:name w:val="Nagłówek 3 Znak"/>
    <w:basedOn w:val="Domylnaczcionkaakapitu"/>
    <w:link w:val="Nagwek3"/>
    <w:uiPriority w:val="9"/>
    <w:semiHidden/>
    <w:rsid w:val="00517205"/>
    <w:rPr>
      <w:rFonts w:ascii="Times New Roman" w:eastAsiaTheme="majorEastAsia" w:hAnsi="Times New Roman" w:cs="Times New Roman"/>
      <w:bCs/>
      <w:i/>
      <w:sz w:val="24"/>
      <w:lang w:val="pl-PL"/>
    </w:rPr>
  </w:style>
  <w:style w:type="character" w:customStyle="1" w:styleId="Nagwek4Znak">
    <w:name w:val="Nagłówek 4 Znak"/>
    <w:basedOn w:val="Domylnaczcionkaakapitu"/>
    <w:link w:val="Nagwek4"/>
    <w:uiPriority w:val="9"/>
    <w:semiHidden/>
    <w:rsid w:val="00517205"/>
    <w:rPr>
      <w:rFonts w:ascii="Times New Roman" w:eastAsiaTheme="majorEastAsia" w:hAnsi="Times New Roman" w:cs="Times New Roman"/>
      <w:bCs/>
      <w:iCs/>
      <w:sz w:val="24"/>
      <w:lang w:val="pl-PL"/>
    </w:rPr>
  </w:style>
  <w:style w:type="character" w:customStyle="1" w:styleId="Nagwek5Znak">
    <w:name w:val="Nagłówek 5 Znak"/>
    <w:basedOn w:val="Domylnaczcionkaakapitu"/>
    <w:link w:val="Nagwek5"/>
    <w:uiPriority w:val="9"/>
    <w:semiHidden/>
    <w:rsid w:val="00517205"/>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517205"/>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517205"/>
    <w:rPr>
      <w:rFonts w:ascii="Times New Roman" w:eastAsiaTheme="majorEastAsia" w:hAnsi="Times New Roman" w:cs="Times New Roman"/>
      <w:iCs/>
      <w:sz w:val="24"/>
      <w:lang w:val="pl-PL"/>
    </w:rPr>
  </w:style>
  <w:style w:type="paragraph" w:styleId="Nagwekspisutreci">
    <w:name w:val="TOC Heading"/>
    <w:basedOn w:val="Normalny"/>
    <w:next w:val="Normalny"/>
    <w:uiPriority w:val="39"/>
    <w:semiHidden/>
    <w:unhideWhenUsed/>
    <w:qFormat/>
    <w:rsid w:val="00517205"/>
    <w:pPr>
      <w:spacing w:after="240"/>
      <w:jc w:val="center"/>
    </w:pPr>
    <w:rPr>
      <w:b/>
      <w:sz w:val="28"/>
    </w:rPr>
  </w:style>
  <w:style w:type="paragraph" w:styleId="Spistreci1">
    <w:name w:val="toc 1"/>
    <w:basedOn w:val="Normalny"/>
    <w:next w:val="Normalny"/>
    <w:uiPriority w:val="39"/>
    <w:semiHidden/>
    <w:unhideWhenUsed/>
    <w:rsid w:val="00517205"/>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517205"/>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517205"/>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517205"/>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517205"/>
    <w:pPr>
      <w:tabs>
        <w:tab w:val="right" w:leader="dot" w:pos="9071"/>
      </w:tabs>
      <w:spacing w:before="300"/>
      <w:jc w:val="left"/>
    </w:pPr>
  </w:style>
  <w:style w:type="paragraph" w:styleId="Spistreci6">
    <w:name w:val="toc 6"/>
    <w:basedOn w:val="Normalny"/>
    <w:next w:val="Normalny"/>
    <w:uiPriority w:val="39"/>
    <w:semiHidden/>
    <w:unhideWhenUsed/>
    <w:rsid w:val="00517205"/>
    <w:pPr>
      <w:tabs>
        <w:tab w:val="right" w:leader="dot" w:pos="9071"/>
      </w:tabs>
      <w:spacing w:before="240"/>
      <w:jc w:val="left"/>
    </w:pPr>
  </w:style>
  <w:style w:type="paragraph" w:styleId="Spistreci7">
    <w:name w:val="toc 7"/>
    <w:basedOn w:val="Normalny"/>
    <w:next w:val="Normalny"/>
    <w:uiPriority w:val="39"/>
    <w:semiHidden/>
    <w:unhideWhenUsed/>
    <w:rsid w:val="00517205"/>
    <w:pPr>
      <w:tabs>
        <w:tab w:val="right" w:leader="dot" w:pos="9071"/>
      </w:tabs>
      <w:spacing w:before="180"/>
      <w:jc w:val="left"/>
    </w:pPr>
  </w:style>
  <w:style w:type="paragraph" w:styleId="Spistreci8">
    <w:name w:val="toc 8"/>
    <w:basedOn w:val="Normalny"/>
    <w:next w:val="Normalny"/>
    <w:uiPriority w:val="39"/>
    <w:semiHidden/>
    <w:unhideWhenUsed/>
    <w:rsid w:val="00517205"/>
    <w:pPr>
      <w:tabs>
        <w:tab w:val="right" w:leader="dot" w:pos="9071"/>
      </w:tabs>
      <w:jc w:val="left"/>
    </w:pPr>
  </w:style>
  <w:style w:type="paragraph" w:styleId="Spistreci9">
    <w:name w:val="toc 9"/>
    <w:basedOn w:val="Normalny"/>
    <w:next w:val="Normalny"/>
    <w:uiPriority w:val="39"/>
    <w:semiHidden/>
    <w:unhideWhenUsed/>
    <w:rsid w:val="00517205"/>
    <w:pPr>
      <w:tabs>
        <w:tab w:val="right" w:leader="dot" w:pos="9071"/>
      </w:tabs>
      <w:ind w:left="1417" w:hanging="1417"/>
      <w:jc w:val="left"/>
    </w:pPr>
  </w:style>
  <w:style w:type="paragraph" w:customStyle="1" w:styleId="HeaderLandscape">
    <w:name w:val="HeaderLandscape"/>
    <w:basedOn w:val="Normalny"/>
    <w:rsid w:val="0037392B"/>
    <w:pPr>
      <w:tabs>
        <w:tab w:val="center" w:pos="7285"/>
        <w:tab w:val="right" w:pos="14003"/>
      </w:tabs>
      <w:spacing w:before="0"/>
    </w:pPr>
  </w:style>
  <w:style w:type="paragraph" w:customStyle="1" w:styleId="FooterLandscape">
    <w:name w:val="FooterLandscape"/>
    <w:basedOn w:val="Normalny"/>
    <w:rsid w:val="0037392B"/>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517205"/>
    <w:rPr>
      <w:shd w:val="clear" w:color="auto" w:fill="auto"/>
      <w:vertAlign w:val="superscript"/>
    </w:rPr>
  </w:style>
  <w:style w:type="paragraph" w:customStyle="1" w:styleId="HeaderSensitivity">
    <w:name w:val="Header Sensitivity"/>
    <w:basedOn w:val="Normalny"/>
    <w:rsid w:val="0037392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rsid w:val="0037392B"/>
    <w:pPr>
      <w:spacing w:before="0"/>
      <w:jc w:val="right"/>
    </w:pPr>
    <w:rPr>
      <w:sz w:val="28"/>
    </w:rPr>
  </w:style>
  <w:style w:type="paragraph" w:customStyle="1" w:styleId="FooterSensitivity">
    <w:name w:val="Footer Sensitivity"/>
    <w:basedOn w:val="Normalny"/>
    <w:rsid w:val="0037392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517205"/>
    <w:pPr>
      <w:ind w:left="850"/>
    </w:pPr>
  </w:style>
  <w:style w:type="paragraph" w:customStyle="1" w:styleId="Text2">
    <w:name w:val="Text 2"/>
    <w:basedOn w:val="Normalny"/>
    <w:rsid w:val="00517205"/>
    <w:pPr>
      <w:ind w:left="1417"/>
    </w:pPr>
  </w:style>
  <w:style w:type="paragraph" w:customStyle="1" w:styleId="Text3">
    <w:name w:val="Text 3"/>
    <w:basedOn w:val="Normalny"/>
    <w:rsid w:val="00517205"/>
    <w:pPr>
      <w:ind w:left="1984"/>
    </w:pPr>
  </w:style>
  <w:style w:type="paragraph" w:customStyle="1" w:styleId="Text4">
    <w:name w:val="Text 4"/>
    <w:basedOn w:val="Normalny"/>
    <w:rsid w:val="00517205"/>
    <w:pPr>
      <w:ind w:left="2551"/>
    </w:pPr>
  </w:style>
  <w:style w:type="paragraph" w:customStyle="1" w:styleId="Text5">
    <w:name w:val="Text 5"/>
    <w:basedOn w:val="Normalny"/>
    <w:rsid w:val="00517205"/>
    <w:pPr>
      <w:ind w:left="3118"/>
    </w:pPr>
  </w:style>
  <w:style w:type="paragraph" w:customStyle="1" w:styleId="Text6">
    <w:name w:val="Text 6"/>
    <w:basedOn w:val="Normalny"/>
    <w:rsid w:val="00517205"/>
    <w:pPr>
      <w:ind w:left="3685"/>
    </w:pPr>
  </w:style>
  <w:style w:type="paragraph" w:customStyle="1" w:styleId="NormalCentered">
    <w:name w:val="Normal Centered"/>
    <w:basedOn w:val="Normalny"/>
    <w:rsid w:val="00517205"/>
    <w:pPr>
      <w:jc w:val="center"/>
    </w:pPr>
  </w:style>
  <w:style w:type="paragraph" w:customStyle="1" w:styleId="NormalLeft">
    <w:name w:val="Normal Left"/>
    <w:basedOn w:val="Normalny"/>
    <w:rsid w:val="00517205"/>
    <w:pPr>
      <w:jc w:val="left"/>
    </w:pPr>
  </w:style>
  <w:style w:type="paragraph" w:customStyle="1" w:styleId="NormalRight">
    <w:name w:val="Normal Right"/>
    <w:basedOn w:val="Normalny"/>
    <w:rsid w:val="00517205"/>
    <w:pPr>
      <w:jc w:val="right"/>
    </w:pPr>
  </w:style>
  <w:style w:type="paragraph" w:customStyle="1" w:styleId="QuotedText">
    <w:name w:val="Quoted Text"/>
    <w:basedOn w:val="Normalny"/>
    <w:rsid w:val="00517205"/>
    <w:pPr>
      <w:ind w:left="1417"/>
    </w:pPr>
  </w:style>
  <w:style w:type="paragraph" w:customStyle="1" w:styleId="Point0">
    <w:name w:val="Point 0"/>
    <w:basedOn w:val="Normalny"/>
    <w:rsid w:val="00517205"/>
    <w:pPr>
      <w:ind w:left="850" w:hanging="850"/>
    </w:pPr>
  </w:style>
  <w:style w:type="paragraph" w:customStyle="1" w:styleId="Point1">
    <w:name w:val="Point 1"/>
    <w:basedOn w:val="Normalny"/>
    <w:rsid w:val="00517205"/>
    <w:pPr>
      <w:ind w:left="1417" w:hanging="567"/>
    </w:pPr>
  </w:style>
  <w:style w:type="paragraph" w:customStyle="1" w:styleId="Point2">
    <w:name w:val="Point 2"/>
    <w:basedOn w:val="Normalny"/>
    <w:rsid w:val="00517205"/>
    <w:pPr>
      <w:ind w:left="1984" w:hanging="567"/>
    </w:pPr>
  </w:style>
  <w:style w:type="paragraph" w:customStyle="1" w:styleId="Point3">
    <w:name w:val="Point 3"/>
    <w:basedOn w:val="Normalny"/>
    <w:rsid w:val="00517205"/>
    <w:pPr>
      <w:ind w:left="2551" w:hanging="567"/>
    </w:pPr>
  </w:style>
  <w:style w:type="paragraph" w:customStyle="1" w:styleId="Point4">
    <w:name w:val="Point 4"/>
    <w:basedOn w:val="Normalny"/>
    <w:rsid w:val="00517205"/>
    <w:pPr>
      <w:ind w:left="3118" w:hanging="567"/>
    </w:pPr>
  </w:style>
  <w:style w:type="paragraph" w:customStyle="1" w:styleId="Point5">
    <w:name w:val="Point 5"/>
    <w:basedOn w:val="Normalny"/>
    <w:rsid w:val="00517205"/>
    <w:pPr>
      <w:ind w:left="3685" w:hanging="567"/>
    </w:pPr>
  </w:style>
  <w:style w:type="paragraph" w:customStyle="1" w:styleId="Tiret0">
    <w:name w:val="Tiret 0"/>
    <w:basedOn w:val="Point0"/>
    <w:rsid w:val="00517205"/>
    <w:pPr>
      <w:numPr>
        <w:numId w:val="124"/>
      </w:numPr>
    </w:pPr>
  </w:style>
  <w:style w:type="paragraph" w:customStyle="1" w:styleId="Tiret1">
    <w:name w:val="Tiret 1"/>
    <w:basedOn w:val="Point1"/>
    <w:rsid w:val="00517205"/>
    <w:pPr>
      <w:numPr>
        <w:numId w:val="125"/>
      </w:numPr>
    </w:pPr>
  </w:style>
  <w:style w:type="paragraph" w:customStyle="1" w:styleId="Tiret2">
    <w:name w:val="Tiret 2"/>
    <w:basedOn w:val="Point2"/>
    <w:rsid w:val="00517205"/>
    <w:pPr>
      <w:numPr>
        <w:numId w:val="126"/>
      </w:numPr>
    </w:pPr>
  </w:style>
  <w:style w:type="paragraph" w:customStyle="1" w:styleId="Tiret3">
    <w:name w:val="Tiret 3"/>
    <w:basedOn w:val="Point3"/>
    <w:rsid w:val="00517205"/>
    <w:pPr>
      <w:numPr>
        <w:numId w:val="127"/>
      </w:numPr>
    </w:pPr>
  </w:style>
  <w:style w:type="paragraph" w:customStyle="1" w:styleId="Tiret4">
    <w:name w:val="Tiret 4"/>
    <w:basedOn w:val="Point4"/>
    <w:rsid w:val="00517205"/>
    <w:pPr>
      <w:numPr>
        <w:numId w:val="128"/>
      </w:numPr>
    </w:pPr>
  </w:style>
  <w:style w:type="paragraph" w:customStyle="1" w:styleId="Tiret5">
    <w:name w:val="Tiret 5"/>
    <w:basedOn w:val="Point5"/>
    <w:rsid w:val="00517205"/>
    <w:pPr>
      <w:numPr>
        <w:numId w:val="129"/>
      </w:numPr>
    </w:pPr>
  </w:style>
  <w:style w:type="paragraph" w:customStyle="1" w:styleId="PointDouble0">
    <w:name w:val="PointDouble 0"/>
    <w:basedOn w:val="Normalny"/>
    <w:rsid w:val="00517205"/>
    <w:pPr>
      <w:tabs>
        <w:tab w:val="left" w:pos="850"/>
      </w:tabs>
      <w:ind w:left="1417" w:hanging="1417"/>
    </w:pPr>
  </w:style>
  <w:style w:type="paragraph" w:customStyle="1" w:styleId="PointDouble1">
    <w:name w:val="PointDouble 1"/>
    <w:basedOn w:val="Normalny"/>
    <w:rsid w:val="00517205"/>
    <w:pPr>
      <w:tabs>
        <w:tab w:val="left" w:pos="1417"/>
      </w:tabs>
      <w:ind w:left="1984" w:hanging="1134"/>
    </w:pPr>
  </w:style>
  <w:style w:type="paragraph" w:customStyle="1" w:styleId="PointDouble2">
    <w:name w:val="PointDouble 2"/>
    <w:basedOn w:val="Normalny"/>
    <w:rsid w:val="00517205"/>
    <w:pPr>
      <w:tabs>
        <w:tab w:val="left" w:pos="1984"/>
      </w:tabs>
      <w:ind w:left="2551" w:hanging="1134"/>
    </w:pPr>
  </w:style>
  <w:style w:type="paragraph" w:customStyle="1" w:styleId="PointDouble3">
    <w:name w:val="PointDouble 3"/>
    <w:basedOn w:val="Normalny"/>
    <w:rsid w:val="00517205"/>
    <w:pPr>
      <w:tabs>
        <w:tab w:val="left" w:pos="2551"/>
      </w:tabs>
      <w:ind w:left="3118" w:hanging="1134"/>
    </w:pPr>
  </w:style>
  <w:style w:type="paragraph" w:customStyle="1" w:styleId="PointDouble4">
    <w:name w:val="PointDouble 4"/>
    <w:basedOn w:val="Normalny"/>
    <w:rsid w:val="00517205"/>
    <w:pPr>
      <w:tabs>
        <w:tab w:val="left" w:pos="3118"/>
      </w:tabs>
      <w:ind w:left="3685" w:hanging="1134"/>
    </w:pPr>
  </w:style>
  <w:style w:type="paragraph" w:customStyle="1" w:styleId="PointTriple0">
    <w:name w:val="PointTriple 0"/>
    <w:basedOn w:val="Normalny"/>
    <w:rsid w:val="00517205"/>
    <w:pPr>
      <w:tabs>
        <w:tab w:val="left" w:pos="850"/>
        <w:tab w:val="left" w:pos="1417"/>
      </w:tabs>
      <w:ind w:left="1984" w:hanging="1984"/>
    </w:pPr>
  </w:style>
  <w:style w:type="paragraph" w:customStyle="1" w:styleId="PointTriple1">
    <w:name w:val="PointTriple 1"/>
    <w:basedOn w:val="Normalny"/>
    <w:rsid w:val="00517205"/>
    <w:pPr>
      <w:tabs>
        <w:tab w:val="left" w:pos="1417"/>
        <w:tab w:val="left" w:pos="1984"/>
      </w:tabs>
      <w:ind w:left="2551" w:hanging="1701"/>
    </w:pPr>
  </w:style>
  <w:style w:type="paragraph" w:customStyle="1" w:styleId="PointTriple2">
    <w:name w:val="PointTriple 2"/>
    <w:basedOn w:val="Normalny"/>
    <w:rsid w:val="00517205"/>
    <w:pPr>
      <w:tabs>
        <w:tab w:val="left" w:pos="1984"/>
        <w:tab w:val="left" w:pos="2551"/>
      </w:tabs>
      <w:ind w:left="3118" w:hanging="1701"/>
    </w:pPr>
  </w:style>
  <w:style w:type="paragraph" w:customStyle="1" w:styleId="PointTriple3">
    <w:name w:val="PointTriple 3"/>
    <w:basedOn w:val="Normalny"/>
    <w:rsid w:val="00517205"/>
    <w:pPr>
      <w:tabs>
        <w:tab w:val="left" w:pos="2551"/>
        <w:tab w:val="left" w:pos="3118"/>
      </w:tabs>
      <w:ind w:left="3685" w:hanging="1701"/>
    </w:pPr>
  </w:style>
  <w:style w:type="paragraph" w:customStyle="1" w:styleId="PointTriple4">
    <w:name w:val="PointTriple 4"/>
    <w:basedOn w:val="Normalny"/>
    <w:rsid w:val="00517205"/>
    <w:pPr>
      <w:tabs>
        <w:tab w:val="left" w:pos="3118"/>
        <w:tab w:val="left" w:pos="3685"/>
      </w:tabs>
      <w:ind w:left="4252" w:hanging="1701"/>
    </w:pPr>
  </w:style>
  <w:style w:type="paragraph" w:customStyle="1" w:styleId="NumPar1">
    <w:name w:val="NumPar 1"/>
    <w:basedOn w:val="Normalny"/>
    <w:next w:val="Text1"/>
    <w:rsid w:val="00517205"/>
    <w:pPr>
      <w:numPr>
        <w:numId w:val="130"/>
      </w:numPr>
    </w:pPr>
  </w:style>
  <w:style w:type="paragraph" w:customStyle="1" w:styleId="NumPar2">
    <w:name w:val="NumPar 2"/>
    <w:basedOn w:val="Normalny"/>
    <w:next w:val="Text1"/>
    <w:rsid w:val="00517205"/>
    <w:pPr>
      <w:numPr>
        <w:ilvl w:val="1"/>
        <w:numId w:val="130"/>
      </w:numPr>
    </w:pPr>
  </w:style>
  <w:style w:type="paragraph" w:customStyle="1" w:styleId="NumPar3">
    <w:name w:val="NumPar 3"/>
    <w:basedOn w:val="Normalny"/>
    <w:next w:val="Text1"/>
    <w:rsid w:val="00517205"/>
    <w:pPr>
      <w:numPr>
        <w:ilvl w:val="2"/>
        <w:numId w:val="130"/>
      </w:numPr>
    </w:pPr>
  </w:style>
  <w:style w:type="paragraph" w:customStyle="1" w:styleId="NumPar4">
    <w:name w:val="NumPar 4"/>
    <w:basedOn w:val="Normalny"/>
    <w:next w:val="Text1"/>
    <w:rsid w:val="00517205"/>
    <w:pPr>
      <w:numPr>
        <w:ilvl w:val="3"/>
        <w:numId w:val="130"/>
      </w:numPr>
    </w:pPr>
  </w:style>
  <w:style w:type="paragraph" w:customStyle="1" w:styleId="NumPar5">
    <w:name w:val="NumPar 5"/>
    <w:basedOn w:val="Normalny"/>
    <w:next w:val="Text2"/>
    <w:rsid w:val="00517205"/>
    <w:pPr>
      <w:numPr>
        <w:ilvl w:val="4"/>
        <w:numId w:val="130"/>
      </w:numPr>
    </w:pPr>
  </w:style>
  <w:style w:type="paragraph" w:customStyle="1" w:styleId="NumPar6">
    <w:name w:val="NumPar 6"/>
    <w:basedOn w:val="Normalny"/>
    <w:next w:val="Text2"/>
    <w:rsid w:val="00517205"/>
    <w:pPr>
      <w:numPr>
        <w:ilvl w:val="5"/>
        <w:numId w:val="130"/>
      </w:numPr>
    </w:pPr>
  </w:style>
  <w:style w:type="paragraph" w:customStyle="1" w:styleId="NumPar7">
    <w:name w:val="NumPar 7"/>
    <w:basedOn w:val="Normalny"/>
    <w:next w:val="Text2"/>
    <w:rsid w:val="00517205"/>
    <w:pPr>
      <w:numPr>
        <w:ilvl w:val="6"/>
        <w:numId w:val="130"/>
      </w:numPr>
    </w:pPr>
  </w:style>
  <w:style w:type="paragraph" w:customStyle="1" w:styleId="ManualNumPar1">
    <w:name w:val="Manual NumPar 1"/>
    <w:basedOn w:val="Normalny"/>
    <w:next w:val="Text1"/>
    <w:rsid w:val="00517205"/>
    <w:pPr>
      <w:ind w:left="850" w:hanging="850"/>
    </w:pPr>
  </w:style>
  <w:style w:type="paragraph" w:customStyle="1" w:styleId="ManualNumPar2">
    <w:name w:val="Manual NumPar 2"/>
    <w:basedOn w:val="Normalny"/>
    <w:next w:val="Text1"/>
    <w:rsid w:val="00517205"/>
    <w:pPr>
      <w:ind w:left="850" w:hanging="850"/>
    </w:pPr>
  </w:style>
  <w:style w:type="paragraph" w:customStyle="1" w:styleId="ManualNumPar3">
    <w:name w:val="Manual NumPar 3"/>
    <w:basedOn w:val="Normalny"/>
    <w:next w:val="Text1"/>
    <w:rsid w:val="00517205"/>
    <w:pPr>
      <w:ind w:left="850" w:hanging="850"/>
    </w:pPr>
  </w:style>
  <w:style w:type="paragraph" w:customStyle="1" w:styleId="ManualNumPar4">
    <w:name w:val="Manual NumPar 4"/>
    <w:basedOn w:val="Normalny"/>
    <w:next w:val="Text1"/>
    <w:rsid w:val="00517205"/>
    <w:pPr>
      <w:ind w:left="850" w:hanging="850"/>
    </w:pPr>
  </w:style>
  <w:style w:type="paragraph" w:customStyle="1" w:styleId="ManualNumPar5">
    <w:name w:val="Manual NumPar 5"/>
    <w:basedOn w:val="Normalny"/>
    <w:next w:val="Text2"/>
    <w:rsid w:val="00517205"/>
    <w:pPr>
      <w:ind w:left="1417" w:hanging="1417"/>
    </w:pPr>
  </w:style>
  <w:style w:type="paragraph" w:customStyle="1" w:styleId="ManualNumPar6">
    <w:name w:val="Manual NumPar 6"/>
    <w:basedOn w:val="Normalny"/>
    <w:next w:val="Text2"/>
    <w:rsid w:val="00517205"/>
    <w:pPr>
      <w:ind w:left="1417" w:hanging="1417"/>
    </w:pPr>
  </w:style>
  <w:style w:type="paragraph" w:customStyle="1" w:styleId="ManualNumPar7">
    <w:name w:val="Manual NumPar 7"/>
    <w:basedOn w:val="Normalny"/>
    <w:next w:val="Text2"/>
    <w:rsid w:val="00517205"/>
    <w:pPr>
      <w:ind w:left="1417" w:hanging="1417"/>
    </w:pPr>
  </w:style>
  <w:style w:type="paragraph" w:customStyle="1" w:styleId="QuotedNumPar">
    <w:name w:val="Quoted NumPar"/>
    <w:basedOn w:val="Normalny"/>
    <w:rsid w:val="00517205"/>
    <w:pPr>
      <w:ind w:left="1417" w:hanging="567"/>
    </w:pPr>
  </w:style>
  <w:style w:type="paragraph" w:customStyle="1" w:styleId="ManualHeading1">
    <w:name w:val="Manual Heading 1"/>
    <w:basedOn w:val="Normalny"/>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517205"/>
    <w:pPr>
      <w:keepNext/>
      <w:tabs>
        <w:tab w:val="left" w:pos="850"/>
      </w:tabs>
      <w:ind w:left="850" w:hanging="850"/>
      <w:outlineLvl w:val="1"/>
    </w:pPr>
    <w:rPr>
      <w:b/>
    </w:rPr>
  </w:style>
  <w:style w:type="paragraph" w:customStyle="1" w:styleId="ManualHeading3">
    <w:name w:val="Manual Heading 3"/>
    <w:basedOn w:val="Normalny"/>
    <w:next w:val="Text1"/>
    <w:rsid w:val="00517205"/>
    <w:pPr>
      <w:keepNext/>
      <w:tabs>
        <w:tab w:val="left" w:pos="850"/>
      </w:tabs>
      <w:ind w:left="850" w:hanging="850"/>
      <w:outlineLvl w:val="2"/>
    </w:pPr>
    <w:rPr>
      <w:i/>
    </w:rPr>
  </w:style>
  <w:style w:type="paragraph" w:customStyle="1" w:styleId="ManualHeading4">
    <w:name w:val="Manual Heading 4"/>
    <w:basedOn w:val="Normalny"/>
    <w:next w:val="Text1"/>
    <w:rsid w:val="00517205"/>
    <w:pPr>
      <w:keepNext/>
      <w:tabs>
        <w:tab w:val="left" w:pos="850"/>
      </w:tabs>
      <w:ind w:left="850" w:hanging="850"/>
      <w:outlineLvl w:val="3"/>
    </w:pPr>
  </w:style>
  <w:style w:type="paragraph" w:customStyle="1" w:styleId="ManualHeading5">
    <w:name w:val="Manual Heading 5"/>
    <w:basedOn w:val="Normalny"/>
    <w:next w:val="Text2"/>
    <w:rsid w:val="00517205"/>
    <w:pPr>
      <w:keepNext/>
      <w:tabs>
        <w:tab w:val="left" w:pos="1417"/>
      </w:tabs>
      <w:ind w:left="1417" w:hanging="1417"/>
      <w:outlineLvl w:val="4"/>
    </w:pPr>
  </w:style>
  <w:style w:type="paragraph" w:customStyle="1" w:styleId="ManualHeading6">
    <w:name w:val="Manual Heading 6"/>
    <w:basedOn w:val="Normalny"/>
    <w:next w:val="Text2"/>
    <w:rsid w:val="00517205"/>
    <w:pPr>
      <w:keepNext/>
      <w:tabs>
        <w:tab w:val="left" w:pos="1417"/>
      </w:tabs>
      <w:ind w:left="1417" w:hanging="1417"/>
      <w:outlineLvl w:val="5"/>
    </w:pPr>
  </w:style>
  <w:style w:type="paragraph" w:customStyle="1" w:styleId="ManualHeading7">
    <w:name w:val="Manual Heading 7"/>
    <w:basedOn w:val="Normalny"/>
    <w:next w:val="Text2"/>
    <w:rsid w:val="00517205"/>
    <w:pPr>
      <w:keepNext/>
      <w:tabs>
        <w:tab w:val="left" w:pos="1417"/>
      </w:tabs>
      <w:ind w:left="1417" w:hanging="1417"/>
      <w:outlineLvl w:val="6"/>
    </w:pPr>
  </w:style>
  <w:style w:type="paragraph" w:customStyle="1" w:styleId="ChapterTitle">
    <w:name w:val="ChapterTitle"/>
    <w:basedOn w:val="Normalny"/>
    <w:next w:val="Normalny"/>
    <w:rsid w:val="00517205"/>
    <w:pPr>
      <w:keepNext/>
      <w:spacing w:after="360"/>
      <w:jc w:val="center"/>
    </w:pPr>
    <w:rPr>
      <w:b/>
      <w:sz w:val="32"/>
    </w:rPr>
  </w:style>
  <w:style w:type="paragraph" w:customStyle="1" w:styleId="PartTitle">
    <w:name w:val="PartTitle"/>
    <w:basedOn w:val="Normalny"/>
    <w:next w:val="ChapterTitle"/>
    <w:rsid w:val="00517205"/>
    <w:pPr>
      <w:keepNext/>
      <w:pageBreakBefore/>
      <w:spacing w:after="360"/>
      <w:jc w:val="center"/>
    </w:pPr>
    <w:rPr>
      <w:b/>
      <w:sz w:val="36"/>
    </w:rPr>
  </w:style>
  <w:style w:type="paragraph" w:customStyle="1" w:styleId="SectionTitle">
    <w:name w:val="SectionTitle"/>
    <w:basedOn w:val="Normalny"/>
    <w:next w:val="Nagwek1"/>
    <w:rsid w:val="00517205"/>
    <w:pPr>
      <w:keepNext/>
      <w:spacing w:after="360"/>
      <w:jc w:val="center"/>
    </w:pPr>
    <w:rPr>
      <w:b/>
      <w:smallCaps/>
      <w:sz w:val="28"/>
    </w:rPr>
  </w:style>
  <w:style w:type="paragraph" w:customStyle="1" w:styleId="TableTitle">
    <w:name w:val="Table Title"/>
    <w:basedOn w:val="Normalny"/>
    <w:next w:val="Normalny"/>
    <w:rsid w:val="00517205"/>
    <w:pPr>
      <w:jc w:val="center"/>
    </w:pPr>
    <w:rPr>
      <w:b/>
    </w:rPr>
  </w:style>
  <w:style w:type="character" w:customStyle="1" w:styleId="Marker">
    <w:name w:val="Marker"/>
    <w:basedOn w:val="Domylnaczcionkaakapitu"/>
    <w:rsid w:val="008753EA"/>
    <w:rPr>
      <w:color w:val="0000FF"/>
      <w:shd w:val="clear" w:color="auto" w:fill="auto"/>
    </w:rPr>
  </w:style>
  <w:style w:type="character" w:customStyle="1" w:styleId="Marker1">
    <w:name w:val="Marker1"/>
    <w:basedOn w:val="Domylnaczcionkaakapitu"/>
    <w:rsid w:val="00517205"/>
    <w:rPr>
      <w:color w:val="008000"/>
      <w:shd w:val="clear" w:color="auto" w:fill="auto"/>
    </w:rPr>
  </w:style>
  <w:style w:type="character" w:customStyle="1" w:styleId="Marker2">
    <w:name w:val="Marker2"/>
    <w:basedOn w:val="Domylnaczcionkaakapitu"/>
    <w:rsid w:val="00517205"/>
    <w:rPr>
      <w:color w:val="FF0000"/>
      <w:shd w:val="clear" w:color="auto" w:fill="auto"/>
    </w:rPr>
  </w:style>
  <w:style w:type="paragraph" w:customStyle="1" w:styleId="Point0number">
    <w:name w:val="Point 0 (number)"/>
    <w:basedOn w:val="Normalny"/>
    <w:rsid w:val="00517205"/>
    <w:pPr>
      <w:numPr>
        <w:numId w:val="132"/>
      </w:numPr>
    </w:pPr>
  </w:style>
  <w:style w:type="paragraph" w:customStyle="1" w:styleId="Point1number">
    <w:name w:val="Point 1 (number)"/>
    <w:basedOn w:val="Normalny"/>
    <w:rsid w:val="00517205"/>
    <w:pPr>
      <w:numPr>
        <w:ilvl w:val="2"/>
        <w:numId w:val="132"/>
      </w:numPr>
    </w:pPr>
  </w:style>
  <w:style w:type="paragraph" w:customStyle="1" w:styleId="Point2number">
    <w:name w:val="Point 2 (number)"/>
    <w:basedOn w:val="Normalny"/>
    <w:rsid w:val="00517205"/>
    <w:pPr>
      <w:numPr>
        <w:ilvl w:val="4"/>
        <w:numId w:val="132"/>
      </w:numPr>
    </w:pPr>
  </w:style>
  <w:style w:type="paragraph" w:customStyle="1" w:styleId="Point3number">
    <w:name w:val="Point 3 (number)"/>
    <w:basedOn w:val="Normalny"/>
    <w:rsid w:val="00517205"/>
    <w:pPr>
      <w:numPr>
        <w:ilvl w:val="6"/>
        <w:numId w:val="132"/>
      </w:numPr>
    </w:pPr>
  </w:style>
  <w:style w:type="paragraph" w:customStyle="1" w:styleId="Point0letter">
    <w:name w:val="Point 0 (letter)"/>
    <w:basedOn w:val="Normalny"/>
    <w:rsid w:val="00517205"/>
    <w:pPr>
      <w:numPr>
        <w:ilvl w:val="1"/>
        <w:numId w:val="132"/>
      </w:numPr>
    </w:pPr>
  </w:style>
  <w:style w:type="paragraph" w:customStyle="1" w:styleId="Point1letter">
    <w:name w:val="Point 1 (letter)"/>
    <w:basedOn w:val="Normalny"/>
    <w:rsid w:val="00517205"/>
    <w:pPr>
      <w:numPr>
        <w:ilvl w:val="3"/>
        <w:numId w:val="132"/>
      </w:numPr>
    </w:pPr>
  </w:style>
  <w:style w:type="paragraph" w:customStyle="1" w:styleId="Point2letter">
    <w:name w:val="Point 2 (letter)"/>
    <w:basedOn w:val="Normalny"/>
    <w:rsid w:val="00517205"/>
    <w:pPr>
      <w:numPr>
        <w:ilvl w:val="5"/>
        <w:numId w:val="132"/>
      </w:numPr>
    </w:pPr>
  </w:style>
  <w:style w:type="paragraph" w:customStyle="1" w:styleId="Point3letter">
    <w:name w:val="Point 3 (letter)"/>
    <w:basedOn w:val="Normalny"/>
    <w:rsid w:val="00517205"/>
    <w:pPr>
      <w:numPr>
        <w:ilvl w:val="7"/>
        <w:numId w:val="132"/>
      </w:numPr>
    </w:pPr>
  </w:style>
  <w:style w:type="paragraph" w:customStyle="1" w:styleId="Point4letter">
    <w:name w:val="Point 4 (letter)"/>
    <w:basedOn w:val="Normalny"/>
    <w:rsid w:val="00517205"/>
    <w:pPr>
      <w:numPr>
        <w:ilvl w:val="8"/>
        <w:numId w:val="132"/>
      </w:numPr>
    </w:pPr>
  </w:style>
  <w:style w:type="paragraph" w:customStyle="1" w:styleId="Bullet0">
    <w:name w:val="Bullet 0"/>
    <w:basedOn w:val="Normalny"/>
    <w:rsid w:val="00517205"/>
    <w:pPr>
      <w:numPr>
        <w:numId w:val="133"/>
      </w:numPr>
    </w:pPr>
  </w:style>
  <w:style w:type="paragraph" w:customStyle="1" w:styleId="Bullet1">
    <w:name w:val="Bullet 1"/>
    <w:basedOn w:val="Normalny"/>
    <w:rsid w:val="00517205"/>
    <w:pPr>
      <w:numPr>
        <w:numId w:val="134"/>
      </w:numPr>
    </w:pPr>
  </w:style>
  <w:style w:type="paragraph" w:customStyle="1" w:styleId="Bullet2">
    <w:name w:val="Bullet 2"/>
    <w:basedOn w:val="Normalny"/>
    <w:rsid w:val="00517205"/>
    <w:pPr>
      <w:numPr>
        <w:numId w:val="135"/>
      </w:numPr>
    </w:pPr>
  </w:style>
  <w:style w:type="paragraph" w:customStyle="1" w:styleId="Bullet3">
    <w:name w:val="Bullet 3"/>
    <w:basedOn w:val="Normalny"/>
    <w:rsid w:val="00517205"/>
    <w:pPr>
      <w:numPr>
        <w:numId w:val="136"/>
      </w:numPr>
    </w:pPr>
  </w:style>
  <w:style w:type="paragraph" w:customStyle="1" w:styleId="Bullet4">
    <w:name w:val="Bullet 4"/>
    <w:basedOn w:val="Normalny"/>
    <w:rsid w:val="00517205"/>
    <w:pPr>
      <w:numPr>
        <w:numId w:val="137"/>
      </w:numPr>
    </w:pPr>
  </w:style>
  <w:style w:type="paragraph" w:customStyle="1" w:styleId="Langue">
    <w:name w:val="Langue"/>
    <w:basedOn w:val="Normalny"/>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517205"/>
    <w:pPr>
      <w:spacing w:before="0" w:after="0"/>
      <w:jc w:val="left"/>
    </w:pPr>
    <w:rPr>
      <w:rFonts w:ascii="Arial" w:hAnsi="Arial" w:cs="Arial"/>
    </w:rPr>
  </w:style>
  <w:style w:type="paragraph" w:customStyle="1" w:styleId="Emission">
    <w:name w:val="Emission"/>
    <w:basedOn w:val="Normalny"/>
    <w:next w:val="Rfrenceinstitutionnelle"/>
    <w:rsid w:val="00517205"/>
    <w:pPr>
      <w:spacing w:before="0" w:after="0"/>
      <w:ind w:left="5103"/>
      <w:jc w:val="left"/>
    </w:pPr>
  </w:style>
  <w:style w:type="paragraph" w:customStyle="1" w:styleId="Rfrenceinstitutionnelle">
    <w:name w:val="Référence institutionnelle"/>
    <w:basedOn w:val="Normalny"/>
    <w:next w:val="Confidentialit"/>
    <w:rsid w:val="00517205"/>
    <w:pPr>
      <w:spacing w:before="0" w:after="240"/>
      <w:ind w:left="5103"/>
      <w:jc w:val="left"/>
    </w:pPr>
  </w:style>
  <w:style w:type="paragraph" w:customStyle="1" w:styleId="Pagedecouverture">
    <w:name w:val="Page de couverture"/>
    <w:basedOn w:val="Normalny"/>
    <w:next w:val="Normalny"/>
    <w:rsid w:val="00517205"/>
    <w:pPr>
      <w:spacing w:before="0" w:after="0"/>
    </w:pPr>
  </w:style>
  <w:style w:type="paragraph" w:customStyle="1" w:styleId="Declassification">
    <w:name w:val="Declassification"/>
    <w:basedOn w:val="Normalny"/>
    <w:next w:val="Normalny"/>
    <w:rsid w:val="00517205"/>
    <w:pPr>
      <w:spacing w:before="0" w:after="0"/>
    </w:pPr>
  </w:style>
  <w:style w:type="paragraph" w:customStyle="1" w:styleId="Disclaimer">
    <w:name w:val="Disclaimer"/>
    <w:basedOn w:val="Normalny"/>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rsid w:val="00517205"/>
    <w:pPr>
      <w:spacing w:before="0" w:after="0" w:line="276" w:lineRule="auto"/>
      <w:ind w:left="5103"/>
      <w:jc w:val="left"/>
    </w:pPr>
    <w:rPr>
      <w:sz w:val="28"/>
    </w:rPr>
  </w:style>
  <w:style w:type="paragraph" w:customStyle="1" w:styleId="DateMarking">
    <w:name w:val="DateMarking"/>
    <w:basedOn w:val="Normalny"/>
    <w:rsid w:val="00517205"/>
    <w:pPr>
      <w:spacing w:before="0" w:after="0" w:line="276" w:lineRule="auto"/>
      <w:ind w:left="5103"/>
      <w:jc w:val="left"/>
    </w:pPr>
    <w:rPr>
      <w:i/>
      <w:sz w:val="28"/>
    </w:rPr>
  </w:style>
  <w:style w:type="paragraph" w:customStyle="1" w:styleId="ReleasableTo">
    <w:name w:val="ReleasableTo"/>
    <w:basedOn w:val="Normalny"/>
    <w:rsid w:val="00517205"/>
    <w:pPr>
      <w:spacing w:before="0" w:after="0" w:line="276" w:lineRule="auto"/>
      <w:ind w:left="5103"/>
      <w:jc w:val="left"/>
    </w:pPr>
    <w:rPr>
      <w:i/>
      <w:sz w:val="28"/>
    </w:rPr>
  </w:style>
  <w:style w:type="paragraph" w:customStyle="1" w:styleId="Annexetitreexpos">
    <w:name w:val="Annexe titre (exposé)"/>
    <w:basedOn w:val="Normalny"/>
    <w:next w:val="Normalny"/>
    <w:rsid w:val="00517205"/>
    <w:pPr>
      <w:jc w:val="center"/>
    </w:pPr>
    <w:rPr>
      <w:b/>
      <w:u w:val="single"/>
    </w:rPr>
  </w:style>
  <w:style w:type="paragraph" w:customStyle="1" w:styleId="Annexetitre">
    <w:name w:val="Annexe titre"/>
    <w:basedOn w:val="Normalny"/>
    <w:next w:val="Normalny"/>
    <w:rsid w:val="00517205"/>
    <w:pPr>
      <w:jc w:val="center"/>
    </w:pPr>
    <w:rPr>
      <w:b/>
      <w:u w:val="single"/>
    </w:rPr>
  </w:style>
  <w:style w:type="paragraph" w:customStyle="1" w:styleId="Annexetitrefichefinancire">
    <w:name w:val="Annexe titre (fiche financière)"/>
    <w:basedOn w:val="Normalny"/>
    <w:next w:val="Normalny"/>
    <w:rsid w:val="00517205"/>
    <w:pPr>
      <w:jc w:val="center"/>
    </w:pPr>
    <w:rPr>
      <w:b/>
      <w:u w:val="single"/>
    </w:rPr>
  </w:style>
  <w:style w:type="paragraph" w:customStyle="1" w:styleId="Applicationdirecte">
    <w:name w:val="Application directe"/>
    <w:basedOn w:val="Normalny"/>
    <w:next w:val="Fait"/>
    <w:rsid w:val="00517205"/>
    <w:pPr>
      <w:spacing w:before="480"/>
    </w:pPr>
  </w:style>
  <w:style w:type="paragraph" w:customStyle="1" w:styleId="Avertissementtitre">
    <w:name w:val="Avertissement titre"/>
    <w:basedOn w:val="Normalny"/>
    <w:next w:val="Normalny"/>
    <w:rsid w:val="00517205"/>
    <w:pPr>
      <w:keepNext/>
      <w:spacing w:before="480"/>
    </w:pPr>
    <w:rPr>
      <w:u w:val="single"/>
    </w:rPr>
  </w:style>
  <w:style w:type="paragraph" w:customStyle="1" w:styleId="Confidence">
    <w:name w:val="Confidence"/>
    <w:basedOn w:val="Normalny"/>
    <w:next w:val="Normalny"/>
    <w:rsid w:val="00517205"/>
    <w:pPr>
      <w:spacing w:before="360"/>
      <w:jc w:val="center"/>
    </w:pPr>
  </w:style>
  <w:style w:type="paragraph" w:customStyle="1" w:styleId="Confidentialit">
    <w:name w:val="Confidentialité"/>
    <w:basedOn w:val="Normalny"/>
    <w:next w:val="TypedudocumentPagedecouverture"/>
    <w:rsid w:val="00517205"/>
    <w:pPr>
      <w:spacing w:before="240" w:after="240"/>
      <w:ind w:left="5103"/>
      <w:jc w:val="left"/>
    </w:pPr>
    <w:rPr>
      <w:i/>
      <w:sz w:val="32"/>
    </w:rPr>
  </w:style>
  <w:style w:type="paragraph" w:customStyle="1" w:styleId="Considrant">
    <w:name w:val="Considérant"/>
    <w:basedOn w:val="Normalny"/>
    <w:rsid w:val="00517205"/>
    <w:pPr>
      <w:numPr>
        <w:numId w:val="138"/>
      </w:numPr>
    </w:pPr>
  </w:style>
  <w:style w:type="paragraph" w:customStyle="1" w:styleId="Corrigendum">
    <w:name w:val="Corrigendum"/>
    <w:basedOn w:val="Normalny"/>
    <w:next w:val="Normalny"/>
    <w:rsid w:val="00517205"/>
    <w:pPr>
      <w:spacing w:before="0" w:after="240"/>
      <w:jc w:val="left"/>
    </w:pPr>
  </w:style>
  <w:style w:type="paragraph" w:customStyle="1" w:styleId="Datedadoption">
    <w:name w:val="Date d'adoption"/>
    <w:basedOn w:val="Normalny"/>
    <w:next w:val="Titreobjet"/>
    <w:rsid w:val="00517205"/>
    <w:pPr>
      <w:spacing w:before="360" w:after="0"/>
      <w:jc w:val="center"/>
    </w:pPr>
    <w:rPr>
      <w:b/>
    </w:rPr>
  </w:style>
  <w:style w:type="paragraph" w:customStyle="1" w:styleId="Exposdesmotifstitre">
    <w:name w:val="Exposé des motifs titre"/>
    <w:basedOn w:val="Normalny"/>
    <w:next w:val="Normalny"/>
    <w:rsid w:val="00517205"/>
    <w:pPr>
      <w:jc w:val="center"/>
    </w:pPr>
    <w:rPr>
      <w:b/>
      <w:u w:val="single"/>
    </w:rPr>
  </w:style>
  <w:style w:type="paragraph" w:customStyle="1" w:styleId="Fait">
    <w:name w:val="Fait à"/>
    <w:basedOn w:val="Normalny"/>
    <w:next w:val="Institutionquisigne"/>
    <w:rsid w:val="00517205"/>
    <w:pPr>
      <w:keepNext/>
      <w:spacing w:after="0"/>
    </w:pPr>
  </w:style>
  <w:style w:type="paragraph" w:customStyle="1" w:styleId="Formuledadoption">
    <w:name w:val="Formule d'adoption"/>
    <w:basedOn w:val="Normalny"/>
    <w:next w:val="Titrearticle"/>
    <w:rsid w:val="00517205"/>
    <w:pPr>
      <w:keepNext/>
    </w:pPr>
  </w:style>
  <w:style w:type="paragraph" w:customStyle="1" w:styleId="Institutionquiagit">
    <w:name w:val="Institution qui agit"/>
    <w:basedOn w:val="Normalny"/>
    <w:next w:val="Normalny"/>
    <w:rsid w:val="00517205"/>
    <w:pPr>
      <w:keepNext/>
      <w:spacing w:before="600"/>
    </w:pPr>
  </w:style>
  <w:style w:type="paragraph" w:customStyle="1" w:styleId="Institutionquisigne">
    <w:name w:val="Institution qui signe"/>
    <w:basedOn w:val="Normalny"/>
    <w:next w:val="Personnequisigne"/>
    <w:rsid w:val="00517205"/>
    <w:pPr>
      <w:keepNext/>
      <w:tabs>
        <w:tab w:val="left" w:pos="4252"/>
      </w:tabs>
      <w:spacing w:before="720" w:after="0"/>
    </w:pPr>
    <w:rPr>
      <w:i/>
    </w:rPr>
  </w:style>
  <w:style w:type="paragraph" w:customStyle="1" w:styleId="ManualConsidrant">
    <w:name w:val="Manual Considérant"/>
    <w:basedOn w:val="Normalny"/>
    <w:rsid w:val="00517205"/>
    <w:pPr>
      <w:ind w:left="709" w:hanging="709"/>
    </w:pPr>
  </w:style>
  <w:style w:type="paragraph" w:customStyle="1" w:styleId="Personnequisigne">
    <w:name w:val="Personne qui signe"/>
    <w:basedOn w:val="Normalny"/>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ny"/>
    <w:next w:val="Statut"/>
    <w:rsid w:val="00517205"/>
    <w:pPr>
      <w:spacing w:before="0" w:after="0"/>
      <w:ind w:left="5103"/>
      <w:jc w:val="left"/>
    </w:pPr>
  </w:style>
  <w:style w:type="paragraph" w:customStyle="1" w:styleId="Rfrenceinterne">
    <w:name w:val="Référence interne"/>
    <w:basedOn w:val="Normalny"/>
    <w:next w:val="Rfrenceinterinstitutionnelle"/>
    <w:rsid w:val="00517205"/>
    <w:pPr>
      <w:spacing w:before="0" w:after="0"/>
      <w:ind w:left="5103"/>
      <w:jc w:val="left"/>
    </w:pPr>
  </w:style>
  <w:style w:type="paragraph" w:customStyle="1" w:styleId="Statut">
    <w:name w:val="Statut"/>
    <w:basedOn w:val="Normalny"/>
    <w:next w:val="Typedudocument"/>
    <w:rsid w:val="00517205"/>
    <w:pPr>
      <w:spacing w:before="360" w:after="0"/>
      <w:jc w:val="center"/>
    </w:pPr>
  </w:style>
  <w:style w:type="paragraph" w:customStyle="1" w:styleId="Titrearticle">
    <w:name w:val="Titre article"/>
    <w:basedOn w:val="Normalny"/>
    <w:next w:val="Normalny"/>
    <w:rsid w:val="00517205"/>
    <w:pPr>
      <w:keepNext/>
      <w:spacing w:before="360"/>
      <w:jc w:val="center"/>
    </w:pPr>
    <w:rPr>
      <w:i/>
    </w:rPr>
  </w:style>
  <w:style w:type="paragraph" w:customStyle="1" w:styleId="Titreobjet">
    <w:name w:val="Titre objet"/>
    <w:basedOn w:val="Normalny"/>
    <w:next w:val="IntrtEEE"/>
    <w:rsid w:val="00517205"/>
    <w:pPr>
      <w:spacing w:before="360" w:after="360"/>
      <w:jc w:val="center"/>
    </w:pPr>
    <w:rPr>
      <w:b/>
    </w:rPr>
  </w:style>
  <w:style w:type="paragraph" w:customStyle="1" w:styleId="Typedudocument">
    <w:name w:val="Type du document"/>
    <w:basedOn w:val="Normalny"/>
    <w:next w:val="Titreobjet"/>
    <w:rsid w:val="00517205"/>
    <w:pPr>
      <w:spacing w:before="360" w:after="0"/>
      <w:jc w:val="center"/>
    </w:pPr>
    <w:rPr>
      <w:b/>
    </w:rPr>
  </w:style>
  <w:style w:type="character" w:customStyle="1" w:styleId="Added">
    <w:name w:val="Added"/>
    <w:basedOn w:val="Domylnaczcionkaakapitu"/>
    <w:rsid w:val="00517205"/>
    <w:rPr>
      <w:b/>
      <w:u w:val="single"/>
      <w:shd w:val="clear" w:color="auto" w:fill="auto"/>
    </w:rPr>
  </w:style>
  <w:style w:type="character" w:customStyle="1" w:styleId="Deleted">
    <w:name w:val="Deleted"/>
    <w:basedOn w:val="Domylnaczcionkaakapitu"/>
    <w:rsid w:val="00517205"/>
    <w:rPr>
      <w:strike/>
      <w:dstrike w:val="0"/>
      <w:shd w:val="clear" w:color="auto" w:fill="auto"/>
    </w:rPr>
  </w:style>
  <w:style w:type="paragraph" w:customStyle="1" w:styleId="Address">
    <w:name w:val="Address"/>
    <w:basedOn w:val="Normalny"/>
    <w:next w:val="Normalny"/>
    <w:rsid w:val="00517205"/>
    <w:pPr>
      <w:keepLines/>
      <w:spacing w:line="360" w:lineRule="auto"/>
      <w:ind w:left="3402"/>
      <w:jc w:val="left"/>
    </w:pPr>
  </w:style>
  <w:style w:type="paragraph" w:customStyle="1" w:styleId="Objetexterne">
    <w:name w:val="Objet externe"/>
    <w:basedOn w:val="Normalny"/>
    <w:next w:val="Normalny"/>
    <w:rsid w:val="00517205"/>
    <w:rPr>
      <w:i/>
      <w:caps/>
    </w:rPr>
  </w:style>
  <w:style w:type="paragraph" w:customStyle="1" w:styleId="Supertitre">
    <w:name w:val="Supertitre"/>
    <w:basedOn w:val="Normalny"/>
    <w:next w:val="Normalny"/>
    <w:rsid w:val="00517205"/>
    <w:pPr>
      <w:spacing w:before="0" w:after="600"/>
      <w:jc w:val="center"/>
    </w:pPr>
    <w:rPr>
      <w:b/>
    </w:rPr>
  </w:style>
  <w:style w:type="paragraph" w:customStyle="1" w:styleId="Languesfaisantfoi">
    <w:name w:val="Langues faisant foi"/>
    <w:basedOn w:val="Normalny"/>
    <w:next w:val="Normalny"/>
    <w:rsid w:val="00517205"/>
    <w:pPr>
      <w:spacing w:before="360" w:after="0"/>
      <w:jc w:val="center"/>
    </w:pPr>
  </w:style>
  <w:style w:type="paragraph" w:customStyle="1" w:styleId="Rfrencecroise">
    <w:name w:val="Référence croisée"/>
    <w:basedOn w:val="Normalny"/>
    <w:rsid w:val="00517205"/>
    <w:pPr>
      <w:spacing w:before="0" w:after="0"/>
      <w:jc w:val="center"/>
    </w:pPr>
  </w:style>
  <w:style w:type="paragraph" w:customStyle="1" w:styleId="Fichefinanciretitre">
    <w:name w:val="Fiche financière titre"/>
    <w:basedOn w:val="Normalny"/>
    <w:next w:val="Normalny"/>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ny"/>
    <w:next w:val="Confidentialit"/>
    <w:rsid w:val="00517205"/>
    <w:pPr>
      <w:spacing w:before="0" w:after="240"/>
      <w:ind w:left="5103"/>
      <w:jc w:val="left"/>
    </w:pPr>
  </w:style>
  <w:style w:type="paragraph" w:customStyle="1" w:styleId="IntrtEEE">
    <w:name w:val="Intérêt EEE"/>
    <w:basedOn w:val="Languesfaisantfoi"/>
    <w:next w:val="Normalny"/>
    <w:rsid w:val="00517205"/>
    <w:pPr>
      <w:spacing w:after="240"/>
    </w:pPr>
  </w:style>
  <w:style w:type="paragraph" w:customStyle="1" w:styleId="Accompagnant">
    <w:name w:val="Accompagnant"/>
    <w:basedOn w:val="Normalny"/>
    <w:next w:val="Typeacteprincipal"/>
    <w:rsid w:val="00517205"/>
    <w:pPr>
      <w:spacing w:before="0" w:after="240"/>
      <w:jc w:val="center"/>
    </w:pPr>
    <w:rPr>
      <w:b/>
      <w:i/>
    </w:rPr>
  </w:style>
  <w:style w:type="paragraph" w:customStyle="1" w:styleId="Typeacteprincipal">
    <w:name w:val="Type acte principal"/>
    <w:basedOn w:val="Normalny"/>
    <w:next w:val="Objetacteprincipal"/>
    <w:rsid w:val="00517205"/>
    <w:pPr>
      <w:spacing w:before="0" w:after="240"/>
      <w:jc w:val="center"/>
    </w:pPr>
    <w:rPr>
      <w:b/>
    </w:rPr>
  </w:style>
  <w:style w:type="paragraph" w:customStyle="1" w:styleId="Objetacteprincipal">
    <w:name w:val="Objet acte principal"/>
    <w:basedOn w:val="Normalny"/>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ny"/>
    <w:next w:val="Normalny"/>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542">
      <w:bodyDiv w:val="1"/>
      <w:marLeft w:val="0"/>
      <w:marRight w:val="0"/>
      <w:marTop w:val="0"/>
      <w:marBottom w:val="0"/>
      <w:divBdr>
        <w:top w:val="none" w:sz="0" w:space="0" w:color="auto"/>
        <w:left w:val="none" w:sz="0" w:space="0" w:color="auto"/>
        <w:bottom w:val="none" w:sz="0" w:space="0" w:color="auto"/>
        <w:right w:val="none" w:sz="0" w:space="0" w:color="auto"/>
      </w:divBdr>
    </w:div>
    <w:div w:id="86732968">
      <w:bodyDiv w:val="1"/>
      <w:marLeft w:val="0"/>
      <w:marRight w:val="0"/>
      <w:marTop w:val="0"/>
      <w:marBottom w:val="0"/>
      <w:divBdr>
        <w:top w:val="none" w:sz="0" w:space="0" w:color="auto"/>
        <w:left w:val="none" w:sz="0" w:space="0" w:color="auto"/>
        <w:bottom w:val="none" w:sz="0" w:space="0" w:color="auto"/>
        <w:right w:val="none" w:sz="0" w:space="0" w:color="auto"/>
      </w:divBdr>
    </w:div>
    <w:div w:id="112335489">
      <w:bodyDiv w:val="1"/>
      <w:marLeft w:val="0"/>
      <w:marRight w:val="0"/>
      <w:marTop w:val="0"/>
      <w:marBottom w:val="0"/>
      <w:divBdr>
        <w:top w:val="none" w:sz="0" w:space="0" w:color="auto"/>
        <w:left w:val="none" w:sz="0" w:space="0" w:color="auto"/>
        <w:bottom w:val="none" w:sz="0" w:space="0" w:color="auto"/>
        <w:right w:val="none" w:sz="0" w:space="0" w:color="auto"/>
      </w:divBdr>
    </w:div>
    <w:div w:id="113525138">
      <w:bodyDiv w:val="1"/>
      <w:marLeft w:val="0"/>
      <w:marRight w:val="0"/>
      <w:marTop w:val="0"/>
      <w:marBottom w:val="0"/>
      <w:divBdr>
        <w:top w:val="none" w:sz="0" w:space="0" w:color="auto"/>
        <w:left w:val="none" w:sz="0" w:space="0" w:color="auto"/>
        <w:bottom w:val="none" w:sz="0" w:space="0" w:color="auto"/>
        <w:right w:val="none" w:sz="0" w:space="0" w:color="auto"/>
      </w:divBdr>
    </w:div>
    <w:div w:id="180515855">
      <w:bodyDiv w:val="1"/>
      <w:marLeft w:val="0"/>
      <w:marRight w:val="0"/>
      <w:marTop w:val="0"/>
      <w:marBottom w:val="0"/>
      <w:divBdr>
        <w:top w:val="none" w:sz="0" w:space="0" w:color="auto"/>
        <w:left w:val="none" w:sz="0" w:space="0" w:color="auto"/>
        <w:bottom w:val="none" w:sz="0" w:space="0" w:color="auto"/>
        <w:right w:val="none" w:sz="0" w:space="0" w:color="auto"/>
      </w:divBdr>
    </w:div>
    <w:div w:id="239289580">
      <w:bodyDiv w:val="1"/>
      <w:marLeft w:val="0"/>
      <w:marRight w:val="0"/>
      <w:marTop w:val="0"/>
      <w:marBottom w:val="0"/>
      <w:divBdr>
        <w:top w:val="none" w:sz="0" w:space="0" w:color="auto"/>
        <w:left w:val="none" w:sz="0" w:space="0" w:color="auto"/>
        <w:bottom w:val="none" w:sz="0" w:space="0" w:color="auto"/>
        <w:right w:val="none" w:sz="0" w:space="0" w:color="auto"/>
      </w:divBdr>
    </w:div>
    <w:div w:id="245043156">
      <w:bodyDiv w:val="1"/>
      <w:marLeft w:val="0"/>
      <w:marRight w:val="0"/>
      <w:marTop w:val="0"/>
      <w:marBottom w:val="0"/>
      <w:divBdr>
        <w:top w:val="none" w:sz="0" w:space="0" w:color="auto"/>
        <w:left w:val="none" w:sz="0" w:space="0" w:color="auto"/>
        <w:bottom w:val="none" w:sz="0" w:space="0" w:color="auto"/>
        <w:right w:val="none" w:sz="0" w:space="0" w:color="auto"/>
      </w:divBdr>
    </w:div>
    <w:div w:id="249125010">
      <w:bodyDiv w:val="1"/>
      <w:marLeft w:val="0"/>
      <w:marRight w:val="0"/>
      <w:marTop w:val="0"/>
      <w:marBottom w:val="0"/>
      <w:divBdr>
        <w:top w:val="none" w:sz="0" w:space="0" w:color="auto"/>
        <w:left w:val="none" w:sz="0" w:space="0" w:color="auto"/>
        <w:bottom w:val="none" w:sz="0" w:space="0" w:color="auto"/>
        <w:right w:val="none" w:sz="0" w:space="0" w:color="auto"/>
      </w:divBdr>
    </w:div>
    <w:div w:id="370031238">
      <w:bodyDiv w:val="1"/>
      <w:marLeft w:val="0"/>
      <w:marRight w:val="0"/>
      <w:marTop w:val="0"/>
      <w:marBottom w:val="0"/>
      <w:divBdr>
        <w:top w:val="none" w:sz="0" w:space="0" w:color="auto"/>
        <w:left w:val="none" w:sz="0" w:space="0" w:color="auto"/>
        <w:bottom w:val="none" w:sz="0" w:space="0" w:color="auto"/>
        <w:right w:val="none" w:sz="0" w:space="0" w:color="auto"/>
      </w:divBdr>
    </w:div>
    <w:div w:id="442725654">
      <w:bodyDiv w:val="1"/>
      <w:marLeft w:val="0"/>
      <w:marRight w:val="0"/>
      <w:marTop w:val="0"/>
      <w:marBottom w:val="0"/>
      <w:divBdr>
        <w:top w:val="none" w:sz="0" w:space="0" w:color="auto"/>
        <w:left w:val="none" w:sz="0" w:space="0" w:color="auto"/>
        <w:bottom w:val="none" w:sz="0" w:space="0" w:color="auto"/>
        <w:right w:val="none" w:sz="0" w:space="0" w:color="auto"/>
      </w:divBdr>
    </w:div>
    <w:div w:id="443622979">
      <w:bodyDiv w:val="1"/>
      <w:marLeft w:val="0"/>
      <w:marRight w:val="0"/>
      <w:marTop w:val="0"/>
      <w:marBottom w:val="0"/>
      <w:divBdr>
        <w:top w:val="none" w:sz="0" w:space="0" w:color="auto"/>
        <w:left w:val="none" w:sz="0" w:space="0" w:color="auto"/>
        <w:bottom w:val="none" w:sz="0" w:space="0" w:color="auto"/>
        <w:right w:val="none" w:sz="0" w:space="0" w:color="auto"/>
      </w:divBdr>
    </w:div>
    <w:div w:id="726881995">
      <w:bodyDiv w:val="1"/>
      <w:marLeft w:val="0"/>
      <w:marRight w:val="0"/>
      <w:marTop w:val="0"/>
      <w:marBottom w:val="0"/>
      <w:divBdr>
        <w:top w:val="none" w:sz="0" w:space="0" w:color="auto"/>
        <w:left w:val="none" w:sz="0" w:space="0" w:color="auto"/>
        <w:bottom w:val="none" w:sz="0" w:space="0" w:color="auto"/>
        <w:right w:val="none" w:sz="0" w:space="0" w:color="auto"/>
      </w:divBdr>
    </w:div>
    <w:div w:id="795176513">
      <w:bodyDiv w:val="1"/>
      <w:marLeft w:val="0"/>
      <w:marRight w:val="0"/>
      <w:marTop w:val="0"/>
      <w:marBottom w:val="0"/>
      <w:divBdr>
        <w:top w:val="none" w:sz="0" w:space="0" w:color="auto"/>
        <w:left w:val="none" w:sz="0" w:space="0" w:color="auto"/>
        <w:bottom w:val="none" w:sz="0" w:space="0" w:color="auto"/>
        <w:right w:val="none" w:sz="0" w:space="0" w:color="auto"/>
      </w:divBdr>
    </w:div>
    <w:div w:id="809640023">
      <w:bodyDiv w:val="1"/>
      <w:marLeft w:val="0"/>
      <w:marRight w:val="0"/>
      <w:marTop w:val="0"/>
      <w:marBottom w:val="0"/>
      <w:divBdr>
        <w:top w:val="none" w:sz="0" w:space="0" w:color="auto"/>
        <w:left w:val="none" w:sz="0" w:space="0" w:color="auto"/>
        <w:bottom w:val="none" w:sz="0" w:space="0" w:color="auto"/>
        <w:right w:val="none" w:sz="0" w:space="0" w:color="auto"/>
      </w:divBdr>
    </w:div>
    <w:div w:id="846822145">
      <w:bodyDiv w:val="1"/>
      <w:marLeft w:val="0"/>
      <w:marRight w:val="0"/>
      <w:marTop w:val="0"/>
      <w:marBottom w:val="0"/>
      <w:divBdr>
        <w:top w:val="none" w:sz="0" w:space="0" w:color="auto"/>
        <w:left w:val="none" w:sz="0" w:space="0" w:color="auto"/>
        <w:bottom w:val="none" w:sz="0" w:space="0" w:color="auto"/>
        <w:right w:val="none" w:sz="0" w:space="0" w:color="auto"/>
      </w:divBdr>
    </w:div>
    <w:div w:id="1285968836">
      <w:bodyDiv w:val="1"/>
      <w:marLeft w:val="0"/>
      <w:marRight w:val="0"/>
      <w:marTop w:val="0"/>
      <w:marBottom w:val="0"/>
      <w:divBdr>
        <w:top w:val="none" w:sz="0" w:space="0" w:color="auto"/>
        <w:left w:val="none" w:sz="0" w:space="0" w:color="auto"/>
        <w:bottom w:val="none" w:sz="0" w:space="0" w:color="auto"/>
        <w:right w:val="none" w:sz="0" w:space="0" w:color="auto"/>
      </w:divBdr>
    </w:div>
    <w:div w:id="1288119768">
      <w:bodyDiv w:val="1"/>
      <w:marLeft w:val="0"/>
      <w:marRight w:val="0"/>
      <w:marTop w:val="0"/>
      <w:marBottom w:val="0"/>
      <w:divBdr>
        <w:top w:val="none" w:sz="0" w:space="0" w:color="auto"/>
        <w:left w:val="none" w:sz="0" w:space="0" w:color="auto"/>
        <w:bottom w:val="none" w:sz="0" w:space="0" w:color="auto"/>
        <w:right w:val="none" w:sz="0" w:space="0" w:color="auto"/>
      </w:divBdr>
    </w:div>
    <w:div w:id="1342585364">
      <w:bodyDiv w:val="1"/>
      <w:marLeft w:val="0"/>
      <w:marRight w:val="0"/>
      <w:marTop w:val="0"/>
      <w:marBottom w:val="0"/>
      <w:divBdr>
        <w:top w:val="none" w:sz="0" w:space="0" w:color="auto"/>
        <w:left w:val="none" w:sz="0" w:space="0" w:color="auto"/>
        <w:bottom w:val="none" w:sz="0" w:space="0" w:color="auto"/>
        <w:right w:val="none" w:sz="0" w:space="0" w:color="auto"/>
      </w:divBdr>
    </w:div>
    <w:div w:id="1473669064">
      <w:bodyDiv w:val="1"/>
      <w:marLeft w:val="0"/>
      <w:marRight w:val="0"/>
      <w:marTop w:val="0"/>
      <w:marBottom w:val="0"/>
      <w:divBdr>
        <w:top w:val="none" w:sz="0" w:space="0" w:color="auto"/>
        <w:left w:val="none" w:sz="0" w:space="0" w:color="auto"/>
        <w:bottom w:val="none" w:sz="0" w:space="0" w:color="auto"/>
        <w:right w:val="none" w:sz="0" w:space="0" w:color="auto"/>
      </w:divBdr>
    </w:div>
    <w:div w:id="1484352223">
      <w:bodyDiv w:val="1"/>
      <w:marLeft w:val="0"/>
      <w:marRight w:val="0"/>
      <w:marTop w:val="0"/>
      <w:marBottom w:val="0"/>
      <w:divBdr>
        <w:top w:val="none" w:sz="0" w:space="0" w:color="auto"/>
        <w:left w:val="none" w:sz="0" w:space="0" w:color="auto"/>
        <w:bottom w:val="none" w:sz="0" w:space="0" w:color="auto"/>
        <w:right w:val="none" w:sz="0" w:space="0" w:color="auto"/>
      </w:divBdr>
    </w:div>
    <w:div w:id="1486898292">
      <w:bodyDiv w:val="1"/>
      <w:marLeft w:val="0"/>
      <w:marRight w:val="0"/>
      <w:marTop w:val="0"/>
      <w:marBottom w:val="0"/>
      <w:divBdr>
        <w:top w:val="none" w:sz="0" w:space="0" w:color="auto"/>
        <w:left w:val="none" w:sz="0" w:space="0" w:color="auto"/>
        <w:bottom w:val="none" w:sz="0" w:space="0" w:color="auto"/>
        <w:right w:val="none" w:sz="0" w:space="0" w:color="auto"/>
      </w:divBdr>
    </w:div>
    <w:div w:id="1490366102">
      <w:bodyDiv w:val="1"/>
      <w:marLeft w:val="0"/>
      <w:marRight w:val="0"/>
      <w:marTop w:val="0"/>
      <w:marBottom w:val="0"/>
      <w:divBdr>
        <w:top w:val="none" w:sz="0" w:space="0" w:color="auto"/>
        <w:left w:val="none" w:sz="0" w:space="0" w:color="auto"/>
        <w:bottom w:val="none" w:sz="0" w:space="0" w:color="auto"/>
        <w:right w:val="none" w:sz="0" w:space="0" w:color="auto"/>
      </w:divBdr>
    </w:div>
    <w:div w:id="1561285630">
      <w:bodyDiv w:val="1"/>
      <w:marLeft w:val="0"/>
      <w:marRight w:val="0"/>
      <w:marTop w:val="0"/>
      <w:marBottom w:val="0"/>
      <w:divBdr>
        <w:top w:val="none" w:sz="0" w:space="0" w:color="auto"/>
        <w:left w:val="none" w:sz="0" w:space="0" w:color="auto"/>
        <w:bottom w:val="none" w:sz="0" w:space="0" w:color="auto"/>
        <w:right w:val="none" w:sz="0" w:space="0" w:color="auto"/>
      </w:divBdr>
    </w:div>
    <w:div w:id="1590112384">
      <w:bodyDiv w:val="1"/>
      <w:marLeft w:val="0"/>
      <w:marRight w:val="0"/>
      <w:marTop w:val="0"/>
      <w:marBottom w:val="0"/>
      <w:divBdr>
        <w:top w:val="none" w:sz="0" w:space="0" w:color="auto"/>
        <w:left w:val="none" w:sz="0" w:space="0" w:color="auto"/>
        <w:bottom w:val="none" w:sz="0" w:space="0" w:color="auto"/>
        <w:right w:val="none" w:sz="0" w:space="0" w:color="auto"/>
      </w:divBdr>
    </w:div>
    <w:div w:id="1634754380">
      <w:bodyDiv w:val="1"/>
      <w:marLeft w:val="0"/>
      <w:marRight w:val="0"/>
      <w:marTop w:val="0"/>
      <w:marBottom w:val="0"/>
      <w:divBdr>
        <w:top w:val="none" w:sz="0" w:space="0" w:color="auto"/>
        <w:left w:val="none" w:sz="0" w:space="0" w:color="auto"/>
        <w:bottom w:val="none" w:sz="0" w:space="0" w:color="auto"/>
        <w:right w:val="none" w:sz="0" w:space="0" w:color="auto"/>
      </w:divBdr>
    </w:div>
    <w:div w:id="1635671916">
      <w:bodyDiv w:val="1"/>
      <w:marLeft w:val="0"/>
      <w:marRight w:val="0"/>
      <w:marTop w:val="0"/>
      <w:marBottom w:val="0"/>
      <w:divBdr>
        <w:top w:val="none" w:sz="0" w:space="0" w:color="auto"/>
        <w:left w:val="none" w:sz="0" w:space="0" w:color="auto"/>
        <w:bottom w:val="none" w:sz="0" w:space="0" w:color="auto"/>
        <w:right w:val="none" w:sz="0" w:space="0" w:color="auto"/>
      </w:divBdr>
    </w:div>
    <w:div w:id="1726878906">
      <w:bodyDiv w:val="1"/>
      <w:marLeft w:val="0"/>
      <w:marRight w:val="0"/>
      <w:marTop w:val="0"/>
      <w:marBottom w:val="0"/>
      <w:divBdr>
        <w:top w:val="none" w:sz="0" w:space="0" w:color="auto"/>
        <w:left w:val="none" w:sz="0" w:space="0" w:color="auto"/>
        <w:bottom w:val="none" w:sz="0" w:space="0" w:color="auto"/>
        <w:right w:val="none" w:sz="0" w:space="0" w:color="auto"/>
      </w:divBdr>
    </w:div>
    <w:div w:id="1767338364">
      <w:bodyDiv w:val="1"/>
      <w:marLeft w:val="0"/>
      <w:marRight w:val="0"/>
      <w:marTop w:val="0"/>
      <w:marBottom w:val="0"/>
      <w:divBdr>
        <w:top w:val="none" w:sz="0" w:space="0" w:color="auto"/>
        <w:left w:val="none" w:sz="0" w:space="0" w:color="auto"/>
        <w:bottom w:val="none" w:sz="0" w:space="0" w:color="auto"/>
        <w:right w:val="none" w:sz="0" w:space="0" w:color="auto"/>
      </w:divBdr>
    </w:div>
    <w:div w:id="1771849732">
      <w:bodyDiv w:val="1"/>
      <w:marLeft w:val="0"/>
      <w:marRight w:val="0"/>
      <w:marTop w:val="0"/>
      <w:marBottom w:val="0"/>
      <w:divBdr>
        <w:top w:val="none" w:sz="0" w:space="0" w:color="auto"/>
        <w:left w:val="none" w:sz="0" w:space="0" w:color="auto"/>
        <w:bottom w:val="none" w:sz="0" w:space="0" w:color="auto"/>
        <w:right w:val="none" w:sz="0" w:space="0" w:color="auto"/>
      </w:divBdr>
    </w:div>
    <w:div w:id="1774738192">
      <w:bodyDiv w:val="1"/>
      <w:marLeft w:val="0"/>
      <w:marRight w:val="0"/>
      <w:marTop w:val="0"/>
      <w:marBottom w:val="0"/>
      <w:divBdr>
        <w:top w:val="none" w:sz="0" w:space="0" w:color="auto"/>
        <w:left w:val="none" w:sz="0" w:space="0" w:color="auto"/>
        <w:bottom w:val="none" w:sz="0" w:space="0" w:color="auto"/>
        <w:right w:val="none" w:sz="0" w:space="0" w:color="auto"/>
      </w:divBdr>
    </w:div>
    <w:div w:id="1799837076">
      <w:bodyDiv w:val="1"/>
      <w:marLeft w:val="0"/>
      <w:marRight w:val="0"/>
      <w:marTop w:val="0"/>
      <w:marBottom w:val="0"/>
      <w:divBdr>
        <w:top w:val="none" w:sz="0" w:space="0" w:color="auto"/>
        <w:left w:val="none" w:sz="0" w:space="0" w:color="auto"/>
        <w:bottom w:val="none" w:sz="0" w:space="0" w:color="auto"/>
        <w:right w:val="none" w:sz="0" w:space="0" w:color="auto"/>
      </w:divBdr>
    </w:div>
    <w:div w:id="1854877440">
      <w:bodyDiv w:val="1"/>
      <w:marLeft w:val="0"/>
      <w:marRight w:val="0"/>
      <w:marTop w:val="0"/>
      <w:marBottom w:val="0"/>
      <w:divBdr>
        <w:top w:val="none" w:sz="0" w:space="0" w:color="auto"/>
        <w:left w:val="none" w:sz="0" w:space="0" w:color="auto"/>
        <w:bottom w:val="none" w:sz="0" w:space="0" w:color="auto"/>
        <w:right w:val="none" w:sz="0" w:space="0" w:color="auto"/>
      </w:divBdr>
    </w:div>
    <w:div w:id="1953635639">
      <w:bodyDiv w:val="1"/>
      <w:marLeft w:val="0"/>
      <w:marRight w:val="0"/>
      <w:marTop w:val="0"/>
      <w:marBottom w:val="0"/>
      <w:divBdr>
        <w:top w:val="none" w:sz="0" w:space="0" w:color="auto"/>
        <w:left w:val="none" w:sz="0" w:space="0" w:color="auto"/>
        <w:bottom w:val="none" w:sz="0" w:space="0" w:color="auto"/>
        <w:right w:val="none" w:sz="0" w:space="0" w:color="auto"/>
      </w:divBdr>
    </w:div>
    <w:div w:id="2016877378">
      <w:bodyDiv w:val="1"/>
      <w:marLeft w:val="0"/>
      <w:marRight w:val="0"/>
      <w:marTop w:val="0"/>
      <w:marBottom w:val="0"/>
      <w:divBdr>
        <w:top w:val="none" w:sz="0" w:space="0" w:color="auto"/>
        <w:left w:val="none" w:sz="0" w:space="0" w:color="auto"/>
        <w:bottom w:val="none" w:sz="0" w:space="0" w:color="auto"/>
        <w:right w:val="none" w:sz="0" w:space="0" w:color="auto"/>
      </w:divBdr>
    </w:div>
    <w:div w:id="21405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ur-lex.europa.eu/legal-content/PL/TXT/HTML/?uri=CELEX:32011R0305&amp;from=PL"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eur-lex.europa.eu/legal-content/PL/TXT/HTML/?uri=CELEX:32011R0305&amp;from=PL"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s://myintracomm.ec.europa.eu/budgweb/EN/pre/legalbasis/Pages/pre-040-020_preparatio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yintracomm.ec.europa.eu/budgweb/EN/leg/internal/Documents/2016-5-legislative-financial-statement-ann-en.docx" TargetMode="Externa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levels_en" TargetMode="External"/><Relationship Id="rId2" Type="http://schemas.openxmlformats.org/officeDocument/2006/relationships/hyperlink" Target="https://op.europa.eu/en/publication-detail/-/publication/cacf9ee6-06ba-11eb-a511-01aa75ed71a1/language-en" TargetMode="External"/><Relationship Id="rId1" Type="http://schemas.openxmlformats.org/officeDocument/2006/relationships/hyperlink" Target="https://www.consilium.europa.eu/media/41508/st14523-en19.pdf"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22CC-15D6-41D5-9A85-79BB4B46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1</Pages>
  <Words>52361</Words>
  <Characters>314168</Characters>
  <Application>Microsoft Office Word</Application>
  <DocSecurity>0</DocSecurity>
  <Lines>2618</Lines>
  <Paragraphs>731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Kusowska</dc:creator>
  <cp:keywords/>
  <dc:description/>
  <cp:lastModifiedBy>Monika Kusowska</cp:lastModifiedBy>
  <cp:revision>3</cp:revision>
  <dcterms:created xsi:type="dcterms:W3CDTF">2022-05-19T13:54:00Z</dcterms:created>
  <dcterms:modified xsi:type="dcterms:W3CDTF">2022-05-19T13:54:00Z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8.0, Build 20220128</vt:lpwstr>
  </property>
  <property fmtid="{D5CDD505-2E9C-101B-9397-08002B2CF9AE}" pid="5" name="Created using">
    <vt:lpwstr>LW 7.0.1, Build 20200226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_DocHome">
    <vt:i4>-3040818</vt:i4>
  </property>
  <property fmtid="{D5CDD505-2E9C-101B-9397-08002B2CF9AE}" pid="11" name="MSIP_Label_6bd9ddd1-4d20-43f6-abfa-fc3c07406f94_Enabled">
    <vt:lpwstr>true</vt:lpwstr>
  </property>
  <property fmtid="{D5CDD505-2E9C-101B-9397-08002B2CF9AE}" pid="12" name="MSIP_Label_6bd9ddd1-4d20-43f6-abfa-fc3c07406f94_SetDate">
    <vt:lpwstr>2022-03-22T05:50:08Z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becb50b7-c044-44a6-b7fa-5e7b912b747d</vt:lpwstr>
  </property>
  <property fmtid="{D5CDD505-2E9C-101B-9397-08002B2CF9AE}" pid="17" name="MSIP_Label_6bd9ddd1-4d20-43f6-abfa-fc3c07406f94_ContentBits">
    <vt:lpwstr>0</vt:lpwstr>
  </property>
  <property fmtid="{D5CDD505-2E9C-101B-9397-08002B2CF9AE}" pid="18" name="DQCStatus">
    <vt:lpwstr>Green (DQC version 03)</vt:lpwstr>
  </property>
</Properties>
</file>