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B4F" w:rsidRPr="00C8347E" w:rsidRDefault="00FB33F1" w:rsidP="00FB33F1">
      <w:pPr>
        <w:pStyle w:val="Nagwek"/>
        <w:tabs>
          <w:tab w:val="clear" w:pos="4536"/>
          <w:tab w:val="clear" w:pos="9072"/>
          <w:tab w:val="left" w:pos="2552"/>
          <w:tab w:val="left" w:pos="6521"/>
        </w:tabs>
        <w:spacing w:before="120"/>
        <w:rPr>
          <w:sz w:val="24"/>
          <w:szCs w:val="24"/>
        </w:rPr>
        <w:sectPr w:rsidR="00497B4F" w:rsidRPr="00C834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1134" w:bottom="1418" w:left="1702" w:header="709" w:footer="737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Warszawa, dn. </w:t>
      </w:r>
      <w:r w:rsidR="00584A4D">
        <w:rPr>
          <w:sz w:val="24"/>
          <w:szCs w:val="24"/>
        </w:rPr>
        <w:t>….</w:t>
      </w:r>
      <w:r w:rsidR="00685E41">
        <w:rPr>
          <w:sz w:val="24"/>
          <w:szCs w:val="24"/>
        </w:rPr>
        <w:t>.0</w:t>
      </w:r>
      <w:r w:rsidR="0070531E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685E41">
        <w:rPr>
          <w:sz w:val="24"/>
          <w:szCs w:val="24"/>
        </w:rPr>
        <w:t>15</w:t>
      </w:r>
      <w:r w:rsidR="008D4CB6" w:rsidRPr="00C8347E">
        <w:rPr>
          <w:sz w:val="24"/>
          <w:szCs w:val="24"/>
        </w:rPr>
        <w:t xml:space="preserve"> r.</w:t>
      </w:r>
      <w:r>
        <w:rPr>
          <w:sz w:val="24"/>
          <w:szCs w:val="24"/>
        </w:rPr>
        <w:tab/>
      </w:r>
    </w:p>
    <w:p w:rsidR="00FB33F1" w:rsidRDefault="0070531E" w:rsidP="0070531E">
      <w:pPr>
        <w:pStyle w:val="Nagwek2"/>
        <w:spacing w:before="120" w:after="120"/>
        <w:ind w:left="578" w:hanging="578"/>
      </w:pPr>
      <w:r>
        <w:lastRenderedPageBreak/>
        <w:t>(PROJEKT)</w:t>
      </w:r>
    </w:p>
    <w:p w:rsidR="00551E19" w:rsidRDefault="00551E19" w:rsidP="00FB33F1">
      <w:pPr>
        <w:pStyle w:val="Nagwek2"/>
      </w:pPr>
      <w:r>
        <w:t>Stanowisko Zarządu KIGEiT</w:t>
      </w:r>
    </w:p>
    <w:p w:rsidR="001F08B2" w:rsidRPr="00C8347E" w:rsidRDefault="00551E19" w:rsidP="00FB33F1">
      <w:pPr>
        <w:pStyle w:val="Nagwek2"/>
      </w:pPr>
      <w:r>
        <w:t xml:space="preserve">w sprawie Projektu Wzorcowej Specyfikacji Technicznej </w:t>
      </w:r>
      <w:r w:rsidR="00B7270C">
        <w:t>AMI</w:t>
      </w:r>
    </w:p>
    <w:p w:rsidR="00FB33F1" w:rsidRDefault="00FB33F1" w:rsidP="00FB33F1">
      <w:pPr>
        <w:pStyle w:val="Tekstpodstawowy"/>
        <w:spacing w:before="120"/>
        <w:rPr>
          <w:sz w:val="22"/>
          <w:szCs w:val="22"/>
        </w:rPr>
      </w:pPr>
    </w:p>
    <w:p w:rsidR="00B7270C" w:rsidRDefault="008D4CB6" w:rsidP="00FB33F1">
      <w:pPr>
        <w:pStyle w:val="epchapo"/>
        <w:suppressAutoHyphens w:val="0"/>
        <w:spacing w:before="120" w:after="0"/>
        <w:ind w:firstLine="426"/>
        <w:jc w:val="both"/>
        <w:rPr>
          <w:sz w:val="22"/>
          <w:szCs w:val="22"/>
        </w:rPr>
      </w:pPr>
      <w:r w:rsidRPr="00C8347E">
        <w:rPr>
          <w:sz w:val="22"/>
          <w:szCs w:val="22"/>
        </w:rPr>
        <w:t>Krajowa Izba Gospodarcza Elektroniki i Telekomunikacji (KIGEiT)</w:t>
      </w:r>
      <w:r w:rsidR="00EF542A">
        <w:rPr>
          <w:sz w:val="22"/>
          <w:szCs w:val="22"/>
        </w:rPr>
        <w:t>, jako członek Warsztatów Rynku Energetycznego</w:t>
      </w:r>
      <w:r w:rsidR="00970373">
        <w:rPr>
          <w:sz w:val="22"/>
          <w:szCs w:val="22"/>
        </w:rPr>
        <w:t xml:space="preserve"> (WRE)</w:t>
      </w:r>
      <w:r w:rsidR="00EF542A">
        <w:rPr>
          <w:sz w:val="22"/>
          <w:szCs w:val="22"/>
        </w:rPr>
        <w:t>,</w:t>
      </w:r>
      <w:r w:rsidRPr="00C8347E">
        <w:rPr>
          <w:sz w:val="22"/>
          <w:szCs w:val="22"/>
        </w:rPr>
        <w:t xml:space="preserve"> </w:t>
      </w:r>
      <w:r w:rsidR="00EF542A">
        <w:rPr>
          <w:sz w:val="22"/>
          <w:szCs w:val="22"/>
        </w:rPr>
        <w:t>była jednym z inicjatorów i promotorów opracowani</w:t>
      </w:r>
      <w:r w:rsidR="00906011">
        <w:rPr>
          <w:sz w:val="22"/>
          <w:szCs w:val="22"/>
        </w:rPr>
        <w:t>a</w:t>
      </w:r>
      <w:r w:rsidR="00EF542A">
        <w:rPr>
          <w:sz w:val="22"/>
          <w:szCs w:val="22"/>
        </w:rPr>
        <w:t xml:space="preserve"> </w:t>
      </w:r>
      <w:r w:rsidR="00D5019B">
        <w:rPr>
          <w:sz w:val="22"/>
          <w:szCs w:val="22"/>
        </w:rPr>
        <w:t xml:space="preserve">Projektu </w:t>
      </w:r>
      <w:r w:rsidR="00EF542A">
        <w:rPr>
          <w:sz w:val="22"/>
          <w:szCs w:val="22"/>
        </w:rPr>
        <w:t>Wzo</w:t>
      </w:r>
      <w:r w:rsidR="00EF542A">
        <w:rPr>
          <w:sz w:val="22"/>
          <w:szCs w:val="22"/>
        </w:rPr>
        <w:t>r</w:t>
      </w:r>
      <w:r w:rsidR="00EF542A">
        <w:rPr>
          <w:sz w:val="22"/>
          <w:szCs w:val="22"/>
        </w:rPr>
        <w:t>cowej Specyfikacji Technicznej dla systemów AMI</w:t>
      </w:r>
      <w:r w:rsidR="00906011">
        <w:rPr>
          <w:sz w:val="22"/>
          <w:szCs w:val="22"/>
        </w:rPr>
        <w:t xml:space="preserve"> (WST AMI)</w:t>
      </w:r>
      <w:r w:rsidR="00B7270C">
        <w:rPr>
          <w:sz w:val="22"/>
          <w:szCs w:val="22"/>
        </w:rPr>
        <w:t xml:space="preserve">. W mandacie udzielonym zespołowi roboczemu oczekiwaliśmy, że specyfikacja będzie spełniać </w:t>
      </w:r>
      <w:r w:rsidR="00887990">
        <w:rPr>
          <w:sz w:val="22"/>
          <w:szCs w:val="22"/>
        </w:rPr>
        <w:t>poniższe założenia bazowe.</w:t>
      </w:r>
    </w:p>
    <w:p w:rsidR="0074593C" w:rsidRDefault="00D5019B" w:rsidP="00B7270C">
      <w:pPr>
        <w:pStyle w:val="epchapo"/>
        <w:numPr>
          <w:ilvl w:val="0"/>
          <w:numId w:val="12"/>
        </w:numPr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będzie zapewniał rozwój sieci </w:t>
      </w:r>
      <w:r w:rsidR="0074593C">
        <w:rPr>
          <w:sz w:val="22"/>
          <w:szCs w:val="22"/>
        </w:rPr>
        <w:t>SG w oparciu o architekturę sieci otwartej, opartej na otwartych standardach oraz zgodnie z dorobkiem standaryzacyjnym UE</w:t>
      </w:r>
      <w:r w:rsidR="00906011">
        <w:rPr>
          <w:sz w:val="22"/>
          <w:szCs w:val="22"/>
        </w:rPr>
        <w:t>;</w:t>
      </w:r>
    </w:p>
    <w:p w:rsidR="00D5019B" w:rsidRDefault="0074593C" w:rsidP="00B7270C">
      <w:pPr>
        <w:pStyle w:val="epchapo"/>
        <w:numPr>
          <w:ilvl w:val="0"/>
          <w:numId w:val="12"/>
        </w:numPr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będzie </w:t>
      </w:r>
      <w:r w:rsidR="0068582B">
        <w:rPr>
          <w:sz w:val="22"/>
          <w:szCs w:val="22"/>
        </w:rPr>
        <w:t xml:space="preserve">oparty na jasnych </w:t>
      </w:r>
      <w:r w:rsidR="00A15F3F">
        <w:rPr>
          <w:sz w:val="22"/>
          <w:szCs w:val="22"/>
        </w:rPr>
        <w:t xml:space="preserve">i ściśle zdefiniowanych minimalnych </w:t>
      </w:r>
      <w:r w:rsidR="0068582B">
        <w:rPr>
          <w:sz w:val="22"/>
          <w:szCs w:val="22"/>
        </w:rPr>
        <w:t>wymogach dotycz</w:t>
      </w:r>
      <w:r w:rsidR="0068582B">
        <w:rPr>
          <w:sz w:val="22"/>
          <w:szCs w:val="22"/>
        </w:rPr>
        <w:t>ą</w:t>
      </w:r>
      <w:r w:rsidR="0068582B">
        <w:rPr>
          <w:sz w:val="22"/>
          <w:szCs w:val="22"/>
        </w:rPr>
        <w:t>cych</w:t>
      </w:r>
      <w:r>
        <w:rPr>
          <w:sz w:val="22"/>
          <w:szCs w:val="22"/>
        </w:rPr>
        <w:t xml:space="preserve"> interoperacyjności i wymienności elementów i urządzeń</w:t>
      </w:r>
      <w:r w:rsidR="00906011">
        <w:rPr>
          <w:sz w:val="22"/>
          <w:szCs w:val="22"/>
        </w:rPr>
        <w:t>;</w:t>
      </w:r>
    </w:p>
    <w:p w:rsidR="00D5019B" w:rsidRDefault="00D5019B" w:rsidP="00B7270C">
      <w:pPr>
        <w:pStyle w:val="epchapo"/>
        <w:numPr>
          <w:ilvl w:val="0"/>
          <w:numId w:val="12"/>
        </w:numPr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Specyfikacja będzie </w:t>
      </w:r>
      <w:r w:rsidR="0074593C">
        <w:rPr>
          <w:sz w:val="22"/>
          <w:szCs w:val="22"/>
        </w:rPr>
        <w:t xml:space="preserve">oparta na otwartym </w:t>
      </w:r>
      <w:r w:rsidR="00A15F3F">
        <w:rPr>
          <w:sz w:val="22"/>
          <w:szCs w:val="22"/>
        </w:rPr>
        <w:t xml:space="preserve">i opisanym </w:t>
      </w:r>
      <w:r w:rsidR="0074593C">
        <w:rPr>
          <w:sz w:val="22"/>
          <w:szCs w:val="22"/>
        </w:rPr>
        <w:t>modelu biznesowym usług świadczonych w sieciach SG</w:t>
      </w:r>
      <w:r w:rsidR="00906011">
        <w:rPr>
          <w:sz w:val="22"/>
          <w:szCs w:val="22"/>
        </w:rPr>
        <w:t>;</w:t>
      </w:r>
    </w:p>
    <w:p w:rsidR="0074593C" w:rsidRDefault="0074593C" w:rsidP="00B7270C">
      <w:pPr>
        <w:pStyle w:val="epchapo"/>
        <w:numPr>
          <w:ilvl w:val="0"/>
          <w:numId w:val="12"/>
        </w:numPr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Projekt zdefiniuje jednoznacznie komunikację z bramą domową użytkownika końcowego, co pozwoli na uruchomienie i rozwój produkcji urządzeń i systemów dla sieci użytkownika ko</w:t>
      </w:r>
      <w:r>
        <w:rPr>
          <w:sz w:val="22"/>
          <w:szCs w:val="22"/>
        </w:rPr>
        <w:t>ń</w:t>
      </w:r>
      <w:r>
        <w:rPr>
          <w:sz w:val="22"/>
          <w:szCs w:val="22"/>
        </w:rPr>
        <w:t>cowego</w:t>
      </w:r>
      <w:r w:rsidR="00906011">
        <w:rPr>
          <w:sz w:val="22"/>
          <w:szCs w:val="22"/>
        </w:rPr>
        <w:t>;</w:t>
      </w:r>
    </w:p>
    <w:p w:rsidR="00201A08" w:rsidRDefault="00553018" w:rsidP="00201A08">
      <w:pPr>
        <w:pStyle w:val="epchapo"/>
        <w:numPr>
          <w:ilvl w:val="0"/>
          <w:numId w:val="12"/>
        </w:numPr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Projekt będzie pierwszym krokiem na drodze integracji sieci IP i energetycznych, tworząc przestrzeń do rozwoju usług powszechnych Internetu Rzeczy</w:t>
      </w:r>
      <w:r w:rsidR="00906011">
        <w:rPr>
          <w:sz w:val="22"/>
          <w:szCs w:val="22"/>
        </w:rPr>
        <w:t>;</w:t>
      </w:r>
    </w:p>
    <w:p w:rsidR="0068582B" w:rsidRPr="00201A08" w:rsidRDefault="0068582B" w:rsidP="00201A08">
      <w:pPr>
        <w:pStyle w:val="epchapo"/>
        <w:numPr>
          <w:ilvl w:val="0"/>
          <w:numId w:val="12"/>
        </w:numPr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Projekt będzie spełniał zasadę neutralności technologicznej</w:t>
      </w:r>
      <w:r w:rsidR="00906011">
        <w:rPr>
          <w:sz w:val="22"/>
          <w:szCs w:val="22"/>
        </w:rPr>
        <w:t>.</w:t>
      </w:r>
    </w:p>
    <w:p w:rsidR="00201A08" w:rsidRPr="0070531E" w:rsidRDefault="00E779CF" w:rsidP="00F55819">
      <w:pPr>
        <w:pStyle w:val="epchapo"/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Brak krajowych ram standaryzacyjnych w zakresie komunikacji elektronicznej uniemożliwiło zesp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łowi technicznemu </w:t>
      </w:r>
      <w:r w:rsidR="00737CFA">
        <w:rPr>
          <w:sz w:val="22"/>
          <w:szCs w:val="22"/>
        </w:rPr>
        <w:t>pracującemu nad specyfikacją</w:t>
      </w:r>
      <w:r w:rsidR="001D376A">
        <w:rPr>
          <w:sz w:val="22"/>
          <w:szCs w:val="22"/>
        </w:rPr>
        <w:t xml:space="preserve"> zaproponowanie</w:t>
      </w:r>
      <w:r w:rsidR="00737CFA">
        <w:rPr>
          <w:sz w:val="22"/>
          <w:szCs w:val="22"/>
        </w:rPr>
        <w:t xml:space="preserve"> jednoznacznych rozwiązań kom</w:t>
      </w:r>
      <w:r w:rsidR="00737CFA">
        <w:rPr>
          <w:sz w:val="22"/>
          <w:szCs w:val="22"/>
        </w:rPr>
        <w:t>u</w:t>
      </w:r>
      <w:r w:rsidR="00737CFA">
        <w:rPr>
          <w:sz w:val="22"/>
          <w:szCs w:val="22"/>
        </w:rPr>
        <w:t>nikacyjnych.</w:t>
      </w:r>
      <w:r w:rsidR="00553018">
        <w:rPr>
          <w:sz w:val="22"/>
          <w:szCs w:val="22"/>
        </w:rPr>
        <w:t xml:space="preserve"> </w:t>
      </w:r>
      <w:r w:rsidR="001D376A">
        <w:rPr>
          <w:sz w:val="22"/>
          <w:szCs w:val="22"/>
        </w:rPr>
        <w:t>Specyfikacja</w:t>
      </w:r>
      <w:r w:rsidR="00A15F3F">
        <w:rPr>
          <w:sz w:val="22"/>
          <w:szCs w:val="22"/>
        </w:rPr>
        <w:t xml:space="preserve"> w jej dzisiejszym kształcie</w:t>
      </w:r>
      <w:r w:rsidR="00737CFA">
        <w:rPr>
          <w:sz w:val="22"/>
          <w:szCs w:val="22"/>
        </w:rPr>
        <w:t xml:space="preserve"> </w:t>
      </w:r>
      <w:r w:rsidR="001D376A">
        <w:rPr>
          <w:sz w:val="22"/>
          <w:szCs w:val="22"/>
        </w:rPr>
        <w:t>nie zabezpiecza nas przed możliwością budowy</w:t>
      </w:r>
      <w:r w:rsidR="00737CFA">
        <w:rPr>
          <w:sz w:val="22"/>
          <w:szCs w:val="22"/>
        </w:rPr>
        <w:t xml:space="preserve"> pięciu</w:t>
      </w:r>
      <w:r w:rsidR="00B91AC0">
        <w:rPr>
          <w:sz w:val="22"/>
          <w:szCs w:val="22"/>
        </w:rPr>
        <w:t xml:space="preserve"> odrębnych sieci systemów AMI, wzajemnie niekompatybilnych w warstwach komunikacji elektronicznej.</w:t>
      </w:r>
      <w:r w:rsidR="00C61CD6">
        <w:rPr>
          <w:sz w:val="22"/>
          <w:szCs w:val="22"/>
        </w:rPr>
        <w:t xml:space="preserve"> Przestrzeń do tej odrębności budują tzw. „żółte pola” i niejednoznaczne wymagania w punktach decydujących o interoperacyjności i wymienności sprzętu w ramach kraju. </w:t>
      </w:r>
      <w:r w:rsidR="00B91AC0">
        <w:rPr>
          <w:sz w:val="22"/>
          <w:szCs w:val="22"/>
        </w:rPr>
        <w:t>Projek</w:t>
      </w:r>
      <w:r w:rsidR="00D523C2">
        <w:rPr>
          <w:sz w:val="22"/>
          <w:szCs w:val="22"/>
        </w:rPr>
        <w:t>t</w:t>
      </w:r>
      <w:r w:rsidR="00B91AC0">
        <w:rPr>
          <w:sz w:val="22"/>
          <w:szCs w:val="22"/>
        </w:rPr>
        <w:t xml:space="preserve"> </w:t>
      </w:r>
      <w:r w:rsidR="00B65DB9">
        <w:rPr>
          <w:sz w:val="22"/>
          <w:szCs w:val="22"/>
        </w:rPr>
        <w:t xml:space="preserve">ogranicza </w:t>
      </w:r>
      <w:r w:rsidR="00B65DB9" w:rsidRPr="0070531E">
        <w:rPr>
          <w:sz w:val="22"/>
          <w:szCs w:val="22"/>
        </w:rPr>
        <w:t xml:space="preserve">możliwość konkurencji na granicy pomiędzy operatorami </w:t>
      </w:r>
      <w:r w:rsidR="0070531E" w:rsidRPr="0070531E">
        <w:rPr>
          <w:sz w:val="22"/>
          <w:szCs w:val="22"/>
        </w:rPr>
        <w:t xml:space="preserve">sieci inteligentnego </w:t>
      </w:r>
      <w:proofErr w:type="spellStart"/>
      <w:r w:rsidR="0070531E" w:rsidRPr="0070531E">
        <w:rPr>
          <w:sz w:val="22"/>
          <w:szCs w:val="22"/>
        </w:rPr>
        <w:t>opomiarowania</w:t>
      </w:r>
      <w:proofErr w:type="spellEnd"/>
      <w:r w:rsidR="0070531E" w:rsidRPr="0070531E">
        <w:rPr>
          <w:sz w:val="22"/>
          <w:szCs w:val="22"/>
        </w:rPr>
        <w:t xml:space="preserve"> </w:t>
      </w:r>
      <w:r w:rsidR="00B65DB9" w:rsidRPr="0070531E">
        <w:rPr>
          <w:sz w:val="22"/>
          <w:szCs w:val="22"/>
        </w:rPr>
        <w:t xml:space="preserve">oraz pomiędzy nimi. </w:t>
      </w:r>
      <w:r w:rsidR="00204D56" w:rsidRPr="0070531E">
        <w:rPr>
          <w:sz w:val="22"/>
          <w:szCs w:val="22"/>
        </w:rPr>
        <w:t xml:space="preserve">Specyfikacja </w:t>
      </w:r>
      <w:r w:rsidR="007E3BB3" w:rsidRPr="0070531E">
        <w:rPr>
          <w:b/>
          <w:sz w:val="22"/>
          <w:szCs w:val="22"/>
        </w:rPr>
        <w:t>nie odpowiada w sposób zadowalający na potrzeby rynku sprzętu powszechnego użytku</w:t>
      </w:r>
      <w:r w:rsidR="0004072B" w:rsidRPr="0070531E">
        <w:rPr>
          <w:b/>
          <w:sz w:val="22"/>
          <w:szCs w:val="22"/>
        </w:rPr>
        <w:t xml:space="preserve"> i potrzebom konsumentów</w:t>
      </w:r>
      <w:r w:rsidR="00204D56" w:rsidRPr="0070531E">
        <w:rPr>
          <w:sz w:val="22"/>
          <w:szCs w:val="22"/>
        </w:rPr>
        <w:t xml:space="preserve">, gdyż nie tworzy </w:t>
      </w:r>
      <w:r w:rsidR="00DF6AD3" w:rsidRPr="0070531E">
        <w:rPr>
          <w:sz w:val="22"/>
          <w:szCs w:val="22"/>
        </w:rPr>
        <w:t>specyfikacji pozwalające na zaoferowanie</w:t>
      </w:r>
      <w:r w:rsidR="00204D56" w:rsidRPr="0070531E">
        <w:rPr>
          <w:sz w:val="22"/>
          <w:szCs w:val="22"/>
        </w:rPr>
        <w:t xml:space="preserve"> jednolitej</w:t>
      </w:r>
      <w:r w:rsidR="00B65DB9" w:rsidRPr="0070531E">
        <w:rPr>
          <w:sz w:val="22"/>
          <w:szCs w:val="22"/>
        </w:rPr>
        <w:t xml:space="preserve"> platfor</w:t>
      </w:r>
      <w:r w:rsidR="00204D56" w:rsidRPr="0070531E">
        <w:rPr>
          <w:sz w:val="22"/>
          <w:szCs w:val="22"/>
        </w:rPr>
        <w:t>my</w:t>
      </w:r>
      <w:r w:rsidR="00B65DB9" w:rsidRPr="0070531E">
        <w:rPr>
          <w:sz w:val="22"/>
          <w:szCs w:val="22"/>
        </w:rPr>
        <w:t xml:space="preserve"> sprzę</w:t>
      </w:r>
      <w:r w:rsidR="00204D56" w:rsidRPr="0070531E">
        <w:rPr>
          <w:sz w:val="22"/>
          <w:szCs w:val="22"/>
        </w:rPr>
        <w:t>towej dla klienta końcowego</w:t>
      </w:r>
      <w:r w:rsidR="00B65DB9" w:rsidRPr="0070531E">
        <w:rPr>
          <w:sz w:val="22"/>
          <w:szCs w:val="22"/>
        </w:rPr>
        <w:t xml:space="preserve">. </w:t>
      </w:r>
    </w:p>
    <w:p w:rsidR="00980836" w:rsidRDefault="00980836" w:rsidP="00980836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Jednocześnie należy podkreślić, że doceniamy dorobek w części metrologicznej liczników i uważamy, że dalsza praca nad specyfikacją powinna ten dorobek uwzględnić. Praca nad specyfikacją powinna być kontynuowana i skoncentrowana na poprawie i uzupełnieniu opisów dotyczących warstw: sieci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wej, komunikacyjnej i usługowej. </w:t>
      </w:r>
      <w:r w:rsidR="008A0CF8">
        <w:rPr>
          <w:sz w:val="22"/>
          <w:szCs w:val="22"/>
        </w:rPr>
        <w:t>Wyniki pracy zespołu powinny być podstawą do opracowania st</w:t>
      </w:r>
      <w:r w:rsidR="008A0CF8">
        <w:rPr>
          <w:sz w:val="22"/>
          <w:szCs w:val="22"/>
        </w:rPr>
        <w:t>o</w:t>
      </w:r>
      <w:r w:rsidR="008A0CF8">
        <w:rPr>
          <w:sz w:val="22"/>
          <w:szCs w:val="22"/>
        </w:rPr>
        <w:t xml:space="preserve">sownych rozporządzeń wynikających ze ustaw dotyczących efektywności energetycznej, energetyki i odnawialnych źródeł energii. </w:t>
      </w:r>
      <w:r>
        <w:rPr>
          <w:sz w:val="22"/>
          <w:szCs w:val="22"/>
        </w:rPr>
        <w:t>Zgodnie z informacją zamieszczoną na stronach URE, opublikowany Projekt stanowi porozumienie środowiska energetycznego</w:t>
      </w:r>
      <w:r w:rsidR="008A0CF8">
        <w:rPr>
          <w:sz w:val="22"/>
          <w:szCs w:val="22"/>
        </w:rPr>
        <w:t>, więc stanowi istotną wartość i dobry punkt wyjścia do następnego etapu prac</w:t>
      </w:r>
      <w:r>
        <w:rPr>
          <w:sz w:val="22"/>
          <w:szCs w:val="22"/>
        </w:rPr>
        <w:t xml:space="preserve">. </w:t>
      </w:r>
    </w:p>
    <w:p w:rsidR="00A026FB" w:rsidRDefault="00A026FB" w:rsidP="00A026FB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Powołanie WRE</w:t>
      </w:r>
      <w:r w:rsidRPr="00751714">
        <w:rPr>
          <w:sz w:val="22"/>
          <w:szCs w:val="22"/>
        </w:rPr>
        <w:t xml:space="preserve"> </w:t>
      </w:r>
      <w:r>
        <w:rPr>
          <w:sz w:val="22"/>
          <w:szCs w:val="22"/>
        </w:rPr>
        <w:t>było przemysłową inicjatywą wynikającą z faktu, że brakuje ośrod</w:t>
      </w:r>
      <w:r w:rsidRPr="00751714">
        <w:rPr>
          <w:sz w:val="22"/>
          <w:szCs w:val="22"/>
        </w:rPr>
        <w:t>k</w:t>
      </w:r>
      <w:r>
        <w:rPr>
          <w:sz w:val="22"/>
          <w:szCs w:val="22"/>
        </w:rPr>
        <w:t>a decyzyjnego</w:t>
      </w:r>
      <w:r w:rsidRPr="00751714">
        <w:rPr>
          <w:sz w:val="22"/>
          <w:szCs w:val="22"/>
        </w:rPr>
        <w:t>, który organizowałby wdroże</w:t>
      </w:r>
      <w:r w:rsidR="00722523">
        <w:rPr>
          <w:sz w:val="22"/>
          <w:szCs w:val="22"/>
        </w:rPr>
        <w:t>nie Smart Grid.</w:t>
      </w:r>
      <w:r w:rsidRPr="00751714">
        <w:rPr>
          <w:sz w:val="22"/>
          <w:szCs w:val="22"/>
        </w:rPr>
        <w:t xml:space="preserve"> Prezes URE wraz z Prezesem PSE powołali do życia WRE, jako grono interesariuszy, którzy byli zainteresowani wdrożeniem S</w:t>
      </w:r>
      <w:r w:rsidR="00722523">
        <w:rPr>
          <w:sz w:val="22"/>
          <w:szCs w:val="22"/>
        </w:rPr>
        <w:t xml:space="preserve">mart </w:t>
      </w:r>
      <w:r w:rsidRPr="00751714">
        <w:rPr>
          <w:sz w:val="22"/>
          <w:szCs w:val="22"/>
        </w:rPr>
        <w:t>G</w:t>
      </w:r>
      <w:r w:rsidR="00722523">
        <w:rPr>
          <w:sz w:val="22"/>
          <w:szCs w:val="22"/>
        </w:rPr>
        <w:t>rids</w:t>
      </w:r>
      <w:r w:rsidRPr="00751714">
        <w:rPr>
          <w:sz w:val="22"/>
          <w:szCs w:val="22"/>
        </w:rPr>
        <w:t>, w tym S</w:t>
      </w:r>
      <w:r w:rsidR="00722523">
        <w:rPr>
          <w:sz w:val="22"/>
          <w:szCs w:val="22"/>
        </w:rPr>
        <w:t xml:space="preserve">mart </w:t>
      </w:r>
      <w:proofErr w:type="spellStart"/>
      <w:r w:rsidRPr="00751714">
        <w:rPr>
          <w:sz w:val="22"/>
          <w:szCs w:val="22"/>
        </w:rPr>
        <w:t>M</w:t>
      </w:r>
      <w:r w:rsidR="00722523">
        <w:rPr>
          <w:sz w:val="22"/>
          <w:szCs w:val="22"/>
        </w:rPr>
        <w:t>etering</w:t>
      </w:r>
      <w:proofErr w:type="spellEnd"/>
      <w:r w:rsidRPr="00751714">
        <w:rPr>
          <w:sz w:val="22"/>
          <w:szCs w:val="22"/>
        </w:rPr>
        <w:t xml:space="preserve">. WRE działały na zasadzie konsensusu. Na tej zasadzie powołano Zespół ds. WST AMI. </w:t>
      </w:r>
      <w:r>
        <w:rPr>
          <w:sz w:val="22"/>
          <w:szCs w:val="22"/>
        </w:rPr>
        <w:lastRenderedPageBreak/>
        <w:t xml:space="preserve">Jednak WRE już wyczerpały swą formułę działania i </w:t>
      </w:r>
      <w:r w:rsidRPr="000E7280">
        <w:rPr>
          <w:sz w:val="22"/>
          <w:szCs w:val="22"/>
        </w:rPr>
        <w:t xml:space="preserve">przestały funkcjonować </w:t>
      </w:r>
      <w:r>
        <w:rPr>
          <w:sz w:val="22"/>
          <w:szCs w:val="22"/>
        </w:rPr>
        <w:t>w składzie, który p</w:t>
      </w:r>
      <w:r>
        <w:rPr>
          <w:sz w:val="22"/>
          <w:szCs w:val="22"/>
        </w:rPr>
        <w:t>o</w:t>
      </w:r>
      <w:r>
        <w:rPr>
          <w:sz w:val="22"/>
          <w:szCs w:val="22"/>
        </w:rPr>
        <w:t>zwalałby na obiektywizację opinii oraz uwzględnienie całości problematyki gospodarczej związanej z budową sieci inteligentnych.</w:t>
      </w:r>
    </w:p>
    <w:p w:rsidR="00E12964" w:rsidRDefault="00E12964" w:rsidP="006304E3">
      <w:pPr>
        <w:pStyle w:val="epchapo"/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Ze względu na skalę przewidywanych inwestycji i zagrożeń, jakie mogą wyniknąć z braku:</w:t>
      </w:r>
    </w:p>
    <w:p w:rsidR="00E12964" w:rsidRDefault="00E12964" w:rsidP="00584A4D">
      <w:pPr>
        <w:pStyle w:val="epchapo"/>
        <w:numPr>
          <w:ilvl w:val="0"/>
          <w:numId w:val="22"/>
        </w:numPr>
        <w:suppressAutoHyphens w:val="0"/>
        <w:spacing w:before="12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właściwego cyberbezpieczeństwa sieci inteligentnych,</w:t>
      </w:r>
    </w:p>
    <w:p w:rsidR="00E12964" w:rsidRDefault="00E12964" w:rsidP="00584A4D">
      <w:pPr>
        <w:pStyle w:val="epchapo"/>
        <w:numPr>
          <w:ilvl w:val="0"/>
          <w:numId w:val="22"/>
        </w:numPr>
        <w:suppressAutoHyphens w:val="0"/>
        <w:spacing w:before="12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braku kompatybilności i interoperacyjności sieci,</w:t>
      </w:r>
    </w:p>
    <w:p w:rsidR="000547BC" w:rsidRDefault="000547BC" w:rsidP="00584A4D">
      <w:pPr>
        <w:pStyle w:val="epchapo"/>
        <w:numPr>
          <w:ilvl w:val="0"/>
          <w:numId w:val="22"/>
        </w:numPr>
        <w:suppressAutoHyphens w:val="0"/>
        <w:spacing w:before="12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braku podstaw do uruchamiania krajowej produkcji sprzętu i oprogramowania dla sieci intel</w:t>
      </w:r>
      <w:r>
        <w:rPr>
          <w:sz w:val="22"/>
          <w:szCs w:val="22"/>
        </w:rPr>
        <w:t>i</w:t>
      </w:r>
      <w:r>
        <w:rPr>
          <w:sz w:val="22"/>
          <w:szCs w:val="22"/>
        </w:rPr>
        <w:t>gentnych,</w:t>
      </w:r>
    </w:p>
    <w:p w:rsidR="00E12964" w:rsidRDefault="000547BC" w:rsidP="00584A4D">
      <w:pPr>
        <w:pStyle w:val="epchapo"/>
        <w:numPr>
          <w:ilvl w:val="0"/>
          <w:numId w:val="22"/>
        </w:numPr>
        <w:suppressAutoHyphens w:val="0"/>
        <w:spacing w:before="120"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zgodności z politykami UE zakresie sieci inteligentnych sieci</w:t>
      </w:r>
      <w:r w:rsidR="00584A4D">
        <w:rPr>
          <w:sz w:val="22"/>
          <w:szCs w:val="22"/>
        </w:rPr>
        <w:t>,</w:t>
      </w:r>
    </w:p>
    <w:p w:rsidR="00B44BDE" w:rsidRDefault="000547BC" w:rsidP="000547BC">
      <w:pPr>
        <w:pStyle w:val="epchapo"/>
        <w:suppressAutoHyphens w:val="0"/>
        <w:spacing w:before="120" w:after="0"/>
        <w:jc w:val="both"/>
        <w:rPr>
          <w:sz w:val="22"/>
          <w:szCs w:val="22"/>
        </w:rPr>
      </w:pPr>
      <w:r w:rsidRPr="00584A4D">
        <w:rPr>
          <w:b/>
          <w:sz w:val="22"/>
          <w:szCs w:val="22"/>
        </w:rPr>
        <w:t xml:space="preserve">potrzebne jest powołanie rządowego centrum decyzyjnego, np. </w:t>
      </w:r>
      <w:r w:rsidR="00B44BDE" w:rsidRPr="00584A4D">
        <w:rPr>
          <w:b/>
          <w:sz w:val="22"/>
          <w:szCs w:val="22"/>
        </w:rPr>
        <w:t>Pełnomocnika Rządu ds. sieci inteligentnych</w:t>
      </w:r>
      <w:r w:rsidR="00B44BDE">
        <w:rPr>
          <w:sz w:val="22"/>
          <w:szCs w:val="22"/>
        </w:rPr>
        <w:t xml:space="preserve">. </w:t>
      </w:r>
    </w:p>
    <w:p w:rsidR="006304E3" w:rsidRPr="0070531E" w:rsidRDefault="006304E3" w:rsidP="00584A4D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0531E">
        <w:rPr>
          <w:sz w:val="22"/>
          <w:szCs w:val="22"/>
        </w:rPr>
        <w:t xml:space="preserve">Powyższa ocena roli </w:t>
      </w:r>
      <w:r w:rsidR="00E12964" w:rsidRPr="0070531E">
        <w:rPr>
          <w:sz w:val="22"/>
          <w:szCs w:val="22"/>
        </w:rPr>
        <w:t xml:space="preserve">przemysłu </w:t>
      </w:r>
      <w:r w:rsidR="00906011" w:rsidRPr="0070531E">
        <w:rPr>
          <w:sz w:val="22"/>
          <w:szCs w:val="22"/>
        </w:rPr>
        <w:t>oraz</w:t>
      </w:r>
      <w:r w:rsidR="00E12964" w:rsidRPr="0070531E">
        <w:rPr>
          <w:sz w:val="22"/>
          <w:szCs w:val="22"/>
        </w:rPr>
        <w:t xml:space="preserve"> </w:t>
      </w:r>
      <w:r w:rsidRPr="0070531E">
        <w:rPr>
          <w:sz w:val="22"/>
          <w:szCs w:val="22"/>
        </w:rPr>
        <w:t xml:space="preserve">WRE i </w:t>
      </w:r>
      <w:r w:rsidR="00A026FB" w:rsidRPr="0070531E">
        <w:rPr>
          <w:sz w:val="22"/>
          <w:szCs w:val="22"/>
        </w:rPr>
        <w:t>p</w:t>
      </w:r>
      <w:r w:rsidR="004D3625" w:rsidRPr="0070531E">
        <w:rPr>
          <w:sz w:val="22"/>
          <w:szCs w:val="22"/>
        </w:rPr>
        <w:t>rzedstawione propozycje</w:t>
      </w:r>
      <w:r w:rsidR="00A026FB" w:rsidRPr="0070531E">
        <w:rPr>
          <w:sz w:val="22"/>
          <w:szCs w:val="22"/>
        </w:rPr>
        <w:t xml:space="preserve"> działań </w:t>
      </w:r>
      <w:r w:rsidRPr="0070531E">
        <w:rPr>
          <w:sz w:val="22"/>
          <w:szCs w:val="22"/>
        </w:rPr>
        <w:t>KIGEiT współgra</w:t>
      </w:r>
      <w:r w:rsidR="004D3625" w:rsidRPr="0070531E">
        <w:rPr>
          <w:sz w:val="22"/>
          <w:szCs w:val="22"/>
        </w:rPr>
        <w:t>ją</w:t>
      </w:r>
      <w:r w:rsidRPr="0070531E">
        <w:rPr>
          <w:sz w:val="22"/>
          <w:szCs w:val="22"/>
        </w:rPr>
        <w:t xml:space="preserve"> ze stanowiskiem Rządu do</w:t>
      </w:r>
      <w:r w:rsidR="00EC4C9A" w:rsidRPr="0070531E">
        <w:rPr>
          <w:sz w:val="22"/>
          <w:szCs w:val="22"/>
        </w:rPr>
        <w:t xml:space="preserve">t. </w:t>
      </w:r>
      <w:r w:rsidRPr="0070531E">
        <w:rPr>
          <w:sz w:val="22"/>
          <w:szCs w:val="22"/>
        </w:rPr>
        <w:t>sprawozdania K</w:t>
      </w:r>
      <w:r w:rsidR="00906011" w:rsidRPr="0070531E">
        <w:rPr>
          <w:sz w:val="22"/>
          <w:szCs w:val="22"/>
        </w:rPr>
        <w:t xml:space="preserve">omisji </w:t>
      </w:r>
      <w:r w:rsidRPr="0070531E">
        <w:rPr>
          <w:sz w:val="22"/>
          <w:szCs w:val="22"/>
        </w:rPr>
        <w:t>E</w:t>
      </w:r>
      <w:r w:rsidR="00906011" w:rsidRPr="0070531E">
        <w:rPr>
          <w:sz w:val="22"/>
          <w:szCs w:val="22"/>
        </w:rPr>
        <w:t>uropejskiej</w:t>
      </w:r>
      <w:r w:rsidRPr="0070531E">
        <w:rPr>
          <w:sz w:val="22"/>
          <w:szCs w:val="22"/>
        </w:rPr>
        <w:t xml:space="preserve"> </w:t>
      </w:r>
      <w:r w:rsidR="004D3625" w:rsidRPr="0070531E">
        <w:rPr>
          <w:sz w:val="22"/>
          <w:szCs w:val="22"/>
        </w:rPr>
        <w:t>„</w:t>
      </w:r>
      <w:r w:rsidR="00EC4C9A" w:rsidRPr="0070531E">
        <w:rPr>
          <w:sz w:val="22"/>
          <w:szCs w:val="22"/>
        </w:rPr>
        <w:t>Analiza porównawcza rozpowszec</w:t>
      </w:r>
      <w:r w:rsidR="00EC4C9A" w:rsidRPr="0070531E">
        <w:rPr>
          <w:sz w:val="22"/>
          <w:szCs w:val="22"/>
        </w:rPr>
        <w:t>h</w:t>
      </w:r>
      <w:r w:rsidR="00EC4C9A" w:rsidRPr="0070531E">
        <w:rPr>
          <w:sz w:val="22"/>
          <w:szCs w:val="22"/>
        </w:rPr>
        <w:t>nienia inteligentnego opomiarowania w UE 27 ze szczególnym uwzględnieniem energii elektryc</w:t>
      </w:r>
      <w:r w:rsidR="00EC4C9A" w:rsidRPr="0070531E">
        <w:rPr>
          <w:sz w:val="22"/>
          <w:szCs w:val="22"/>
        </w:rPr>
        <w:t>z</w:t>
      </w:r>
      <w:r w:rsidR="00EC4C9A" w:rsidRPr="0070531E">
        <w:rPr>
          <w:sz w:val="22"/>
          <w:szCs w:val="22"/>
        </w:rPr>
        <w:t>nej</w:t>
      </w:r>
      <w:r w:rsidR="004D3625" w:rsidRPr="0070531E">
        <w:rPr>
          <w:sz w:val="22"/>
          <w:szCs w:val="22"/>
        </w:rPr>
        <w:t>”</w:t>
      </w:r>
      <w:r w:rsidR="00381CFC">
        <w:rPr>
          <w:rStyle w:val="Odwoanieprzypisudolnego"/>
          <w:sz w:val="22"/>
          <w:szCs w:val="22"/>
        </w:rPr>
        <w:footnoteReference w:id="1"/>
      </w:r>
      <w:r w:rsidR="004D3625" w:rsidRPr="0070531E">
        <w:rPr>
          <w:sz w:val="22"/>
          <w:szCs w:val="22"/>
        </w:rPr>
        <w:t>,</w:t>
      </w:r>
      <w:r w:rsidRPr="0070531E">
        <w:rPr>
          <w:sz w:val="22"/>
          <w:szCs w:val="22"/>
        </w:rPr>
        <w:t xml:space="preserve"> w którym oceniono </w:t>
      </w:r>
      <w:r w:rsidR="00DE3356" w:rsidRPr="0070531E">
        <w:rPr>
          <w:sz w:val="22"/>
          <w:szCs w:val="22"/>
        </w:rPr>
        <w:t>„</w:t>
      </w:r>
      <w:r w:rsidR="004D3625" w:rsidRPr="0070531E">
        <w:rPr>
          <w:i/>
          <w:sz w:val="22"/>
          <w:szCs w:val="22"/>
        </w:rPr>
        <w:t xml:space="preserve">jako negatywną praktykę cedowania odpowiedzialności za ich </w:t>
      </w:r>
      <w:r w:rsidR="009B5594" w:rsidRPr="0070531E">
        <w:rPr>
          <w:sz w:val="22"/>
          <w:szCs w:val="22"/>
        </w:rPr>
        <w:t>[cech fun</w:t>
      </w:r>
      <w:r w:rsidR="009B5594" w:rsidRPr="0070531E">
        <w:rPr>
          <w:sz w:val="22"/>
          <w:szCs w:val="22"/>
        </w:rPr>
        <w:t>k</w:t>
      </w:r>
      <w:r w:rsidR="009B5594" w:rsidRPr="0070531E">
        <w:rPr>
          <w:sz w:val="22"/>
          <w:szCs w:val="22"/>
        </w:rPr>
        <w:t>cjonalnych projektowanej infrastruktury inteligentnego opomiarowania – AMI]</w:t>
      </w:r>
      <w:r w:rsidR="009B5594" w:rsidRPr="0070531E">
        <w:rPr>
          <w:i/>
          <w:sz w:val="22"/>
          <w:szCs w:val="22"/>
        </w:rPr>
        <w:t xml:space="preserve"> </w:t>
      </w:r>
      <w:r w:rsidR="004D3625" w:rsidRPr="0070531E">
        <w:rPr>
          <w:i/>
          <w:sz w:val="22"/>
          <w:szCs w:val="22"/>
        </w:rPr>
        <w:t>określenie samym</w:t>
      </w:r>
      <w:r w:rsidR="00DE3356" w:rsidRPr="0070531E">
        <w:rPr>
          <w:i/>
          <w:sz w:val="22"/>
          <w:szCs w:val="22"/>
        </w:rPr>
        <w:t xml:space="preserve"> </w:t>
      </w:r>
      <w:r w:rsidR="004D3625" w:rsidRPr="0070531E">
        <w:rPr>
          <w:i/>
          <w:sz w:val="22"/>
          <w:szCs w:val="22"/>
        </w:rPr>
        <w:t>inwestorom, ze względu na ryzyko niedostatecznego uwzględnienia najważniejszych cech</w:t>
      </w:r>
      <w:r w:rsidR="00DE3356" w:rsidRPr="0070531E">
        <w:rPr>
          <w:i/>
          <w:sz w:val="22"/>
          <w:szCs w:val="22"/>
        </w:rPr>
        <w:t xml:space="preserve"> </w:t>
      </w:r>
      <w:r w:rsidR="004D3625" w:rsidRPr="0070531E">
        <w:rPr>
          <w:i/>
          <w:sz w:val="22"/>
          <w:szCs w:val="22"/>
        </w:rPr>
        <w:t>funkcjona</w:t>
      </w:r>
      <w:r w:rsidR="004D3625" w:rsidRPr="0070531E">
        <w:rPr>
          <w:i/>
          <w:sz w:val="22"/>
          <w:szCs w:val="22"/>
        </w:rPr>
        <w:t>l</w:t>
      </w:r>
      <w:r w:rsidR="004D3625" w:rsidRPr="0070531E">
        <w:rPr>
          <w:i/>
          <w:sz w:val="22"/>
          <w:szCs w:val="22"/>
        </w:rPr>
        <w:t>nych z punktu widzenia interesu konsumentów</w:t>
      </w:r>
      <w:r w:rsidR="00DE3356" w:rsidRPr="0070531E">
        <w:rPr>
          <w:sz w:val="22"/>
          <w:szCs w:val="22"/>
        </w:rPr>
        <w:t>”</w:t>
      </w:r>
      <w:r w:rsidRPr="0070531E">
        <w:rPr>
          <w:sz w:val="22"/>
          <w:szCs w:val="22"/>
        </w:rPr>
        <w:t xml:space="preserve">. </w:t>
      </w:r>
      <w:r w:rsidRPr="00584A4D">
        <w:rPr>
          <w:b/>
          <w:sz w:val="22"/>
          <w:szCs w:val="22"/>
        </w:rPr>
        <w:t>Tym samym stanowi to podstawę do wypracow</w:t>
      </w:r>
      <w:r w:rsidRPr="00584A4D">
        <w:rPr>
          <w:b/>
          <w:sz w:val="22"/>
          <w:szCs w:val="22"/>
        </w:rPr>
        <w:t>a</w:t>
      </w:r>
      <w:r w:rsidRPr="00584A4D">
        <w:rPr>
          <w:b/>
          <w:sz w:val="22"/>
          <w:szCs w:val="22"/>
        </w:rPr>
        <w:t>nia wymagań funkcjonalnych dla AMI przez</w:t>
      </w:r>
      <w:r w:rsidRPr="0070531E">
        <w:rPr>
          <w:sz w:val="22"/>
          <w:szCs w:val="22"/>
        </w:rPr>
        <w:t xml:space="preserve"> </w:t>
      </w:r>
      <w:r w:rsidRPr="00584A4D">
        <w:rPr>
          <w:b/>
          <w:sz w:val="22"/>
          <w:szCs w:val="22"/>
        </w:rPr>
        <w:t>szerokie grono interesariuszy</w:t>
      </w:r>
      <w:r w:rsidRPr="0070531E">
        <w:rPr>
          <w:sz w:val="22"/>
          <w:szCs w:val="22"/>
        </w:rPr>
        <w:t>, uwzglę</w:t>
      </w:r>
      <w:r w:rsidRPr="0070531E">
        <w:rPr>
          <w:sz w:val="22"/>
          <w:szCs w:val="22"/>
        </w:rPr>
        <w:t>d</w:t>
      </w:r>
      <w:r w:rsidRPr="0070531E">
        <w:rPr>
          <w:sz w:val="22"/>
          <w:szCs w:val="22"/>
        </w:rPr>
        <w:t xml:space="preserve">niając przede wszystkim interesy konsumentów. </w:t>
      </w:r>
      <w:r w:rsidR="009B5594" w:rsidRPr="0070531E">
        <w:rPr>
          <w:sz w:val="22"/>
          <w:szCs w:val="22"/>
        </w:rPr>
        <w:t>Grono interesariuszy stanowią operatorzy sieci komunikacji ele</w:t>
      </w:r>
      <w:r w:rsidR="009B5594" w:rsidRPr="0070531E">
        <w:rPr>
          <w:sz w:val="22"/>
          <w:szCs w:val="22"/>
        </w:rPr>
        <w:t>k</w:t>
      </w:r>
      <w:r w:rsidR="009B5594" w:rsidRPr="0070531E">
        <w:rPr>
          <w:sz w:val="22"/>
          <w:szCs w:val="22"/>
        </w:rPr>
        <w:t>tronicznej, przemysł elektroniczny i cała branża związana z technikami informacyjn</w:t>
      </w:r>
      <w:r w:rsidR="009B5594" w:rsidRPr="0070531E">
        <w:rPr>
          <w:sz w:val="22"/>
          <w:szCs w:val="22"/>
        </w:rPr>
        <w:t>y</w:t>
      </w:r>
      <w:r w:rsidR="009B5594" w:rsidRPr="0070531E">
        <w:rPr>
          <w:sz w:val="22"/>
          <w:szCs w:val="22"/>
        </w:rPr>
        <w:t>mi, operatorzy infrastruktury technicznej i przemysł zainteresowany budową Internetu Rzeczy.</w:t>
      </w:r>
      <w:r w:rsidR="0070531E" w:rsidRPr="0070531E">
        <w:rPr>
          <w:sz w:val="22"/>
          <w:szCs w:val="22"/>
        </w:rPr>
        <w:t xml:space="preserve"> </w:t>
      </w:r>
      <w:r w:rsidR="00584A4D">
        <w:rPr>
          <w:sz w:val="22"/>
          <w:szCs w:val="22"/>
        </w:rPr>
        <w:br/>
      </w:r>
      <w:r w:rsidRPr="00584A4D">
        <w:rPr>
          <w:b/>
          <w:sz w:val="22"/>
          <w:szCs w:val="22"/>
        </w:rPr>
        <w:t>W związku z tym KIGEiT będzie podejmował działania na rzecz ustanowienia krajowych ram standaryzacyjnych i interoperacyjności dla sieci inteligentnych</w:t>
      </w:r>
      <w:r w:rsidRPr="0070531E">
        <w:rPr>
          <w:sz w:val="22"/>
          <w:szCs w:val="22"/>
        </w:rPr>
        <w:t>.</w:t>
      </w:r>
      <w:r w:rsidR="008B5992" w:rsidRPr="0070531E">
        <w:rPr>
          <w:sz w:val="22"/>
          <w:szCs w:val="22"/>
        </w:rPr>
        <w:t xml:space="preserve"> </w:t>
      </w:r>
    </w:p>
    <w:p w:rsidR="008A0CF8" w:rsidRDefault="0071260E" w:rsidP="00DF6AD3">
      <w:pPr>
        <w:pStyle w:val="epchapo"/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Pilna konieczność podjęcia działań na rzecz ustanowienia krajowych ram standaryzacyjnych i inter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peracyjności dla sieci inteligentnych wynika z </w:t>
      </w:r>
      <w:r w:rsidR="00F972E3">
        <w:rPr>
          <w:sz w:val="22"/>
          <w:szCs w:val="22"/>
        </w:rPr>
        <w:t>przyjętego w strategiach i programach operacyjnych ramach czasowych realizacji zadań</w:t>
      </w:r>
      <w:r>
        <w:rPr>
          <w:sz w:val="22"/>
          <w:szCs w:val="22"/>
        </w:rPr>
        <w:t xml:space="preserve"> związanych celem strategicznym polegającym na cyfryzacji infr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struktury i przemysłu. </w:t>
      </w:r>
    </w:p>
    <w:p w:rsidR="007E6740" w:rsidRDefault="007E6740" w:rsidP="007E6740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KIGEiT kieruje do ministerstw odpowiedzialnych za energetykę, rozwój infrastruktury oraz cyfryz</w:t>
      </w:r>
      <w:r>
        <w:rPr>
          <w:sz w:val="22"/>
          <w:szCs w:val="22"/>
        </w:rPr>
        <w:t>a</w:t>
      </w:r>
      <w:r>
        <w:rPr>
          <w:sz w:val="22"/>
          <w:szCs w:val="22"/>
        </w:rPr>
        <w:t>cję Państwa i gospodarki oraz do regulatorów odpowiedzialnych z funkcjonowanie rynk</w:t>
      </w:r>
      <w:r w:rsidR="00584A4D">
        <w:rPr>
          <w:sz w:val="22"/>
          <w:szCs w:val="22"/>
        </w:rPr>
        <w:t>ów</w:t>
      </w:r>
      <w:r>
        <w:rPr>
          <w:sz w:val="22"/>
          <w:szCs w:val="22"/>
        </w:rPr>
        <w:t xml:space="preserve"> sieci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wych (URE i UKE) </w:t>
      </w:r>
      <w:r w:rsidR="007E3BB3" w:rsidRPr="007E3BB3">
        <w:rPr>
          <w:b/>
          <w:sz w:val="22"/>
          <w:szCs w:val="22"/>
        </w:rPr>
        <w:t>wniosek o powołanie Pełnomocnika Rządu</w:t>
      </w:r>
      <w:r w:rsidR="00F972E3">
        <w:rPr>
          <w:sz w:val="22"/>
          <w:szCs w:val="22"/>
        </w:rPr>
        <w:t>, który będzie miał możliwość ki</w:t>
      </w:r>
      <w:r w:rsidR="00F972E3">
        <w:rPr>
          <w:sz w:val="22"/>
          <w:szCs w:val="22"/>
        </w:rPr>
        <w:t>e</w:t>
      </w:r>
      <w:r w:rsidR="00F972E3">
        <w:rPr>
          <w:sz w:val="22"/>
          <w:szCs w:val="22"/>
        </w:rPr>
        <w:t xml:space="preserve">rowania pracami </w:t>
      </w:r>
      <w:r w:rsidR="002E2FC3" w:rsidRPr="002E2FC3">
        <w:rPr>
          <w:b/>
          <w:sz w:val="22"/>
          <w:szCs w:val="22"/>
        </w:rPr>
        <w:t>Zespołu ds. S</w:t>
      </w:r>
      <w:r w:rsidR="008B5992">
        <w:rPr>
          <w:b/>
          <w:sz w:val="22"/>
          <w:szCs w:val="22"/>
        </w:rPr>
        <w:t xml:space="preserve">mart </w:t>
      </w:r>
      <w:r w:rsidR="002E2FC3" w:rsidRPr="002E2FC3">
        <w:rPr>
          <w:b/>
          <w:sz w:val="22"/>
          <w:szCs w:val="22"/>
        </w:rPr>
        <w:t>G</w:t>
      </w:r>
      <w:r w:rsidR="008B5992">
        <w:rPr>
          <w:b/>
          <w:sz w:val="22"/>
          <w:szCs w:val="22"/>
        </w:rPr>
        <w:t>rids (SG)</w:t>
      </w:r>
      <w:r w:rsidR="002E2FC3">
        <w:rPr>
          <w:sz w:val="22"/>
          <w:szCs w:val="22"/>
        </w:rPr>
        <w:t xml:space="preserve">, czyli </w:t>
      </w:r>
      <w:r>
        <w:rPr>
          <w:sz w:val="22"/>
          <w:szCs w:val="22"/>
        </w:rPr>
        <w:t>międzyresortowego zespołu z zadaniem opr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cowania krajowych ram standaryzacyjnych dla sieci inteligentnych (Smart Grids) oraz ich warstwy pomiarowej (AMI). </w:t>
      </w:r>
      <w:r w:rsidR="00584A4D">
        <w:rPr>
          <w:sz w:val="22"/>
          <w:szCs w:val="22"/>
        </w:rPr>
        <w:t xml:space="preserve">Zadaniem Zespołu ds. SG powinno być koordynowanie procesu opracowywania </w:t>
      </w:r>
      <w:r w:rsidR="00584A4D">
        <w:rPr>
          <w:sz w:val="22"/>
          <w:szCs w:val="22"/>
        </w:rPr>
        <w:br/>
        <w:t>i wdrażania regulacji definiujących krajowe ramy standaryzacyjne budowy komunikacji elektronicznej dla infrastruktury technicznej, w szczególności dla sieci elektroenergetycznych.</w:t>
      </w:r>
    </w:p>
    <w:p w:rsidR="006B50B5" w:rsidRPr="00DA54CC" w:rsidRDefault="002E2FC3" w:rsidP="00DA54CC">
      <w:pPr>
        <w:pStyle w:val="epchapo"/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Dobrym punktem wyjścia do </w:t>
      </w:r>
      <w:r w:rsidR="00E740F9">
        <w:rPr>
          <w:sz w:val="22"/>
          <w:szCs w:val="22"/>
        </w:rPr>
        <w:t>szybkiego opracowania założeń dla</w:t>
      </w:r>
      <w:r>
        <w:rPr>
          <w:sz w:val="22"/>
          <w:szCs w:val="22"/>
        </w:rPr>
        <w:t xml:space="preserve"> polskich ram standaryzacyjnych może być</w:t>
      </w:r>
      <w:r w:rsidR="000E7280">
        <w:rPr>
          <w:sz w:val="22"/>
          <w:szCs w:val="22"/>
        </w:rPr>
        <w:t xml:space="preserve"> r</w:t>
      </w:r>
      <w:r w:rsidR="00DA54CC">
        <w:rPr>
          <w:sz w:val="22"/>
          <w:szCs w:val="22"/>
        </w:rPr>
        <w:t>aport</w:t>
      </w:r>
      <w:r w:rsidR="00EF60AA">
        <w:rPr>
          <w:sz w:val="22"/>
          <w:szCs w:val="22"/>
        </w:rPr>
        <w:t xml:space="preserve"> Europejskiej Platformy Technologicznej Smart Grids z kwietnia 2010 roku </w:t>
      </w:r>
      <w:r w:rsidR="00DA54CC">
        <w:rPr>
          <w:sz w:val="22"/>
          <w:szCs w:val="22"/>
        </w:rPr>
        <w:t>(w opr</w:t>
      </w:r>
      <w:r w:rsidR="00DA54CC">
        <w:rPr>
          <w:sz w:val="22"/>
          <w:szCs w:val="22"/>
        </w:rPr>
        <w:t>a</w:t>
      </w:r>
      <w:r w:rsidR="00DA54CC">
        <w:rPr>
          <w:sz w:val="22"/>
          <w:szCs w:val="22"/>
        </w:rPr>
        <w:t xml:space="preserve">cowaniu którego uczestniczyły Polskie Sieci Energetyczne S.A.) </w:t>
      </w:r>
      <w:r w:rsidR="00EF60AA">
        <w:rPr>
          <w:sz w:val="22"/>
          <w:szCs w:val="22"/>
        </w:rPr>
        <w:t xml:space="preserve">oraz </w:t>
      </w:r>
      <w:r w:rsidR="00DA54CC">
        <w:rPr>
          <w:sz w:val="22"/>
          <w:szCs w:val="22"/>
        </w:rPr>
        <w:t>raport</w:t>
      </w:r>
      <w:r w:rsidR="000E7280">
        <w:rPr>
          <w:sz w:val="22"/>
          <w:szCs w:val="22"/>
        </w:rPr>
        <w:t>u</w:t>
      </w:r>
      <w:r w:rsidR="00DA54CC">
        <w:rPr>
          <w:sz w:val="22"/>
          <w:szCs w:val="22"/>
        </w:rPr>
        <w:t xml:space="preserve"> ESO „</w:t>
      </w:r>
      <w:proofErr w:type="spellStart"/>
      <w:r w:rsidR="00DA54CC" w:rsidRPr="00584A4D">
        <w:rPr>
          <w:i/>
          <w:sz w:val="22"/>
          <w:szCs w:val="22"/>
        </w:rPr>
        <w:t>Final</w:t>
      </w:r>
      <w:proofErr w:type="spellEnd"/>
      <w:r w:rsidR="00DA54CC" w:rsidRPr="00584A4D">
        <w:rPr>
          <w:i/>
          <w:sz w:val="22"/>
          <w:szCs w:val="22"/>
        </w:rPr>
        <w:t xml:space="preserve"> report of </w:t>
      </w:r>
      <w:proofErr w:type="spellStart"/>
      <w:r w:rsidR="00DA54CC" w:rsidRPr="00584A4D">
        <w:rPr>
          <w:i/>
          <w:sz w:val="22"/>
          <w:szCs w:val="22"/>
        </w:rPr>
        <w:t>the</w:t>
      </w:r>
      <w:proofErr w:type="spellEnd"/>
      <w:r w:rsidR="00DA54CC" w:rsidRPr="00584A4D">
        <w:rPr>
          <w:i/>
          <w:sz w:val="22"/>
          <w:szCs w:val="22"/>
        </w:rPr>
        <w:t xml:space="preserve"> CEN/CENELEC/ETSI Joint Working Group on </w:t>
      </w:r>
      <w:proofErr w:type="spellStart"/>
      <w:r w:rsidR="00DA54CC" w:rsidRPr="00584A4D">
        <w:rPr>
          <w:i/>
          <w:sz w:val="22"/>
          <w:szCs w:val="22"/>
        </w:rPr>
        <w:t>Standards</w:t>
      </w:r>
      <w:proofErr w:type="spellEnd"/>
      <w:r w:rsidR="00DA54CC" w:rsidRPr="00584A4D">
        <w:rPr>
          <w:i/>
          <w:sz w:val="22"/>
          <w:szCs w:val="22"/>
        </w:rPr>
        <w:t xml:space="preserve"> for Smart Grids (</w:t>
      </w:r>
      <w:proofErr w:type="spellStart"/>
      <w:r w:rsidR="00DA54CC" w:rsidRPr="00584A4D">
        <w:rPr>
          <w:i/>
          <w:sz w:val="22"/>
          <w:szCs w:val="22"/>
        </w:rPr>
        <w:t>approved</w:t>
      </w:r>
      <w:proofErr w:type="spellEnd"/>
      <w:r w:rsidR="00DA54CC" w:rsidRPr="00584A4D">
        <w:rPr>
          <w:i/>
          <w:sz w:val="22"/>
          <w:szCs w:val="22"/>
        </w:rPr>
        <w:t xml:space="preserve"> by </w:t>
      </w:r>
      <w:proofErr w:type="spellStart"/>
      <w:r w:rsidR="00DA54CC" w:rsidRPr="00584A4D">
        <w:rPr>
          <w:i/>
          <w:sz w:val="22"/>
          <w:szCs w:val="22"/>
        </w:rPr>
        <w:t>the</w:t>
      </w:r>
      <w:proofErr w:type="spellEnd"/>
      <w:r w:rsidR="00DA54CC" w:rsidRPr="00584A4D">
        <w:rPr>
          <w:i/>
          <w:sz w:val="22"/>
          <w:szCs w:val="22"/>
        </w:rPr>
        <w:t xml:space="preserve"> CEN/CENELEC/ETSI Joint </w:t>
      </w:r>
      <w:proofErr w:type="spellStart"/>
      <w:r w:rsidR="00DA54CC" w:rsidRPr="00584A4D">
        <w:rPr>
          <w:i/>
          <w:sz w:val="22"/>
          <w:szCs w:val="22"/>
        </w:rPr>
        <w:t>Presidents</w:t>
      </w:r>
      <w:proofErr w:type="spellEnd"/>
      <w:r w:rsidR="00DA54CC" w:rsidRPr="00584A4D">
        <w:rPr>
          <w:i/>
          <w:sz w:val="22"/>
          <w:szCs w:val="22"/>
        </w:rPr>
        <w:t xml:space="preserve"> Group (JPG) on 4 May 2011, and by </w:t>
      </w:r>
      <w:proofErr w:type="spellStart"/>
      <w:r w:rsidR="00DA54CC" w:rsidRPr="00584A4D">
        <w:rPr>
          <w:i/>
          <w:sz w:val="22"/>
          <w:szCs w:val="22"/>
        </w:rPr>
        <w:t>the</w:t>
      </w:r>
      <w:proofErr w:type="spellEnd"/>
      <w:r w:rsidR="00DA54CC" w:rsidRPr="00584A4D">
        <w:rPr>
          <w:i/>
          <w:sz w:val="22"/>
          <w:szCs w:val="22"/>
        </w:rPr>
        <w:t xml:space="preserve"> </w:t>
      </w:r>
      <w:proofErr w:type="spellStart"/>
      <w:r w:rsidR="00DA54CC" w:rsidRPr="00584A4D">
        <w:rPr>
          <w:i/>
          <w:sz w:val="22"/>
          <w:szCs w:val="22"/>
        </w:rPr>
        <w:t>individual</w:t>
      </w:r>
      <w:proofErr w:type="spellEnd"/>
      <w:r w:rsidR="00DA54CC" w:rsidRPr="00584A4D">
        <w:rPr>
          <w:i/>
          <w:sz w:val="22"/>
          <w:szCs w:val="22"/>
        </w:rPr>
        <w:t xml:space="preserve"> </w:t>
      </w:r>
      <w:proofErr w:type="spellStart"/>
      <w:r w:rsidR="00DA54CC" w:rsidRPr="00584A4D">
        <w:rPr>
          <w:i/>
          <w:sz w:val="22"/>
          <w:szCs w:val="22"/>
        </w:rPr>
        <w:t>ESOs</w:t>
      </w:r>
      <w:proofErr w:type="spellEnd"/>
      <w:r w:rsidR="00DA54CC" w:rsidRPr="00584A4D">
        <w:rPr>
          <w:i/>
          <w:sz w:val="22"/>
          <w:szCs w:val="22"/>
        </w:rPr>
        <w:t xml:space="preserve"> </w:t>
      </w:r>
      <w:r w:rsidR="00DA54CC" w:rsidRPr="00584A4D">
        <w:rPr>
          <w:i/>
          <w:sz w:val="20"/>
          <w:szCs w:val="20"/>
        </w:rPr>
        <w:t>by 2011-06-05)</w:t>
      </w:r>
      <w:r w:rsidR="00584A4D">
        <w:rPr>
          <w:sz w:val="20"/>
          <w:szCs w:val="20"/>
        </w:rPr>
        <w:t>”.</w:t>
      </w:r>
    </w:p>
    <w:p w:rsidR="009B2464" w:rsidRDefault="00370BDA" w:rsidP="00F55819">
      <w:pPr>
        <w:pStyle w:val="epchapo"/>
        <w:suppressAutoHyphens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Proponujemy, by Zespół ds. SG</w:t>
      </w:r>
      <w:r w:rsidR="009B2464">
        <w:rPr>
          <w:sz w:val="22"/>
          <w:szCs w:val="22"/>
        </w:rPr>
        <w:t xml:space="preserve"> </w:t>
      </w:r>
      <w:r w:rsidR="002E2FC3">
        <w:rPr>
          <w:sz w:val="22"/>
          <w:szCs w:val="22"/>
        </w:rPr>
        <w:t xml:space="preserve">skorzystał w pracach legislacyjnych z </w:t>
      </w:r>
      <w:r w:rsidR="009B2464">
        <w:rPr>
          <w:sz w:val="22"/>
          <w:szCs w:val="22"/>
        </w:rPr>
        <w:t>obszernej bazy wiedzy oprac</w:t>
      </w:r>
      <w:r w:rsidR="009B2464">
        <w:rPr>
          <w:sz w:val="22"/>
          <w:szCs w:val="22"/>
        </w:rPr>
        <w:t>o</w:t>
      </w:r>
      <w:r w:rsidR="009B2464">
        <w:rPr>
          <w:sz w:val="22"/>
          <w:szCs w:val="22"/>
        </w:rPr>
        <w:t>wanej przez europejskiej organizacje standaryzacyjne (ESO),  opracowanej na podstawie mandatów:</w:t>
      </w:r>
    </w:p>
    <w:p w:rsidR="009B2464" w:rsidRDefault="00B77DC7" w:rsidP="00B77DC7">
      <w:pPr>
        <w:pStyle w:val="epchapo"/>
        <w:numPr>
          <w:ilvl w:val="0"/>
          <w:numId w:val="14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B77DC7">
        <w:rPr>
          <w:sz w:val="22"/>
          <w:szCs w:val="22"/>
          <w:lang w:val="en-US"/>
        </w:rPr>
        <w:t xml:space="preserve">M/490 EN z </w:t>
      </w:r>
      <w:proofErr w:type="spellStart"/>
      <w:r w:rsidRPr="00B77DC7">
        <w:rPr>
          <w:sz w:val="22"/>
          <w:szCs w:val="22"/>
          <w:lang w:val="en-US"/>
        </w:rPr>
        <w:t>dnia</w:t>
      </w:r>
      <w:proofErr w:type="spellEnd"/>
      <w:r w:rsidRPr="00B77DC7">
        <w:rPr>
          <w:sz w:val="22"/>
          <w:szCs w:val="22"/>
          <w:lang w:val="en-US"/>
        </w:rPr>
        <w:t xml:space="preserve"> 1-go </w:t>
      </w:r>
      <w:proofErr w:type="spellStart"/>
      <w:r w:rsidRPr="00B77DC7">
        <w:rPr>
          <w:sz w:val="22"/>
          <w:szCs w:val="22"/>
          <w:lang w:val="en-US"/>
        </w:rPr>
        <w:t>marca</w:t>
      </w:r>
      <w:proofErr w:type="spellEnd"/>
      <w:r w:rsidRPr="00B77DC7">
        <w:rPr>
          <w:sz w:val="22"/>
          <w:szCs w:val="22"/>
          <w:lang w:val="en-US"/>
        </w:rPr>
        <w:t xml:space="preserve"> 2011 r. Smart Grid Mandate, Standardization Mandate to Eur</w:t>
      </w:r>
      <w:r w:rsidRPr="00B77DC7">
        <w:rPr>
          <w:sz w:val="22"/>
          <w:szCs w:val="22"/>
          <w:lang w:val="en-US"/>
        </w:rPr>
        <w:t>o</w:t>
      </w:r>
      <w:r w:rsidRPr="00B77DC7">
        <w:rPr>
          <w:sz w:val="22"/>
          <w:szCs w:val="22"/>
          <w:lang w:val="en-US"/>
        </w:rPr>
        <w:t xml:space="preserve">pean </w:t>
      </w:r>
      <w:proofErr w:type="spellStart"/>
      <w:r w:rsidRPr="00B77DC7">
        <w:rPr>
          <w:sz w:val="22"/>
          <w:szCs w:val="22"/>
          <w:lang w:val="en-US"/>
        </w:rPr>
        <w:t>Standardisation</w:t>
      </w:r>
      <w:proofErr w:type="spellEnd"/>
      <w:r w:rsidRPr="00B77DC7">
        <w:rPr>
          <w:sz w:val="22"/>
          <w:szCs w:val="22"/>
          <w:lang w:val="en-US"/>
        </w:rPr>
        <w:t xml:space="preserve"> </w:t>
      </w:r>
      <w:proofErr w:type="spellStart"/>
      <w:r w:rsidRPr="00B77DC7">
        <w:rPr>
          <w:sz w:val="22"/>
          <w:szCs w:val="22"/>
          <w:lang w:val="en-US"/>
        </w:rPr>
        <w:t>Organisations</w:t>
      </w:r>
      <w:proofErr w:type="spellEnd"/>
      <w:r w:rsidRPr="00B77DC7">
        <w:rPr>
          <w:sz w:val="22"/>
          <w:szCs w:val="22"/>
          <w:lang w:val="en-US"/>
        </w:rPr>
        <w:t xml:space="preserve"> (ESOs) to support</w:t>
      </w:r>
      <w:r>
        <w:rPr>
          <w:sz w:val="22"/>
          <w:szCs w:val="22"/>
          <w:lang w:val="en-US"/>
        </w:rPr>
        <w:t xml:space="preserve"> </w:t>
      </w:r>
      <w:r w:rsidRPr="00B77DC7">
        <w:rPr>
          <w:sz w:val="22"/>
          <w:szCs w:val="22"/>
          <w:lang w:val="en-US"/>
        </w:rPr>
        <w:t>European Smart Grid deployment</w:t>
      </w:r>
    </w:p>
    <w:p w:rsidR="001072F3" w:rsidRPr="006B50B5" w:rsidRDefault="001072F3" w:rsidP="001072F3">
      <w:pPr>
        <w:pStyle w:val="epchapo"/>
        <w:numPr>
          <w:ilvl w:val="0"/>
          <w:numId w:val="14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6B50B5">
        <w:rPr>
          <w:sz w:val="22"/>
          <w:szCs w:val="22"/>
          <w:lang w:val="en-US"/>
        </w:rPr>
        <w:lastRenderedPageBreak/>
        <w:t>M</w:t>
      </w:r>
      <w:r w:rsidR="002A78DF">
        <w:rPr>
          <w:sz w:val="22"/>
          <w:szCs w:val="22"/>
          <w:lang w:val="en-US"/>
        </w:rPr>
        <w:t>/</w:t>
      </w:r>
      <w:r w:rsidRPr="006B50B5">
        <w:rPr>
          <w:sz w:val="22"/>
          <w:szCs w:val="22"/>
          <w:lang w:val="en-US"/>
        </w:rPr>
        <w:t xml:space="preserve">441 EN z </w:t>
      </w:r>
      <w:proofErr w:type="spellStart"/>
      <w:r w:rsidRPr="006B50B5">
        <w:rPr>
          <w:sz w:val="22"/>
          <w:szCs w:val="22"/>
          <w:lang w:val="en-US"/>
        </w:rPr>
        <w:t>dnia</w:t>
      </w:r>
      <w:proofErr w:type="spellEnd"/>
      <w:r w:rsidRPr="006B50B5">
        <w:rPr>
          <w:sz w:val="22"/>
          <w:szCs w:val="22"/>
          <w:lang w:val="en-US"/>
        </w:rPr>
        <w:t xml:space="preserve"> 12 </w:t>
      </w:r>
      <w:proofErr w:type="spellStart"/>
      <w:r w:rsidRPr="006B50B5">
        <w:rPr>
          <w:sz w:val="22"/>
          <w:szCs w:val="22"/>
          <w:lang w:val="en-US"/>
        </w:rPr>
        <w:t>marca</w:t>
      </w:r>
      <w:proofErr w:type="spellEnd"/>
      <w:r w:rsidRPr="006B50B5">
        <w:rPr>
          <w:sz w:val="22"/>
          <w:szCs w:val="22"/>
          <w:lang w:val="en-US"/>
        </w:rPr>
        <w:t xml:space="preserve"> 2009 r. </w:t>
      </w:r>
      <w:proofErr w:type="spellStart"/>
      <w:r w:rsidRPr="006B50B5">
        <w:rPr>
          <w:sz w:val="22"/>
          <w:szCs w:val="22"/>
          <w:lang w:val="en-US"/>
        </w:rPr>
        <w:t>Standar</w:t>
      </w:r>
      <w:r w:rsidR="006B50B5" w:rsidRPr="006B50B5">
        <w:rPr>
          <w:sz w:val="22"/>
          <w:szCs w:val="22"/>
          <w:lang w:val="en-US"/>
        </w:rPr>
        <w:t>disation</w:t>
      </w:r>
      <w:proofErr w:type="spellEnd"/>
      <w:r w:rsidR="006B50B5" w:rsidRPr="006B50B5">
        <w:rPr>
          <w:sz w:val="22"/>
          <w:szCs w:val="22"/>
          <w:lang w:val="en-US"/>
        </w:rPr>
        <w:t xml:space="preserve"> </w:t>
      </w:r>
      <w:proofErr w:type="spellStart"/>
      <w:r w:rsidR="006B50B5" w:rsidRPr="006B50B5">
        <w:rPr>
          <w:sz w:val="22"/>
          <w:szCs w:val="22"/>
          <w:lang w:val="en-US"/>
        </w:rPr>
        <w:t>madate</w:t>
      </w:r>
      <w:proofErr w:type="spellEnd"/>
      <w:r w:rsidR="006B50B5" w:rsidRPr="006B50B5">
        <w:rPr>
          <w:sz w:val="22"/>
          <w:szCs w:val="22"/>
          <w:lang w:val="en-US"/>
        </w:rPr>
        <w:t xml:space="preserve"> to CEN, CENELEC and ETSI in the field of measuring instruments for the d</w:t>
      </w:r>
      <w:r w:rsidR="006B50B5">
        <w:rPr>
          <w:sz w:val="22"/>
          <w:szCs w:val="22"/>
          <w:lang w:val="en-US"/>
        </w:rPr>
        <w:t>evelopment of an open architect</w:t>
      </w:r>
      <w:r w:rsidR="006B50B5" w:rsidRPr="006B50B5">
        <w:rPr>
          <w:sz w:val="22"/>
          <w:szCs w:val="22"/>
          <w:lang w:val="en-US"/>
        </w:rPr>
        <w:t>ure for utility m</w:t>
      </w:r>
      <w:r w:rsidR="006B50B5" w:rsidRPr="006B50B5">
        <w:rPr>
          <w:sz w:val="22"/>
          <w:szCs w:val="22"/>
          <w:lang w:val="en-US"/>
        </w:rPr>
        <w:t>e</w:t>
      </w:r>
      <w:r w:rsidR="006B50B5" w:rsidRPr="006B50B5">
        <w:rPr>
          <w:sz w:val="22"/>
          <w:szCs w:val="22"/>
          <w:lang w:val="en-US"/>
        </w:rPr>
        <w:t xml:space="preserve">ters </w:t>
      </w:r>
      <w:r w:rsidR="006B50B5">
        <w:rPr>
          <w:sz w:val="22"/>
          <w:szCs w:val="22"/>
          <w:lang w:val="en-US"/>
        </w:rPr>
        <w:t xml:space="preserve">involving communication protocols enabling interoperability </w:t>
      </w:r>
    </w:p>
    <w:p w:rsidR="001072F3" w:rsidRPr="001072F3" w:rsidRDefault="001072F3" w:rsidP="001072F3">
      <w:pPr>
        <w:pStyle w:val="epchapo"/>
        <w:numPr>
          <w:ilvl w:val="0"/>
          <w:numId w:val="14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1072F3">
        <w:rPr>
          <w:sz w:val="22"/>
          <w:szCs w:val="22"/>
          <w:lang w:val="en-US"/>
        </w:rPr>
        <w:t xml:space="preserve">M/468 EN z </w:t>
      </w:r>
      <w:proofErr w:type="spellStart"/>
      <w:r w:rsidRPr="001072F3">
        <w:rPr>
          <w:sz w:val="22"/>
          <w:szCs w:val="22"/>
          <w:lang w:val="en-US"/>
        </w:rPr>
        <w:t>dnia</w:t>
      </w:r>
      <w:proofErr w:type="spellEnd"/>
      <w:r w:rsidRPr="001072F3">
        <w:rPr>
          <w:sz w:val="22"/>
          <w:szCs w:val="22"/>
          <w:lang w:val="en-US"/>
        </w:rPr>
        <w:t xml:space="preserve"> 4-go </w:t>
      </w:r>
      <w:proofErr w:type="spellStart"/>
      <w:r w:rsidRPr="001072F3">
        <w:rPr>
          <w:sz w:val="22"/>
          <w:szCs w:val="22"/>
          <w:lang w:val="en-US"/>
        </w:rPr>
        <w:t>czerwca</w:t>
      </w:r>
      <w:proofErr w:type="spellEnd"/>
      <w:r w:rsidRPr="001072F3">
        <w:rPr>
          <w:sz w:val="22"/>
          <w:szCs w:val="22"/>
          <w:lang w:val="en-US"/>
        </w:rPr>
        <w:t xml:space="preserve"> 2010 r. STANDARDISATION MANDATE TO CEN, CENELEC AND ETSI</w:t>
      </w:r>
      <w:r>
        <w:rPr>
          <w:sz w:val="22"/>
          <w:szCs w:val="22"/>
          <w:lang w:val="en-US"/>
        </w:rPr>
        <w:t xml:space="preserve"> </w:t>
      </w:r>
      <w:r w:rsidRPr="001072F3">
        <w:rPr>
          <w:sz w:val="22"/>
          <w:szCs w:val="22"/>
          <w:lang w:val="en-US"/>
        </w:rPr>
        <w:t>CONCERNING THE CHARGING OF ELECTRIC VEHICLES</w:t>
      </w:r>
    </w:p>
    <w:p w:rsidR="00187503" w:rsidRPr="0070531E" w:rsidRDefault="00187503" w:rsidP="00187503">
      <w:pPr>
        <w:pStyle w:val="epchapo"/>
        <w:suppressAutoHyphens w:val="0"/>
        <w:spacing w:before="120" w:after="0"/>
        <w:jc w:val="both"/>
        <w:rPr>
          <w:sz w:val="22"/>
          <w:szCs w:val="22"/>
        </w:rPr>
      </w:pPr>
      <w:r w:rsidRPr="0070531E">
        <w:rPr>
          <w:sz w:val="22"/>
          <w:szCs w:val="22"/>
        </w:rPr>
        <w:t>Komisja Europejska opublikowała opisy modeli biznesowych, w oparciu o które będzie budowany jednolity rynek energii (</w:t>
      </w:r>
      <w:proofErr w:type="spellStart"/>
      <w:r w:rsidRPr="0070531E">
        <w:rPr>
          <w:sz w:val="22"/>
          <w:szCs w:val="22"/>
        </w:rPr>
        <w:t>European</w:t>
      </w:r>
      <w:proofErr w:type="spellEnd"/>
      <w:r w:rsidRPr="0070531E">
        <w:rPr>
          <w:sz w:val="22"/>
          <w:szCs w:val="22"/>
        </w:rPr>
        <w:t xml:space="preserve"> </w:t>
      </w:r>
      <w:proofErr w:type="spellStart"/>
      <w:r w:rsidRPr="0070531E">
        <w:rPr>
          <w:sz w:val="22"/>
          <w:szCs w:val="22"/>
        </w:rPr>
        <w:t>Commission</w:t>
      </w:r>
      <w:proofErr w:type="spellEnd"/>
      <w:r w:rsidRPr="0070531E">
        <w:rPr>
          <w:sz w:val="22"/>
          <w:szCs w:val="22"/>
        </w:rPr>
        <w:t xml:space="preserve"> Smart Grids </w:t>
      </w:r>
      <w:proofErr w:type="spellStart"/>
      <w:r w:rsidRPr="0070531E">
        <w:rPr>
          <w:sz w:val="22"/>
          <w:szCs w:val="22"/>
        </w:rPr>
        <w:t>Task</w:t>
      </w:r>
      <w:proofErr w:type="spellEnd"/>
      <w:r w:rsidRPr="0070531E">
        <w:rPr>
          <w:sz w:val="22"/>
          <w:szCs w:val="22"/>
        </w:rPr>
        <w:t xml:space="preserve"> </w:t>
      </w:r>
      <w:proofErr w:type="spellStart"/>
      <w:r w:rsidRPr="0070531E">
        <w:rPr>
          <w:sz w:val="22"/>
          <w:szCs w:val="22"/>
        </w:rPr>
        <w:t>Force</w:t>
      </w:r>
      <w:proofErr w:type="spellEnd"/>
      <w:r w:rsidRPr="0070531E">
        <w:rPr>
          <w:sz w:val="22"/>
          <w:szCs w:val="22"/>
        </w:rPr>
        <w:t xml:space="preserve"> EG3 BAU Market Model 15 </w:t>
      </w:r>
      <w:proofErr w:type="spellStart"/>
      <w:r w:rsidRPr="0070531E">
        <w:rPr>
          <w:sz w:val="22"/>
          <w:szCs w:val="22"/>
        </w:rPr>
        <w:t>June</w:t>
      </w:r>
      <w:proofErr w:type="spellEnd"/>
      <w:r w:rsidRPr="0070531E">
        <w:rPr>
          <w:sz w:val="22"/>
          <w:szCs w:val="22"/>
        </w:rPr>
        <w:t xml:space="preserve"> 2012). Proces przetwarzania tego modelu do postaci dyrekt</w:t>
      </w:r>
      <w:r w:rsidR="005C5AE5" w:rsidRPr="0070531E">
        <w:rPr>
          <w:sz w:val="22"/>
          <w:szCs w:val="22"/>
        </w:rPr>
        <w:t>yw już się rozpoczął i zgodnie z ogł</w:t>
      </w:r>
      <w:r w:rsidR="005C5AE5" w:rsidRPr="0070531E">
        <w:rPr>
          <w:sz w:val="22"/>
          <w:szCs w:val="22"/>
        </w:rPr>
        <w:t>o</w:t>
      </w:r>
      <w:r w:rsidR="005C5AE5" w:rsidRPr="0070531E">
        <w:rPr>
          <w:sz w:val="22"/>
          <w:szCs w:val="22"/>
        </w:rPr>
        <w:t>szoną polityką nowego kierownictwa K</w:t>
      </w:r>
      <w:r w:rsidR="008B5992" w:rsidRPr="0070531E">
        <w:rPr>
          <w:sz w:val="22"/>
          <w:szCs w:val="22"/>
        </w:rPr>
        <w:t xml:space="preserve">omisji </w:t>
      </w:r>
      <w:r w:rsidR="005C5AE5" w:rsidRPr="0070531E">
        <w:rPr>
          <w:sz w:val="22"/>
          <w:szCs w:val="22"/>
        </w:rPr>
        <w:t>E</w:t>
      </w:r>
      <w:r w:rsidR="008B5992" w:rsidRPr="0070531E">
        <w:rPr>
          <w:sz w:val="22"/>
          <w:szCs w:val="22"/>
        </w:rPr>
        <w:t>uropejskiej</w:t>
      </w:r>
      <w:r w:rsidR="005C5AE5" w:rsidRPr="0070531E">
        <w:rPr>
          <w:sz w:val="22"/>
          <w:szCs w:val="22"/>
        </w:rPr>
        <w:t>, będzie kontynuowany</w:t>
      </w:r>
      <w:r w:rsidR="008B5992" w:rsidRPr="0070531E">
        <w:rPr>
          <w:sz w:val="22"/>
          <w:szCs w:val="22"/>
        </w:rPr>
        <w:t>. Z</w:t>
      </w:r>
      <w:r w:rsidR="005C5AE5" w:rsidRPr="0070531E">
        <w:rPr>
          <w:sz w:val="22"/>
          <w:szCs w:val="22"/>
        </w:rPr>
        <w:t>atem specyfik</w:t>
      </w:r>
      <w:r w:rsidR="005C5AE5" w:rsidRPr="0070531E">
        <w:rPr>
          <w:sz w:val="22"/>
          <w:szCs w:val="22"/>
        </w:rPr>
        <w:t>a</w:t>
      </w:r>
      <w:r w:rsidR="005C5AE5" w:rsidRPr="0070531E">
        <w:rPr>
          <w:sz w:val="22"/>
          <w:szCs w:val="22"/>
        </w:rPr>
        <w:t xml:space="preserve">cja AMI powinna odnosić się do postulowanych modeli biznesowych. </w:t>
      </w:r>
      <w:r w:rsidR="005C5AE5" w:rsidRPr="0070531E">
        <w:rPr>
          <w:b/>
          <w:sz w:val="22"/>
          <w:szCs w:val="22"/>
        </w:rPr>
        <w:t>Jest to model otwarty na i</w:t>
      </w:r>
      <w:r w:rsidR="005C5AE5" w:rsidRPr="0070531E">
        <w:rPr>
          <w:b/>
          <w:sz w:val="22"/>
          <w:szCs w:val="22"/>
        </w:rPr>
        <w:t>n</w:t>
      </w:r>
      <w:r w:rsidR="005C5AE5" w:rsidRPr="0070531E">
        <w:rPr>
          <w:b/>
          <w:sz w:val="22"/>
          <w:szCs w:val="22"/>
        </w:rPr>
        <w:t>nych uczestników rynku</w:t>
      </w:r>
      <w:r w:rsidR="005C5AE5" w:rsidRPr="0070531E">
        <w:rPr>
          <w:sz w:val="22"/>
          <w:szCs w:val="22"/>
        </w:rPr>
        <w:t xml:space="preserve">, w szczególności na usługi teleinformatyczne i ESCO. </w:t>
      </w:r>
      <w:r w:rsidR="002A78DF" w:rsidRPr="0070531E">
        <w:rPr>
          <w:sz w:val="22"/>
          <w:szCs w:val="22"/>
        </w:rPr>
        <w:t>Pr</w:t>
      </w:r>
      <w:r w:rsidR="00271856" w:rsidRPr="0070531E">
        <w:rPr>
          <w:sz w:val="22"/>
          <w:szCs w:val="22"/>
        </w:rPr>
        <w:t xml:space="preserve">ojekt </w:t>
      </w:r>
      <w:r w:rsidR="008B5992" w:rsidRPr="0070531E">
        <w:rPr>
          <w:sz w:val="22"/>
          <w:szCs w:val="22"/>
        </w:rPr>
        <w:t>wypracow</w:t>
      </w:r>
      <w:r w:rsidR="008B5992" w:rsidRPr="0070531E">
        <w:rPr>
          <w:sz w:val="22"/>
          <w:szCs w:val="22"/>
        </w:rPr>
        <w:t>a</w:t>
      </w:r>
      <w:r w:rsidR="008B5992" w:rsidRPr="0070531E">
        <w:rPr>
          <w:sz w:val="22"/>
          <w:szCs w:val="22"/>
        </w:rPr>
        <w:t xml:space="preserve">ny przez Zespół WST AMI </w:t>
      </w:r>
      <w:r w:rsidR="00CE446A" w:rsidRPr="0070531E">
        <w:rPr>
          <w:sz w:val="22"/>
          <w:szCs w:val="22"/>
        </w:rPr>
        <w:t xml:space="preserve">nie </w:t>
      </w:r>
      <w:r w:rsidR="00B07775" w:rsidRPr="0070531E">
        <w:rPr>
          <w:sz w:val="22"/>
          <w:szCs w:val="22"/>
        </w:rPr>
        <w:t>uwzględnił</w:t>
      </w:r>
      <w:r w:rsidR="00271856" w:rsidRPr="0070531E">
        <w:rPr>
          <w:sz w:val="22"/>
          <w:szCs w:val="22"/>
        </w:rPr>
        <w:t xml:space="preserve"> modeli</w:t>
      </w:r>
      <w:r w:rsidR="004747A3" w:rsidRPr="0070531E">
        <w:rPr>
          <w:sz w:val="22"/>
          <w:szCs w:val="22"/>
        </w:rPr>
        <w:t xml:space="preserve"> opisanych w </w:t>
      </w:r>
      <w:r w:rsidR="00B07775" w:rsidRPr="0070531E">
        <w:rPr>
          <w:sz w:val="22"/>
          <w:szCs w:val="22"/>
        </w:rPr>
        <w:t>dokumentach opracowanych na po</w:t>
      </w:r>
      <w:r w:rsidR="00B07775" w:rsidRPr="0070531E">
        <w:rPr>
          <w:sz w:val="22"/>
          <w:szCs w:val="22"/>
        </w:rPr>
        <w:t>d</w:t>
      </w:r>
      <w:r w:rsidR="00B07775" w:rsidRPr="0070531E">
        <w:rPr>
          <w:sz w:val="22"/>
          <w:szCs w:val="22"/>
        </w:rPr>
        <w:t>stawie mandatów wymienionych powyżej, postulujących</w:t>
      </w:r>
      <w:r w:rsidR="004747A3" w:rsidRPr="0070531E">
        <w:rPr>
          <w:sz w:val="22"/>
          <w:szCs w:val="22"/>
        </w:rPr>
        <w:t xml:space="preserve"> </w:t>
      </w:r>
      <w:r w:rsidR="00B07775" w:rsidRPr="0070531E">
        <w:rPr>
          <w:sz w:val="22"/>
          <w:szCs w:val="22"/>
        </w:rPr>
        <w:t>stosowanie</w:t>
      </w:r>
      <w:r w:rsidR="004747A3" w:rsidRPr="0070531E">
        <w:rPr>
          <w:sz w:val="22"/>
          <w:szCs w:val="22"/>
        </w:rPr>
        <w:t xml:space="preserve"> architektu</w:t>
      </w:r>
      <w:r w:rsidR="00B07775" w:rsidRPr="0070531E">
        <w:rPr>
          <w:sz w:val="22"/>
          <w:szCs w:val="22"/>
        </w:rPr>
        <w:t>ry otwartej systemów</w:t>
      </w:r>
      <w:r w:rsidR="004747A3" w:rsidRPr="0070531E">
        <w:rPr>
          <w:sz w:val="22"/>
          <w:szCs w:val="22"/>
        </w:rPr>
        <w:t xml:space="preserve"> sieci inteligentnych i </w:t>
      </w:r>
      <w:r w:rsidR="00B07775" w:rsidRPr="0070531E">
        <w:rPr>
          <w:sz w:val="22"/>
          <w:szCs w:val="22"/>
        </w:rPr>
        <w:t xml:space="preserve">proponuje rozwiązania sprzyjające </w:t>
      </w:r>
      <w:r w:rsidR="004747A3" w:rsidRPr="0070531E">
        <w:rPr>
          <w:sz w:val="22"/>
          <w:szCs w:val="22"/>
        </w:rPr>
        <w:t xml:space="preserve">budowie tych sieci w oparciu </w:t>
      </w:r>
      <w:r w:rsidR="002A78DF" w:rsidRPr="0070531E">
        <w:rPr>
          <w:sz w:val="22"/>
          <w:szCs w:val="22"/>
        </w:rPr>
        <w:t>architektu</w:t>
      </w:r>
      <w:r w:rsidR="004747A3" w:rsidRPr="0070531E">
        <w:rPr>
          <w:sz w:val="22"/>
          <w:szCs w:val="22"/>
        </w:rPr>
        <w:t>rę</w:t>
      </w:r>
      <w:r w:rsidR="00B07775" w:rsidRPr="0070531E">
        <w:rPr>
          <w:sz w:val="22"/>
          <w:szCs w:val="22"/>
        </w:rPr>
        <w:t xml:space="preserve"> zamkniętą</w:t>
      </w:r>
      <w:r w:rsidR="002A78DF" w:rsidRPr="0070531E">
        <w:rPr>
          <w:sz w:val="22"/>
          <w:szCs w:val="22"/>
        </w:rPr>
        <w:t>.</w:t>
      </w:r>
    </w:p>
    <w:p w:rsidR="00F262AC" w:rsidRDefault="008D487F" w:rsidP="00FB33F1">
      <w:pPr>
        <w:pStyle w:val="epchapo"/>
        <w:suppressAutoHyphens w:val="0"/>
        <w:spacing w:before="120"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W dalszej pracy uważamy za celowe skorzystanie</w:t>
      </w:r>
      <w:r w:rsidR="00F262AC">
        <w:rPr>
          <w:sz w:val="22"/>
          <w:szCs w:val="22"/>
        </w:rPr>
        <w:t xml:space="preserve"> z następujących raportów ESO</w:t>
      </w:r>
      <w:r w:rsidR="008B5992">
        <w:rPr>
          <w:rStyle w:val="Odwoanieprzypisudolnego"/>
          <w:sz w:val="22"/>
          <w:szCs w:val="22"/>
        </w:rPr>
        <w:footnoteReference w:id="2"/>
      </w:r>
      <w:r w:rsidR="00F262AC">
        <w:rPr>
          <w:sz w:val="22"/>
          <w:szCs w:val="22"/>
        </w:rPr>
        <w:t xml:space="preserve"> opracowanych na podstawie mandatu M/490 EN</w:t>
      </w:r>
      <w:r w:rsidR="0090079A">
        <w:rPr>
          <w:sz w:val="22"/>
          <w:szCs w:val="22"/>
        </w:rPr>
        <w:t xml:space="preserve"> przez </w:t>
      </w:r>
      <w:proofErr w:type="spellStart"/>
      <w:r w:rsidR="0090079A" w:rsidRPr="0090079A">
        <w:rPr>
          <w:sz w:val="22"/>
          <w:szCs w:val="22"/>
        </w:rPr>
        <w:t>CEN-CENELEC-ETSI</w:t>
      </w:r>
      <w:proofErr w:type="spellEnd"/>
      <w:r w:rsidR="0090079A" w:rsidRPr="0090079A">
        <w:rPr>
          <w:sz w:val="22"/>
          <w:szCs w:val="22"/>
        </w:rPr>
        <w:t xml:space="preserve"> Smart </w:t>
      </w:r>
      <w:proofErr w:type="spellStart"/>
      <w:r w:rsidR="0090079A" w:rsidRPr="0090079A">
        <w:rPr>
          <w:sz w:val="22"/>
          <w:szCs w:val="22"/>
        </w:rPr>
        <w:t>Grid</w:t>
      </w:r>
      <w:proofErr w:type="spellEnd"/>
      <w:r w:rsidR="0090079A" w:rsidRPr="0090079A">
        <w:rPr>
          <w:sz w:val="22"/>
          <w:szCs w:val="22"/>
        </w:rPr>
        <w:t xml:space="preserve"> </w:t>
      </w:r>
      <w:proofErr w:type="spellStart"/>
      <w:r w:rsidR="0090079A" w:rsidRPr="0090079A">
        <w:rPr>
          <w:sz w:val="22"/>
          <w:szCs w:val="22"/>
        </w:rPr>
        <w:t>Coordination</w:t>
      </w:r>
      <w:proofErr w:type="spellEnd"/>
      <w:r w:rsidR="0090079A" w:rsidRPr="0090079A">
        <w:rPr>
          <w:sz w:val="22"/>
          <w:szCs w:val="22"/>
        </w:rPr>
        <w:t xml:space="preserve"> Group</w:t>
      </w:r>
      <w:r w:rsidR="00FD6DDD">
        <w:rPr>
          <w:sz w:val="22"/>
          <w:szCs w:val="22"/>
        </w:rPr>
        <w:t xml:space="preserve"> (w skrócie SC-CG)</w:t>
      </w:r>
      <w:r w:rsidR="00F262AC">
        <w:rPr>
          <w:sz w:val="22"/>
          <w:szCs w:val="22"/>
        </w:rPr>
        <w:t>, które odnoszą się bezpośrednio do tematyki Projektu:</w:t>
      </w:r>
    </w:p>
    <w:p w:rsidR="0090079A" w:rsidRDefault="0090079A" w:rsidP="00925B3C">
      <w:pPr>
        <w:pStyle w:val="epchapo"/>
        <w:numPr>
          <w:ilvl w:val="0"/>
          <w:numId w:val="18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925B3C">
        <w:rPr>
          <w:sz w:val="22"/>
          <w:szCs w:val="22"/>
          <w:lang w:val="en-US"/>
        </w:rPr>
        <w:t xml:space="preserve">SGCG/M490/A </w:t>
      </w:r>
      <w:r w:rsidRPr="0090079A">
        <w:rPr>
          <w:sz w:val="22"/>
          <w:szCs w:val="22"/>
          <w:lang w:val="en-US"/>
        </w:rPr>
        <w:t>– Framework Document</w:t>
      </w:r>
      <w:r w:rsidR="00925B3C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90079A">
        <w:rPr>
          <w:sz w:val="22"/>
          <w:szCs w:val="22"/>
          <w:lang w:val="en-US"/>
        </w:rPr>
        <w:t>November 2012</w:t>
      </w:r>
      <w:r w:rsidR="008B5992">
        <w:rPr>
          <w:sz w:val="22"/>
          <w:szCs w:val="22"/>
          <w:lang w:val="en-US"/>
        </w:rPr>
        <w:t>;</w:t>
      </w:r>
    </w:p>
    <w:p w:rsidR="00F262AC" w:rsidRDefault="0090079A" w:rsidP="00925B3C">
      <w:pPr>
        <w:pStyle w:val="epchapo"/>
        <w:numPr>
          <w:ilvl w:val="0"/>
          <w:numId w:val="18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925B3C">
        <w:rPr>
          <w:sz w:val="22"/>
          <w:szCs w:val="22"/>
          <w:lang w:val="en-US"/>
        </w:rPr>
        <w:t xml:space="preserve">SGCG/M490/B </w:t>
      </w:r>
      <w:r w:rsidR="00925B3C">
        <w:rPr>
          <w:sz w:val="22"/>
          <w:szCs w:val="22"/>
          <w:lang w:val="en-US"/>
        </w:rPr>
        <w:t xml:space="preserve">- </w:t>
      </w:r>
      <w:r w:rsidRPr="00925B3C">
        <w:rPr>
          <w:sz w:val="22"/>
          <w:szCs w:val="22"/>
          <w:lang w:val="en-US"/>
        </w:rPr>
        <w:t>Smart Grid Set of Standards</w:t>
      </w:r>
      <w:r w:rsidR="00925B3C">
        <w:rPr>
          <w:sz w:val="22"/>
          <w:szCs w:val="22"/>
          <w:lang w:val="en-US"/>
        </w:rPr>
        <w:t xml:space="preserve">, </w:t>
      </w:r>
      <w:r w:rsidR="00925B3C" w:rsidRPr="0090079A">
        <w:rPr>
          <w:sz w:val="22"/>
          <w:szCs w:val="22"/>
          <w:lang w:val="en-US"/>
        </w:rPr>
        <w:t>November 2012</w:t>
      </w:r>
      <w:r w:rsidR="008B5992">
        <w:rPr>
          <w:sz w:val="22"/>
          <w:szCs w:val="22"/>
          <w:lang w:val="en-US"/>
        </w:rPr>
        <w:t>;</w:t>
      </w:r>
    </w:p>
    <w:p w:rsidR="00925B3C" w:rsidRDefault="00925B3C" w:rsidP="00925B3C">
      <w:pPr>
        <w:pStyle w:val="epchapo"/>
        <w:numPr>
          <w:ilvl w:val="0"/>
          <w:numId w:val="18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925B3C">
        <w:rPr>
          <w:sz w:val="22"/>
          <w:szCs w:val="22"/>
          <w:lang w:val="en-US"/>
        </w:rPr>
        <w:t xml:space="preserve">SGCG/M490/C </w:t>
      </w:r>
      <w:r>
        <w:rPr>
          <w:sz w:val="22"/>
          <w:szCs w:val="22"/>
          <w:lang w:val="en-US"/>
        </w:rPr>
        <w:t xml:space="preserve">- </w:t>
      </w:r>
      <w:r w:rsidRPr="00925B3C">
        <w:rPr>
          <w:sz w:val="22"/>
          <w:szCs w:val="22"/>
          <w:lang w:val="en-US"/>
        </w:rPr>
        <w:t xml:space="preserve"> Smart Grid Reference Architecture</w:t>
      </w:r>
      <w:r>
        <w:rPr>
          <w:sz w:val="22"/>
          <w:szCs w:val="22"/>
          <w:lang w:val="en-US"/>
        </w:rPr>
        <w:t xml:space="preserve">, </w:t>
      </w:r>
      <w:r w:rsidRPr="0090079A">
        <w:rPr>
          <w:sz w:val="22"/>
          <w:szCs w:val="22"/>
          <w:lang w:val="en-US"/>
        </w:rPr>
        <w:t>November 2012</w:t>
      </w:r>
      <w:r w:rsidR="008B5992">
        <w:rPr>
          <w:sz w:val="22"/>
          <w:szCs w:val="22"/>
          <w:lang w:val="en-US"/>
        </w:rPr>
        <w:t>;</w:t>
      </w:r>
    </w:p>
    <w:p w:rsidR="00925B3C" w:rsidRPr="00FD6DDD" w:rsidRDefault="00925B3C" w:rsidP="00FD6DDD">
      <w:pPr>
        <w:pStyle w:val="epchapo"/>
        <w:numPr>
          <w:ilvl w:val="0"/>
          <w:numId w:val="18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271856">
        <w:rPr>
          <w:sz w:val="22"/>
          <w:szCs w:val="22"/>
          <w:lang w:val="en-US"/>
        </w:rPr>
        <w:t xml:space="preserve">SGCG/M490/D -  </w:t>
      </w:r>
      <w:r w:rsidR="00271856" w:rsidRPr="00271856">
        <w:rPr>
          <w:sz w:val="22"/>
          <w:szCs w:val="22"/>
          <w:lang w:val="en-US"/>
        </w:rPr>
        <w:t>Smart Grid Information Security</w:t>
      </w:r>
      <w:r w:rsidR="00FD6DDD">
        <w:rPr>
          <w:sz w:val="22"/>
          <w:szCs w:val="22"/>
          <w:lang w:val="en-US"/>
        </w:rPr>
        <w:t xml:space="preserve">, </w:t>
      </w:r>
      <w:r w:rsidR="00FD6DDD" w:rsidRPr="0090079A">
        <w:rPr>
          <w:sz w:val="22"/>
          <w:szCs w:val="22"/>
          <w:lang w:val="en-US"/>
        </w:rPr>
        <w:t>November 2012</w:t>
      </w:r>
      <w:r w:rsidR="008B5992">
        <w:rPr>
          <w:sz w:val="22"/>
          <w:szCs w:val="22"/>
          <w:lang w:val="en-US"/>
        </w:rPr>
        <w:t>;</w:t>
      </w:r>
    </w:p>
    <w:p w:rsidR="00FD6DDD" w:rsidRPr="00FD6DDD" w:rsidRDefault="00925B3C" w:rsidP="00FD6DDD">
      <w:pPr>
        <w:pStyle w:val="epchapo"/>
        <w:numPr>
          <w:ilvl w:val="0"/>
          <w:numId w:val="18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271856">
        <w:rPr>
          <w:sz w:val="22"/>
          <w:szCs w:val="22"/>
          <w:lang w:val="en-US"/>
        </w:rPr>
        <w:t xml:space="preserve">SGCG/M490/E -  </w:t>
      </w:r>
      <w:r w:rsidR="00FD6DDD" w:rsidRPr="00271856">
        <w:rPr>
          <w:sz w:val="22"/>
          <w:szCs w:val="22"/>
          <w:lang w:val="en-US"/>
        </w:rPr>
        <w:t>Sustainable Processes</w:t>
      </w:r>
      <w:r w:rsidR="00FD6DDD">
        <w:rPr>
          <w:sz w:val="22"/>
          <w:szCs w:val="22"/>
          <w:lang w:val="en-US"/>
        </w:rPr>
        <w:t xml:space="preserve">, </w:t>
      </w:r>
      <w:r w:rsidR="00FD6DDD" w:rsidRPr="0090079A">
        <w:rPr>
          <w:sz w:val="22"/>
          <w:szCs w:val="22"/>
          <w:lang w:val="en-US"/>
        </w:rPr>
        <w:t>November 2012</w:t>
      </w:r>
      <w:r w:rsidR="008B5992">
        <w:rPr>
          <w:sz w:val="22"/>
          <w:szCs w:val="22"/>
          <w:lang w:val="en-US"/>
        </w:rPr>
        <w:t>;</w:t>
      </w:r>
    </w:p>
    <w:p w:rsidR="00140AF4" w:rsidRDefault="00140AF4" w:rsidP="00140AF4">
      <w:pPr>
        <w:pStyle w:val="epchapo"/>
        <w:suppressAutoHyphens w:val="0"/>
        <w:spacing w:before="120" w:after="0"/>
        <w:jc w:val="both"/>
        <w:rPr>
          <w:sz w:val="22"/>
          <w:szCs w:val="22"/>
        </w:rPr>
      </w:pPr>
      <w:r w:rsidRPr="00E740F9">
        <w:rPr>
          <w:sz w:val="22"/>
          <w:szCs w:val="22"/>
        </w:rPr>
        <w:t xml:space="preserve">Propozycja powołania Zespołu </w:t>
      </w:r>
      <w:proofErr w:type="spellStart"/>
      <w:r w:rsidRPr="00E740F9">
        <w:rPr>
          <w:sz w:val="22"/>
          <w:szCs w:val="22"/>
        </w:rPr>
        <w:t>ds</w:t>
      </w:r>
      <w:proofErr w:type="spellEnd"/>
      <w:r w:rsidRPr="00E740F9">
        <w:rPr>
          <w:sz w:val="22"/>
          <w:szCs w:val="22"/>
        </w:rPr>
        <w:t xml:space="preserve"> SG jest </w:t>
      </w:r>
      <w:r>
        <w:rPr>
          <w:sz w:val="22"/>
          <w:szCs w:val="22"/>
        </w:rPr>
        <w:t xml:space="preserve">działaniem zgodnym z propozycjami celów wynikających potrzeby cyfryzacji infrastruktury, przemysłu i budowy e-gospodarki. Cele te przedłożyliśmy Radzie ds. Cyfryzacji przy </w:t>
      </w:r>
      <w:proofErr w:type="spellStart"/>
      <w:r>
        <w:rPr>
          <w:sz w:val="22"/>
          <w:szCs w:val="22"/>
        </w:rPr>
        <w:t>MAiC</w:t>
      </w:r>
      <w:proofErr w:type="spellEnd"/>
      <w:r>
        <w:rPr>
          <w:sz w:val="22"/>
          <w:szCs w:val="22"/>
        </w:rPr>
        <w:t xml:space="preserve"> (w załączeniu). Pracę tego Zespołu należy planować jako ciągłą, gdyż prace analogicznych zespołów na poziomie UE będą trwały jeszcze wiele lat. Poniżej przestawiamy listę dokumentów opublikowanych w styczniu 2015 roku, a stanowiące kontynuację i/lub aktualizację d</w:t>
      </w:r>
      <w:r>
        <w:rPr>
          <w:sz w:val="22"/>
          <w:szCs w:val="22"/>
        </w:rPr>
        <w:t>o</w:t>
      </w:r>
      <w:r>
        <w:rPr>
          <w:sz w:val="22"/>
          <w:szCs w:val="22"/>
        </w:rPr>
        <w:t>kumentów przedstawionych powyżej:</w:t>
      </w:r>
    </w:p>
    <w:p w:rsidR="00140AF4" w:rsidRPr="002541D1" w:rsidRDefault="00140AF4" w:rsidP="00140AF4">
      <w:pPr>
        <w:pStyle w:val="epchapo"/>
        <w:numPr>
          <w:ilvl w:val="0"/>
          <w:numId w:val="23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925B3C">
        <w:rPr>
          <w:sz w:val="22"/>
          <w:szCs w:val="22"/>
          <w:lang w:val="en-US"/>
        </w:rPr>
        <w:t>SGCG/M490/</w:t>
      </w:r>
      <w:r>
        <w:rPr>
          <w:sz w:val="22"/>
          <w:szCs w:val="22"/>
          <w:lang w:val="en-US"/>
        </w:rPr>
        <w:t>F</w:t>
      </w:r>
      <w:r w:rsidRPr="00925B3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- </w:t>
      </w:r>
      <w:r w:rsidRPr="00925B3C">
        <w:rPr>
          <w:sz w:val="22"/>
          <w:szCs w:val="22"/>
          <w:lang w:val="en-US"/>
        </w:rPr>
        <w:t xml:space="preserve"> </w:t>
      </w:r>
      <w:r w:rsidRPr="00FD6DDD">
        <w:rPr>
          <w:sz w:val="22"/>
          <w:szCs w:val="22"/>
          <w:lang w:val="en-US"/>
        </w:rPr>
        <w:t>Overview of SG-CG Methodologi</w:t>
      </w:r>
      <w:r>
        <w:rPr>
          <w:sz w:val="22"/>
          <w:szCs w:val="22"/>
          <w:lang w:val="en-US"/>
        </w:rPr>
        <w:t xml:space="preserve">es, </w:t>
      </w:r>
      <w:r w:rsidRPr="0090079A">
        <w:rPr>
          <w:sz w:val="22"/>
          <w:szCs w:val="22"/>
          <w:lang w:val="en-US"/>
        </w:rPr>
        <w:t>November 201</w:t>
      </w:r>
      <w:r>
        <w:rPr>
          <w:sz w:val="22"/>
          <w:szCs w:val="22"/>
          <w:lang w:val="en-US"/>
        </w:rPr>
        <w:t>4.</w:t>
      </w:r>
    </w:p>
    <w:p w:rsidR="00140AF4" w:rsidRPr="002541D1" w:rsidRDefault="00140AF4" w:rsidP="00140AF4">
      <w:pPr>
        <w:pStyle w:val="epchapo"/>
        <w:numPr>
          <w:ilvl w:val="0"/>
          <w:numId w:val="23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2541D1">
        <w:rPr>
          <w:sz w:val="22"/>
          <w:szCs w:val="22"/>
          <w:lang w:val="en-US"/>
        </w:rPr>
        <w:t xml:space="preserve"> SGCG/M490/G –  Smart Grid Set of Standards;</w:t>
      </w:r>
      <w:r>
        <w:rPr>
          <w:sz w:val="22"/>
          <w:szCs w:val="22"/>
          <w:lang w:val="en-US"/>
        </w:rPr>
        <w:t xml:space="preserve"> </w:t>
      </w:r>
      <w:r w:rsidRPr="002541D1">
        <w:rPr>
          <w:sz w:val="22"/>
          <w:szCs w:val="22"/>
          <w:lang w:val="en-US"/>
        </w:rPr>
        <w:t>October 31, 2014</w:t>
      </w:r>
    </w:p>
    <w:p w:rsidR="00140AF4" w:rsidRPr="002541D1" w:rsidRDefault="00140AF4" w:rsidP="00140AF4">
      <w:pPr>
        <w:pStyle w:val="epchapo"/>
        <w:numPr>
          <w:ilvl w:val="0"/>
          <w:numId w:val="23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2541D1">
        <w:rPr>
          <w:sz w:val="22"/>
          <w:szCs w:val="22"/>
          <w:lang w:val="en-US"/>
        </w:rPr>
        <w:t>SG-CG/M490/H  -  Smart Grid Information Security, December 2014;</w:t>
      </w:r>
    </w:p>
    <w:p w:rsidR="00140AF4" w:rsidRPr="00E500F6" w:rsidRDefault="00140AF4" w:rsidP="00140AF4">
      <w:pPr>
        <w:pStyle w:val="epchapo"/>
        <w:numPr>
          <w:ilvl w:val="0"/>
          <w:numId w:val="23"/>
        </w:numPr>
        <w:suppressAutoHyphens w:val="0"/>
        <w:spacing w:before="120" w:after="0"/>
        <w:rPr>
          <w:sz w:val="22"/>
          <w:szCs w:val="22"/>
          <w:lang w:val="en-US"/>
        </w:rPr>
      </w:pPr>
      <w:r w:rsidRPr="00E500F6">
        <w:rPr>
          <w:sz w:val="22"/>
          <w:szCs w:val="22"/>
          <w:lang w:val="en-US"/>
        </w:rPr>
        <w:t xml:space="preserve"> SG-CG/M490/I -  Smart Grid Interoperability (</w:t>
      </w:r>
      <w:proofErr w:type="spellStart"/>
      <w:r w:rsidRPr="00E500F6">
        <w:rPr>
          <w:sz w:val="22"/>
          <w:szCs w:val="22"/>
          <w:lang w:val="en-US"/>
        </w:rPr>
        <w:t>wraz</w:t>
      </w:r>
      <w:proofErr w:type="spellEnd"/>
      <w:r w:rsidRPr="00E500F6">
        <w:rPr>
          <w:sz w:val="22"/>
          <w:szCs w:val="22"/>
          <w:lang w:val="en-US"/>
        </w:rPr>
        <w:t xml:space="preserve"> z </w:t>
      </w:r>
      <w:proofErr w:type="spellStart"/>
      <w:r w:rsidRPr="00E500F6">
        <w:rPr>
          <w:sz w:val="22"/>
          <w:szCs w:val="22"/>
          <w:lang w:val="en-US"/>
        </w:rPr>
        <w:t>narzędziem</w:t>
      </w:r>
      <w:proofErr w:type="spellEnd"/>
      <w:r w:rsidRPr="00E500F6">
        <w:rPr>
          <w:sz w:val="22"/>
          <w:szCs w:val="22"/>
          <w:lang w:val="en-US"/>
        </w:rPr>
        <w:t xml:space="preserve"> SGCG</w:t>
      </w:r>
      <w:r>
        <w:rPr>
          <w:sz w:val="22"/>
          <w:szCs w:val="22"/>
          <w:lang w:val="en-US"/>
        </w:rPr>
        <w:t>_</w:t>
      </w:r>
      <w:r w:rsidRPr="00E500F6">
        <w:rPr>
          <w:sz w:val="22"/>
          <w:szCs w:val="22"/>
          <w:lang w:val="en-US"/>
        </w:rPr>
        <w:t>Interoperability_IOPtool.xlsx</w:t>
      </w:r>
      <w:r>
        <w:rPr>
          <w:sz w:val="22"/>
          <w:szCs w:val="22"/>
          <w:lang w:val="en-US"/>
        </w:rPr>
        <w:t>)</w:t>
      </w:r>
      <w:r w:rsidRPr="00E500F6">
        <w:rPr>
          <w:sz w:val="22"/>
          <w:szCs w:val="22"/>
          <w:lang w:val="en-US"/>
        </w:rPr>
        <w:t>, October 31, 2014;</w:t>
      </w:r>
    </w:p>
    <w:p w:rsidR="00140AF4" w:rsidRPr="002541D1" w:rsidRDefault="00140AF4" w:rsidP="00140AF4">
      <w:pPr>
        <w:pStyle w:val="epchapo"/>
        <w:numPr>
          <w:ilvl w:val="0"/>
          <w:numId w:val="23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E500F6">
        <w:rPr>
          <w:sz w:val="22"/>
          <w:szCs w:val="22"/>
          <w:lang w:val="en-US"/>
        </w:rPr>
        <w:t xml:space="preserve"> </w:t>
      </w:r>
      <w:r w:rsidRPr="002541D1">
        <w:rPr>
          <w:sz w:val="22"/>
          <w:szCs w:val="22"/>
          <w:lang w:val="en-US"/>
        </w:rPr>
        <w:t>SG-CG/M490/J - General Market Model Development - The conceptual model and its rel</w:t>
      </w:r>
      <w:r w:rsidRPr="002541D1">
        <w:rPr>
          <w:sz w:val="22"/>
          <w:szCs w:val="22"/>
          <w:lang w:val="en-US"/>
        </w:rPr>
        <w:t>a</w:t>
      </w:r>
      <w:r w:rsidRPr="002541D1">
        <w:rPr>
          <w:sz w:val="22"/>
          <w:szCs w:val="22"/>
          <w:lang w:val="en-US"/>
        </w:rPr>
        <w:t>tion to market models for Smart Grids, November 2014;</w:t>
      </w:r>
    </w:p>
    <w:p w:rsidR="00140AF4" w:rsidRPr="002541D1" w:rsidRDefault="00140AF4" w:rsidP="00140AF4">
      <w:pPr>
        <w:pStyle w:val="epchapo"/>
        <w:numPr>
          <w:ilvl w:val="0"/>
          <w:numId w:val="23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2541D1">
        <w:rPr>
          <w:sz w:val="22"/>
          <w:szCs w:val="22"/>
          <w:lang w:val="en-US"/>
        </w:rPr>
        <w:t>SG-CG/M490/K - SGAM usage and examples - SGAM User Manual - Applying, testing &amp; refining the Smart Grid Architecture Model (SGAM), November 2014;</w:t>
      </w:r>
    </w:p>
    <w:p w:rsidR="00140AF4" w:rsidRPr="002541D1" w:rsidRDefault="00140AF4" w:rsidP="00140AF4">
      <w:pPr>
        <w:pStyle w:val="epchapo"/>
        <w:numPr>
          <w:ilvl w:val="0"/>
          <w:numId w:val="23"/>
        </w:numPr>
        <w:suppressAutoHyphens w:val="0"/>
        <w:spacing w:before="120" w:after="0"/>
        <w:jc w:val="both"/>
        <w:rPr>
          <w:sz w:val="22"/>
          <w:szCs w:val="22"/>
          <w:lang w:val="en-US"/>
        </w:rPr>
      </w:pPr>
      <w:r w:rsidRPr="002541D1">
        <w:rPr>
          <w:sz w:val="22"/>
          <w:szCs w:val="22"/>
          <w:lang w:val="en-US"/>
        </w:rPr>
        <w:t>SG-CG/M490/L - Flexibility Management November 2014.</w:t>
      </w:r>
    </w:p>
    <w:p w:rsidR="00417246" w:rsidRDefault="0070531E" w:rsidP="00417246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W imieniu Zarządu Krajowej Izby Gospodarczej Elektroniki i Telekomunikacji</w:t>
      </w:r>
    </w:p>
    <w:p w:rsidR="0070531E" w:rsidRPr="00C8347E" w:rsidRDefault="0070531E" w:rsidP="00417246">
      <w:pPr>
        <w:pStyle w:val="Tekstpodstawowy"/>
        <w:spacing w:before="120"/>
        <w:rPr>
          <w:sz w:val="22"/>
          <w:szCs w:val="22"/>
        </w:rPr>
      </w:pPr>
    </w:p>
    <w:p w:rsidR="00497B4F" w:rsidRPr="00C8347E" w:rsidRDefault="008D4CB6" w:rsidP="0070531E">
      <w:pPr>
        <w:pStyle w:val="epchapo"/>
        <w:suppressAutoHyphens w:val="0"/>
        <w:spacing w:before="120" w:after="0"/>
        <w:rPr>
          <w:sz w:val="22"/>
          <w:szCs w:val="22"/>
        </w:rPr>
      </w:pPr>
      <w:r w:rsidRPr="00C8347E">
        <w:rPr>
          <w:sz w:val="22"/>
          <w:szCs w:val="22"/>
        </w:rPr>
        <w:t>Wiceprezes Zarządu</w:t>
      </w:r>
      <w:r w:rsidRPr="00C8347E">
        <w:rPr>
          <w:sz w:val="22"/>
          <w:szCs w:val="22"/>
        </w:rPr>
        <w:tab/>
      </w:r>
      <w:r w:rsidR="00DD76C0">
        <w:rPr>
          <w:sz w:val="22"/>
          <w:szCs w:val="22"/>
        </w:rPr>
        <w:tab/>
      </w:r>
      <w:r w:rsidR="00DD76C0">
        <w:rPr>
          <w:sz w:val="22"/>
          <w:szCs w:val="22"/>
        </w:rPr>
        <w:tab/>
      </w:r>
      <w:r w:rsidR="0070531E">
        <w:rPr>
          <w:sz w:val="22"/>
          <w:szCs w:val="22"/>
        </w:rPr>
        <w:tab/>
      </w:r>
      <w:r w:rsidR="0070531E">
        <w:rPr>
          <w:sz w:val="22"/>
          <w:szCs w:val="22"/>
        </w:rPr>
        <w:tab/>
      </w:r>
      <w:r w:rsidR="0070531E">
        <w:rPr>
          <w:sz w:val="22"/>
          <w:szCs w:val="22"/>
        </w:rPr>
        <w:tab/>
      </w:r>
      <w:r w:rsidR="0070531E">
        <w:rPr>
          <w:sz w:val="22"/>
          <w:szCs w:val="22"/>
        </w:rPr>
        <w:tab/>
      </w:r>
      <w:r w:rsidRPr="00C8347E">
        <w:rPr>
          <w:sz w:val="22"/>
          <w:szCs w:val="22"/>
        </w:rPr>
        <w:t>Prezes</w:t>
      </w:r>
      <w:r w:rsidR="00DD76C0">
        <w:rPr>
          <w:sz w:val="22"/>
          <w:szCs w:val="22"/>
        </w:rPr>
        <w:t xml:space="preserve"> </w:t>
      </w:r>
      <w:r w:rsidRPr="00C8347E">
        <w:rPr>
          <w:sz w:val="22"/>
          <w:szCs w:val="22"/>
        </w:rPr>
        <w:t>Zarządu</w:t>
      </w:r>
      <w:r w:rsidRPr="00C8347E">
        <w:rPr>
          <w:sz w:val="22"/>
          <w:szCs w:val="22"/>
        </w:rPr>
        <w:br/>
      </w:r>
      <w:r w:rsidRPr="00C8347E">
        <w:rPr>
          <w:sz w:val="22"/>
          <w:szCs w:val="22"/>
        </w:rPr>
        <w:br/>
      </w:r>
    </w:p>
    <w:p w:rsidR="008D4CB6" w:rsidRPr="00694CBE" w:rsidRDefault="008D4CB6" w:rsidP="0070531E">
      <w:pPr>
        <w:pStyle w:val="epchapo"/>
        <w:suppressAutoHyphens w:val="0"/>
        <w:spacing w:before="120" w:after="0"/>
        <w:rPr>
          <w:sz w:val="22"/>
          <w:szCs w:val="22"/>
        </w:rPr>
      </w:pPr>
      <w:r w:rsidRPr="00C8347E">
        <w:rPr>
          <w:sz w:val="22"/>
          <w:szCs w:val="22"/>
        </w:rPr>
        <w:lastRenderedPageBreak/>
        <w:t>Jarosław Tworóg</w:t>
      </w:r>
      <w:r w:rsidRPr="00C8347E">
        <w:rPr>
          <w:sz w:val="22"/>
          <w:szCs w:val="22"/>
        </w:rPr>
        <w:tab/>
      </w:r>
      <w:r w:rsidR="00DD76C0">
        <w:rPr>
          <w:sz w:val="22"/>
          <w:szCs w:val="22"/>
        </w:rPr>
        <w:tab/>
      </w:r>
      <w:r w:rsidR="00DD76C0">
        <w:rPr>
          <w:sz w:val="22"/>
          <w:szCs w:val="22"/>
        </w:rPr>
        <w:tab/>
      </w:r>
      <w:r w:rsidR="0070531E">
        <w:rPr>
          <w:sz w:val="22"/>
          <w:szCs w:val="22"/>
        </w:rPr>
        <w:tab/>
      </w:r>
      <w:r w:rsidR="0070531E">
        <w:rPr>
          <w:sz w:val="22"/>
          <w:szCs w:val="22"/>
        </w:rPr>
        <w:tab/>
      </w:r>
      <w:r w:rsidR="0070531E">
        <w:rPr>
          <w:sz w:val="22"/>
          <w:szCs w:val="22"/>
        </w:rPr>
        <w:tab/>
      </w:r>
      <w:r w:rsidR="00DD76C0">
        <w:rPr>
          <w:sz w:val="22"/>
          <w:szCs w:val="22"/>
        </w:rPr>
        <w:tab/>
      </w:r>
      <w:r w:rsidRPr="00C8347E">
        <w:rPr>
          <w:sz w:val="22"/>
          <w:szCs w:val="22"/>
        </w:rPr>
        <w:t>Stefan Kamiński</w:t>
      </w:r>
    </w:p>
    <w:sectPr w:rsidR="008D4CB6" w:rsidRPr="00694CBE" w:rsidSect="001F08B2">
      <w:type w:val="continuous"/>
      <w:pgSz w:w="11906" w:h="16838"/>
      <w:pgMar w:top="1418" w:right="1134" w:bottom="1418" w:left="1702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29" w:rsidRDefault="00683029">
      <w:r>
        <w:separator/>
      </w:r>
    </w:p>
  </w:endnote>
  <w:endnote w:type="continuationSeparator" w:id="0">
    <w:p w:rsidR="00683029" w:rsidRDefault="00683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BF" w:rsidRDefault="009478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41" w:rsidRDefault="00AC53B2">
    <w:pPr>
      <w:pStyle w:val="Stopka"/>
      <w:pBdr>
        <w:top w:val="single" w:sz="4" w:space="1" w:color="000000"/>
      </w:pBdr>
      <w:tabs>
        <w:tab w:val="clear" w:pos="9072"/>
      </w:tabs>
      <w:spacing w:line="360" w:lineRule="auto"/>
      <w:ind w:right="-853"/>
      <w:rPr>
        <w:sz w:val="18"/>
      </w:rPr>
    </w:pPr>
    <w:r w:rsidRPr="00AC53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5pt;margin-top:6.15pt;width:5.5pt;height:12.6pt;z-index:251657728;mso-wrap-distance-left:0;mso-wrap-distance-right:0;mso-position-horizontal-relative:page" stroked="f">
          <v:fill opacity="0" color2="black"/>
          <v:textbox inset="0,0,0,0">
            <w:txbxContent>
              <w:p w:rsidR="00313541" w:rsidRDefault="00AC53B2">
                <w:pPr>
                  <w:pStyle w:val="Stopka"/>
                </w:pPr>
                <w:r>
                  <w:rPr>
                    <w:rStyle w:val="Numerstrony"/>
                    <w:sz w:val="22"/>
                  </w:rPr>
                  <w:fldChar w:fldCharType="begin"/>
                </w:r>
                <w:r w:rsidR="00313541">
                  <w:rPr>
                    <w:rStyle w:val="Numerstrony"/>
                    <w:sz w:val="22"/>
                  </w:rPr>
                  <w:instrText xml:space="preserve"> PAGE </w:instrText>
                </w:r>
                <w:r>
                  <w:rPr>
                    <w:rStyle w:val="Numerstrony"/>
                    <w:sz w:val="22"/>
                  </w:rPr>
                  <w:fldChar w:fldCharType="separate"/>
                </w:r>
                <w:r w:rsidR="00445668">
                  <w:rPr>
                    <w:rStyle w:val="Numerstrony"/>
                    <w:noProof/>
                    <w:sz w:val="22"/>
                  </w:rPr>
                  <w:t>2</w:t>
                </w:r>
                <w:r>
                  <w:rPr>
                    <w:rStyle w:val="Numerstrony"/>
                    <w:sz w:val="22"/>
                  </w:rPr>
                  <w:fldChar w:fldCharType="end"/>
                </w:r>
                <w:r w:rsidR="009478BF">
                  <w:rPr>
                    <w:rStyle w:val="Numerstrony"/>
                    <w:sz w:val="22"/>
                  </w:rPr>
                  <w:t>/</w:t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41" w:rsidRDefault="00313541">
    <w:pPr>
      <w:pStyle w:val="Stopka"/>
      <w:pBdr>
        <w:top w:val="single" w:sz="4" w:space="4" w:color="000000"/>
      </w:pBdr>
      <w:tabs>
        <w:tab w:val="clear" w:pos="9072"/>
      </w:tabs>
      <w:ind w:left="-567" w:right="-567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ul.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Stępińska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22/30,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00-739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Warszawa,</w:t>
    </w:r>
    <w:r>
      <w:rPr>
        <w:rFonts w:ascii="Arial" w:eastAsia="Arial" w:hAnsi="Arial" w:cs="Arial"/>
        <w:sz w:val="18"/>
      </w:rPr>
      <w:t xml:space="preserve">  </w:t>
    </w:r>
    <w:r>
      <w:rPr>
        <w:rFonts w:ascii="Arial" w:hAnsi="Arial" w:cs="Arial"/>
        <w:sz w:val="18"/>
      </w:rPr>
      <w:t>tel.: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+48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22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8510309,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8406522,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fax: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+48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22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8510300,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e-mail:</w:t>
    </w:r>
    <w:r>
      <w:rPr>
        <w:rFonts w:ascii="Arial" w:eastAsia="Arial" w:hAnsi="Arial" w:cs="Arial"/>
        <w:sz w:val="18"/>
      </w:rPr>
      <w:t xml:space="preserve"> </w:t>
    </w:r>
    <w:r>
      <w:rPr>
        <w:rFonts w:ascii="Arial" w:hAnsi="Arial" w:cs="Arial"/>
        <w:sz w:val="18"/>
      </w:rPr>
      <w:t>kigeit@kigeit.org.pl</w:t>
    </w:r>
  </w:p>
  <w:p w:rsidR="00313541" w:rsidRDefault="00AC53B2">
    <w:pPr>
      <w:pStyle w:val="Stopka"/>
      <w:tabs>
        <w:tab w:val="center" w:pos="4111"/>
      </w:tabs>
      <w:ind w:left="-567" w:right="-567"/>
      <w:jc w:val="center"/>
      <w:rPr>
        <w:rFonts w:ascii="Arial" w:hAnsi="Arial" w:cs="Arial"/>
        <w:sz w:val="18"/>
      </w:rPr>
    </w:pPr>
    <w:hyperlink r:id="rId1" w:history="1">
      <w:r w:rsidR="00313541">
        <w:rPr>
          <w:rStyle w:val="Hipercze"/>
          <w:rFonts w:ascii="Arial" w:hAnsi="Arial"/>
        </w:rPr>
        <w:t>http://www.kigeit.org.pl</w:t>
      </w:r>
    </w:hyperlink>
    <w:r w:rsidR="00313541">
      <w:rPr>
        <w:rFonts w:ascii="Arial" w:hAnsi="Arial" w:cs="Arial"/>
        <w:sz w:val="18"/>
      </w:rPr>
      <w:t>;</w:t>
    </w:r>
    <w:r w:rsidR="00313541">
      <w:rPr>
        <w:rFonts w:ascii="Arial" w:eastAsia="Arial" w:hAnsi="Arial" w:cs="Arial"/>
        <w:sz w:val="18"/>
      </w:rPr>
      <w:t xml:space="preserve">  </w:t>
    </w:r>
    <w:r w:rsidR="00313541">
      <w:rPr>
        <w:rFonts w:ascii="Arial" w:hAnsi="Arial" w:cs="Arial"/>
        <w:sz w:val="18"/>
      </w:rPr>
      <w:t>NIP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526-00-29-121</w:t>
    </w:r>
    <w:r w:rsidR="00313541">
      <w:rPr>
        <w:rFonts w:ascii="Arial" w:eastAsia="Arial" w:hAnsi="Arial" w:cs="Arial"/>
        <w:sz w:val="18"/>
      </w:rPr>
      <w:t xml:space="preserve">  </w:t>
    </w:r>
    <w:r w:rsidR="00313541">
      <w:rPr>
        <w:rFonts w:ascii="Arial" w:hAnsi="Arial" w:cs="Arial"/>
        <w:sz w:val="18"/>
      </w:rPr>
      <w:t>Konto: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BNP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PARIBAS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O/Warszawa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nr: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52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1600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1374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0003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0052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2279</w:t>
    </w:r>
    <w:r w:rsidR="00313541">
      <w:rPr>
        <w:rFonts w:ascii="Arial" w:eastAsia="Arial" w:hAnsi="Arial" w:cs="Arial"/>
        <w:sz w:val="18"/>
      </w:rPr>
      <w:t xml:space="preserve"> </w:t>
    </w:r>
    <w:r w:rsidR="00313541">
      <w:rPr>
        <w:rFonts w:ascii="Arial" w:hAnsi="Arial" w:cs="Arial"/>
        <w:sz w:val="18"/>
      </w:rPr>
      <w:t>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29" w:rsidRDefault="00683029">
      <w:r>
        <w:separator/>
      </w:r>
    </w:p>
  </w:footnote>
  <w:footnote w:type="continuationSeparator" w:id="0">
    <w:p w:rsidR="00683029" w:rsidRDefault="00683029">
      <w:r>
        <w:continuationSeparator/>
      </w:r>
    </w:p>
  </w:footnote>
  <w:footnote w:id="1">
    <w:p w:rsidR="00381CFC" w:rsidRDefault="00381C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1CFC">
        <w:t>http://www.mg.gov.pl/files/MG_DE_stan_rzadu_COM_na_KSE.pdf</w:t>
      </w:r>
    </w:p>
  </w:footnote>
  <w:footnote w:id="2">
    <w:p w:rsidR="008B5992" w:rsidRDefault="008B59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992">
        <w:t>http://www.european-standardization-organizations.eu/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BF" w:rsidRDefault="009478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41" w:rsidRDefault="00313541">
    <w:pPr>
      <w:pStyle w:val="Nagwek"/>
      <w:pBdr>
        <w:bottom w:val="single" w:sz="4" w:space="10" w:color="000000"/>
      </w:pBdr>
      <w:tabs>
        <w:tab w:val="clear" w:pos="9072"/>
      </w:tabs>
      <w:ind w:left="-851" w:right="-852"/>
      <w:jc w:val="center"/>
      <w:rPr>
        <w:b/>
        <w:spacing w:val="20"/>
        <w:sz w:val="24"/>
        <w:szCs w:val="24"/>
      </w:rPr>
    </w:pPr>
    <w:r>
      <w:rPr>
        <w:b/>
        <w:spacing w:val="20"/>
        <w:sz w:val="24"/>
        <w:szCs w:val="24"/>
      </w:rPr>
      <w:t>Krajowa Izba Gospodarcza Elektroniki i Telekomunikacji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41" w:rsidRDefault="006F73BD">
    <w:pPr>
      <w:pStyle w:val="Nagwek"/>
      <w:tabs>
        <w:tab w:val="clear" w:pos="9072"/>
      </w:tabs>
      <w:jc w:val="center"/>
      <w:rPr>
        <w:sz w:val="26"/>
      </w:rPr>
    </w:pPr>
    <w:r>
      <w:rPr>
        <w:noProof/>
        <w:lang w:eastAsia="pl-PL"/>
      </w:rPr>
      <w:drawing>
        <wp:inline distT="0" distB="0" distL="0" distR="0">
          <wp:extent cx="1774825" cy="527050"/>
          <wp:effectExtent l="19050" t="19050" r="15875" b="254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27050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313541" w:rsidRDefault="00313541">
    <w:pPr>
      <w:pStyle w:val="Nagwek"/>
      <w:tabs>
        <w:tab w:val="clear" w:pos="9072"/>
      </w:tabs>
      <w:jc w:val="center"/>
      <w:rPr>
        <w:sz w:val="26"/>
      </w:rPr>
    </w:pPr>
  </w:p>
  <w:p w:rsidR="00313541" w:rsidRDefault="00313541">
    <w:pPr>
      <w:pStyle w:val="Nagwek"/>
      <w:pBdr>
        <w:bottom w:val="single" w:sz="4" w:space="10" w:color="000000"/>
      </w:pBdr>
      <w:tabs>
        <w:tab w:val="clear" w:pos="9072"/>
      </w:tabs>
      <w:ind w:left="-851" w:right="-852"/>
      <w:jc w:val="center"/>
      <w:rPr>
        <w:b/>
        <w:spacing w:val="20"/>
        <w:sz w:val="36"/>
      </w:rPr>
    </w:pPr>
    <w:r>
      <w:rPr>
        <w:b/>
        <w:spacing w:val="20"/>
        <w:sz w:val="36"/>
      </w:rPr>
      <w:t>Krajowa Izba Gospodarcza Elektroniki i Telekomunikacji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9AF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26" w:hanging="360"/>
      </w:pPr>
      <w:rPr>
        <w:rFonts w:ascii="Symbol" w:hAnsi="Symbol" w:cs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</w:abstractNum>
  <w:abstractNum w:abstractNumId="9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426"/>
        </w:tabs>
        <w:ind w:left="786" w:hanging="360"/>
      </w:pPr>
    </w:lvl>
  </w:abstractNum>
  <w:abstractNum w:abstractNumId="10">
    <w:nsid w:val="1110411A"/>
    <w:multiLevelType w:val="hybridMultilevel"/>
    <w:tmpl w:val="612C3370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7663B3"/>
    <w:multiLevelType w:val="hybridMultilevel"/>
    <w:tmpl w:val="BB7E8A9C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737C24"/>
    <w:multiLevelType w:val="hybridMultilevel"/>
    <w:tmpl w:val="A350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26E0D"/>
    <w:multiLevelType w:val="multilevel"/>
    <w:tmpl w:val="682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>
    <w:nsid w:val="29776583"/>
    <w:multiLevelType w:val="hybridMultilevel"/>
    <w:tmpl w:val="612C3370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CF280E"/>
    <w:multiLevelType w:val="hybridMultilevel"/>
    <w:tmpl w:val="1DDA9E84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DF1968"/>
    <w:multiLevelType w:val="hybridMultilevel"/>
    <w:tmpl w:val="612C3370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E33F32"/>
    <w:multiLevelType w:val="hybridMultilevel"/>
    <w:tmpl w:val="4EF22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73CA5"/>
    <w:multiLevelType w:val="hybridMultilevel"/>
    <w:tmpl w:val="8A0C65AE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2A22A7"/>
    <w:multiLevelType w:val="hybridMultilevel"/>
    <w:tmpl w:val="BB7E8A9C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B26F85"/>
    <w:multiLevelType w:val="hybridMultilevel"/>
    <w:tmpl w:val="BB7E8A9C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593538"/>
    <w:multiLevelType w:val="hybridMultilevel"/>
    <w:tmpl w:val="612C3370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006DFF"/>
    <w:multiLevelType w:val="hybridMultilevel"/>
    <w:tmpl w:val="612C3370"/>
    <w:lvl w:ilvl="0" w:tplc="D53AA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17"/>
  </w:num>
  <w:num w:numId="14">
    <w:abstractNumId w:val="22"/>
  </w:num>
  <w:num w:numId="15">
    <w:abstractNumId w:val="16"/>
  </w:num>
  <w:num w:numId="16">
    <w:abstractNumId w:val="15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1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mirrorMargins/>
  <w:proofState w:spelling="clean"/>
  <w:attachedTemplate r:id="rId1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964"/>
    <w:rsid w:val="000146DE"/>
    <w:rsid w:val="00016C02"/>
    <w:rsid w:val="000275C0"/>
    <w:rsid w:val="0004072B"/>
    <w:rsid w:val="000547BC"/>
    <w:rsid w:val="00083811"/>
    <w:rsid w:val="00095580"/>
    <w:rsid w:val="0009755B"/>
    <w:rsid w:val="000B5278"/>
    <w:rsid w:val="000E5DC2"/>
    <w:rsid w:val="000E7280"/>
    <w:rsid w:val="000F50E4"/>
    <w:rsid w:val="00101647"/>
    <w:rsid w:val="001072F3"/>
    <w:rsid w:val="0012550B"/>
    <w:rsid w:val="00140322"/>
    <w:rsid w:val="00140AF4"/>
    <w:rsid w:val="00143758"/>
    <w:rsid w:val="001501E1"/>
    <w:rsid w:val="00171D32"/>
    <w:rsid w:val="001851F4"/>
    <w:rsid w:val="00187503"/>
    <w:rsid w:val="00194853"/>
    <w:rsid w:val="001A1BFE"/>
    <w:rsid w:val="001C51C4"/>
    <w:rsid w:val="001D376A"/>
    <w:rsid w:val="001D3AAE"/>
    <w:rsid w:val="001E2397"/>
    <w:rsid w:val="001E530D"/>
    <w:rsid w:val="001F08B2"/>
    <w:rsid w:val="001F7731"/>
    <w:rsid w:val="00201A08"/>
    <w:rsid w:val="00204D56"/>
    <w:rsid w:val="00205888"/>
    <w:rsid w:val="002136D3"/>
    <w:rsid w:val="002209A9"/>
    <w:rsid w:val="00223139"/>
    <w:rsid w:val="0024053B"/>
    <w:rsid w:val="002517EB"/>
    <w:rsid w:val="00271856"/>
    <w:rsid w:val="002A2332"/>
    <w:rsid w:val="002A78DF"/>
    <w:rsid w:val="002D4B0D"/>
    <w:rsid w:val="002D6A8A"/>
    <w:rsid w:val="002E2FC3"/>
    <w:rsid w:val="002E3A37"/>
    <w:rsid w:val="002E4ACB"/>
    <w:rsid w:val="00313541"/>
    <w:rsid w:val="003168A5"/>
    <w:rsid w:val="003272A4"/>
    <w:rsid w:val="0032734C"/>
    <w:rsid w:val="003310BD"/>
    <w:rsid w:val="0035618A"/>
    <w:rsid w:val="00367AF3"/>
    <w:rsid w:val="00370BDA"/>
    <w:rsid w:val="00376E57"/>
    <w:rsid w:val="00381CFC"/>
    <w:rsid w:val="00394760"/>
    <w:rsid w:val="003A1444"/>
    <w:rsid w:val="003A5BC3"/>
    <w:rsid w:val="003C4CC5"/>
    <w:rsid w:val="003C6C16"/>
    <w:rsid w:val="003F5B30"/>
    <w:rsid w:val="003F76F0"/>
    <w:rsid w:val="00410A03"/>
    <w:rsid w:val="00414CC2"/>
    <w:rsid w:val="00417246"/>
    <w:rsid w:val="00437500"/>
    <w:rsid w:val="00445668"/>
    <w:rsid w:val="004747A3"/>
    <w:rsid w:val="004967A7"/>
    <w:rsid w:val="00497B4F"/>
    <w:rsid w:val="004A4264"/>
    <w:rsid w:val="004B5B82"/>
    <w:rsid w:val="004C0224"/>
    <w:rsid w:val="004D3625"/>
    <w:rsid w:val="00551E19"/>
    <w:rsid w:val="00553018"/>
    <w:rsid w:val="00567CE7"/>
    <w:rsid w:val="0057407B"/>
    <w:rsid w:val="00576253"/>
    <w:rsid w:val="00584A4D"/>
    <w:rsid w:val="00585D79"/>
    <w:rsid w:val="005A41D5"/>
    <w:rsid w:val="005C44D0"/>
    <w:rsid w:val="005C5AE5"/>
    <w:rsid w:val="005D4434"/>
    <w:rsid w:val="00600F68"/>
    <w:rsid w:val="00605A10"/>
    <w:rsid w:val="00605CCA"/>
    <w:rsid w:val="00626E24"/>
    <w:rsid w:val="00627EBC"/>
    <w:rsid w:val="006304E3"/>
    <w:rsid w:val="00635842"/>
    <w:rsid w:val="00652089"/>
    <w:rsid w:val="0066254D"/>
    <w:rsid w:val="00682A36"/>
    <w:rsid w:val="00683029"/>
    <w:rsid w:val="0068582B"/>
    <w:rsid w:val="00685E41"/>
    <w:rsid w:val="00693029"/>
    <w:rsid w:val="00694CBE"/>
    <w:rsid w:val="006A26DB"/>
    <w:rsid w:val="006B50B5"/>
    <w:rsid w:val="006F73BD"/>
    <w:rsid w:val="0070531E"/>
    <w:rsid w:val="0071260E"/>
    <w:rsid w:val="00712E18"/>
    <w:rsid w:val="00722523"/>
    <w:rsid w:val="00737CFA"/>
    <w:rsid w:val="0074593C"/>
    <w:rsid w:val="00751714"/>
    <w:rsid w:val="00753F0C"/>
    <w:rsid w:val="007573F6"/>
    <w:rsid w:val="00775A0D"/>
    <w:rsid w:val="007768BD"/>
    <w:rsid w:val="007779AB"/>
    <w:rsid w:val="007A2BFA"/>
    <w:rsid w:val="007D6BC8"/>
    <w:rsid w:val="007E06AD"/>
    <w:rsid w:val="007E3BB3"/>
    <w:rsid w:val="007E6740"/>
    <w:rsid w:val="007F3E5D"/>
    <w:rsid w:val="007F7649"/>
    <w:rsid w:val="00870DAC"/>
    <w:rsid w:val="00876831"/>
    <w:rsid w:val="00881F9F"/>
    <w:rsid w:val="00887990"/>
    <w:rsid w:val="008A0CF8"/>
    <w:rsid w:val="008B3A43"/>
    <w:rsid w:val="008B5992"/>
    <w:rsid w:val="008D0042"/>
    <w:rsid w:val="008D487F"/>
    <w:rsid w:val="008D4CB6"/>
    <w:rsid w:val="008F58AE"/>
    <w:rsid w:val="0090079A"/>
    <w:rsid w:val="0090293C"/>
    <w:rsid w:val="00906011"/>
    <w:rsid w:val="00907F1F"/>
    <w:rsid w:val="00925B3C"/>
    <w:rsid w:val="00927BDD"/>
    <w:rsid w:val="00927EF1"/>
    <w:rsid w:val="009461F0"/>
    <w:rsid w:val="009478BF"/>
    <w:rsid w:val="00953927"/>
    <w:rsid w:val="00954DD7"/>
    <w:rsid w:val="00955AC7"/>
    <w:rsid w:val="0096526B"/>
    <w:rsid w:val="00970373"/>
    <w:rsid w:val="00971ED1"/>
    <w:rsid w:val="00980836"/>
    <w:rsid w:val="009A03FA"/>
    <w:rsid w:val="009A2BC0"/>
    <w:rsid w:val="009B2464"/>
    <w:rsid w:val="009B5594"/>
    <w:rsid w:val="009C1A89"/>
    <w:rsid w:val="009D6378"/>
    <w:rsid w:val="009E6E10"/>
    <w:rsid w:val="009F653D"/>
    <w:rsid w:val="00A026FB"/>
    <w:rsid w:val="00A15F3F"/>
    <w:rsid w:val="00A320D7"/>
    <w:rsid w:val="00A32C4A"/>
    <w:rsid w:val="00A44942"/>
    <w:rsid w:val="00A5144F"/>
    <w:rsid w:val="00A84D88"/>
    <w:rsid w:val="00AA1A45"/>
    <w:rsid w:val="00AA37AE"/>
    <w:rsid w:val="00AB50E7"/>
    <w:rsid w:val="00AC1D8C"/>
    <w:rsid w:val="00AC53B2"/>
    <w:rsid w:val="00AD3CCC"/>
    <w:rsid w:val="00B07775"/>
    <w:rsid w:val="00B17B58"/>
    <w:rsid w:val="00B3073A"/>
    <w:rsid w:val="00B42B26"/>
    <w:rsid w:val="00B44BDE"/>
    <w:rsid w:val="00B51953"/>
    <w:rsid w:val="00B53286"/>
    <w:rsid w:val="00B65DB9"/>
    <w:rsid w:val="00B7270C"/>
    <w:rsid w:val="00B72988"/>
    <w:rsid w:val="00B750BD"/>
    <w:rsid w:val="00B77DC7"/>
    <w:rsid w:val="00B85484"/>
    <w:rsid w:val="00B8551D"/>
    <w:rsid w:val="00B91AC0"/>
    <w:rsid w:val="00BA5DCA"/>
    <w:rsid w:val="00BB3B1B"/>
    <w:rsid w:val="00BF502E"/>
    <w:rsid w:val="00C4201A"/>
    <w:rsid w:val="00C42964"/>
    <w:rsid w:val="00C45418"/>
    <w:rsid w:val="00C462AC"/>
    <w:rsid w:val="00C537BB"/>
    <w:rsid w:val="00C60860"/>
    <w:rsid w:val="00C61CD6"/>
    <w:rsid w:val="00C8347E"/>
    <w:rsid w:val="00C842B7"/>
    <w:rsid w:val="00C87341"/>
    <w:rsid w:val="00CA70B0"/>
    <w:rsid w:val="00CC17CE"/>
    <w:rsid w:val="00CE446A"/>
    <w:rsid w:val="00D051FF"/>
    <w:rsid w:val="00D14242"/>
    <w:rsid w:val="00D5019B"/>
    <w:rsid w:val="00D523C2"/>
    <w:rsid w:val="00D64D82"/>
    <w:rsid w:val="00D838F7"/>
    <w:rsid w:val="00D8679D"/>
    <w:rsid w:val="00D87544"/>
    <w:rsid w:val="00DA54CC"/>
    <w:rsid w:val="00DD051A"/>
    <w:rsid w:val="00DD76C0"/>
    <w:rsid w:val="00DE3356"/>
    <w:rsid w:val="00DF6AD3"/>
    <w:rsid w:val="00E0487D"/>
    <w:rsid w:val="00E069BE"/>
    <w:rsid w:val="00E12964"/>
    <w:rsid w:val="00E35767"/>
    <w:rsid w:val="00E423B1"/>
    <w:rsid w:val="00E740F9"/>
    <w:rsid w:val="00E779CF"/>
    <w:rsid w:val="00E77ACE"/>
    <w:rsid w:val="00EA5E86"/>
    <w:rsid w:val="00EC1A0B"/>
    <w:rsid w:val="00EC4C9A"/>
    <w:rsid w:val="00ED45F5"/>
    <w:rsid w:val="00EF416A"/>
    <w:rsid w:val="00EF542A"/>
    <w:rsid w:val="00EF60AA"/>
    <w:rsid w:val="00EF6DBA"/>
    <w:rsid w:val="00F262AC"/>
    <w:rsid w:val="00F34FD7"/>
    <w:rsid w:val="00F55819"/>
    <w:rsid w:val="00F668DD"/>
    <w:rsid w:val="00F72DFF"/>
    <w:rsid w:val="00F972E3"/>
    <w:rsid w:val="00F97C5A"/>
    <w:rsid w:val="00FA75A3"/>
    <w:rsid w:val="00FB33F1"/>
    <w:rsid w:val="00FB4A21"/>
    <w:rsid w:val="00FC150B"/>
    <w:rsid w:val="00FD253E"/>
    <w:rsid w:val="00FD6DDD"/>
    <w:rsid w:val="00FE2AD9"/>
    <w:rsid w:val="00FE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4F"/>
    <w:rPr>
      <w:lang w:eastAsia="zh-CN"/>
    </w:rPr>
  </w:style>
  <w:style w:type="paragraph" w:styleId="Nagwek1">
    <w:name w:val="heading 1"/>
    <w:basedOn w:val="Normalny"/>
    <w:next w:val="Normalny"/>
    <w:qFormat/>
    <w:rsid w:val="00497B4F"/>
    <w:pPr>
      <w:keepNext/>
      <w:numPr>
        <w:numId w:val="1"/>
      </w:numPr>
      <w:ind w:left="4820" w:firstLine="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97B4F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497B4F"/>
    <w:pPr>
      <w:keepNext/>
      <w:numPr>
        <w:ilvl w:val="2"/>
        <w:numId w:val="1"/>
      </w:numPr>
      <w:spacing w:before="24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97B4F"/>
    <w:rPr>
      <w:rFonts w:ascii="Symbol" w:hAnsi="Symbol" w:cs="Symbol"/>
    </w:rPr>
  </w:style>
  <w:style w:type="character" w:customStyle="1" w:styleId="WW8Num4z0">
    <w:name w:val="WW8Num4z0"/>
    <w:rsid w:val="00497B4F"/>
    <w:rPr>
      <w:rFonts w:ascii="Symbol" w:hAnsi="Symbol" w:cs="Symbol"/>
    </w:rPr>
  </w:style>
  <w:style w:type="character" w:customStyle="1" w:styleId="WW8Num4z1">
    <w:name w:val="WW8Num4z1"/>
    <w:rsid w:val="00497B4F"/>
    <w:rPr>
      <w:rFonts w:ascii="Courier New" w:hAnsi="Courier New" w:cs="Courier New"/>
    </w:rPr>
  </w:style>
  <w:style w:type="character" w:customStyle="1" w:styleId="WW8Num4z2">
    <w:name w:val="WW8Num4z2"/>
    <w:rsid w:val="00497B4F"/>
    <w:rPr>
      <w:rFonts w:ascii="Wingdings" w:hAnsi="Wingdings" w:cs="Wingdings"/>
    </w:rPr>
  </w:style>
  <w:style w:type="character" w:customStyle="1" w:styleId="WW8Num6z1">
    <w:name w:val="WW8Num6z1"/>
    <w:rsid w:val="00497B4F"/>
    <w:rPr>
      <w:rFonts w:ascii="Symbol" w:hAnsi="Symbol" w:cs="Symbol"/>
    </w:rPr>
  </w:style>
  <w:style w:type="character" w:customStyle="1" w:styleId="WW8Num12z0">
    <w:name w:val="WW8Num12z0"/>
    <w:rsid w:val="00497B4F"/>
    <w:rPr>
      <w:rFonts w:ascii="Symbol" w:hAnsi="Symbol" w:cs="Symbol"/>
    </w:rPr>
  </w:style>
  <w:style w:type="character" w:customStyle="1" w:styleId="WW8Num12z1">
    <w:name w:val="WW8Num12z1"/>
    <w:rsid w:val="00497B4F"/>
    <w:rPr>
      <w:rFonts w:ascii="OpenSymbol" w:hAnsi="OpenSymbol" w:cs="OpenSymbol"/>
    </w:rPr>
  </w:style>
  <w:style w:type="character" w:customStyle="1" w:styleId="WW8Num12z3">
    <w:name w:val="WW8Num12z3"/>
    <w:rsid w:val="00497B4F"/>
    <w:rPr>
      <w:rFonts w:ascii="Wingdings 2" w:hAnsi="Wingdings 2" w:cs="Symbol"/>
    </w:rPr>
  </w:style>
  <w:style w:type="character" w:customStyle="1" w:styleId="WW8Num13z1">
    <w:name w:val="WW8Num13z1"/>
    <w:rsid w:val="00497B4F"/>
    <w:rPr>
      <w:rFonts w:ascii="Courier New" w:hAnsi="Courier New" w:cs="Courier New"/>
    </w:rPr>
  </w:style>
  <w:style w:type="character" w:customStyle="1" w:styleId="WW8Num13z2">
    <w:name w:val="WW8Num13z2"/>
    <w:rsid w:val="00497B4F"/>
    <w:rPr>
      <w:rFonts w:ascii="Wingdings" w:hAnsi="Wingdings" w:cs="Wingdings"/>
    </w:rPr>
  </w:style>
  <w:style w:type="character" w:customStyle="1" w:styleId="WW8Num13z3">
    <w:name w:val="WW8Num13z3"/>
    <w:rsid w:val="00497B4F"/>
    <w:rPr>
      <w:rFonts w:ascii="Symbol" w:hAnsi="Symbol" w:cs="Symbol"/>
    </w:rPr>
  </w:style>
  <w:style w:type="character" w:customStyle="1" w:styleId="WW8Num14z0">
    <w:name w:val="WW8Num14z0"/>
    <w:rsid w:val="00497B4F"/>
    <w:rPr>
      <w:sz w:val="24"/>
      <w:u w:val="none"/>
    </w:rPr>
  </w:style>
  <w:style w:type="character" w:customStyle="1" w:styleId="WW8Num16z0">
    <w:name w:val="WW8Num16z0"/>
    <w:rsid w:val="00497B4F"/>
    <w:rPr>
      <w:rFonts w:ascii="Symbol" w:hAnsi="Symbol" w:cs="Symbol"/>
    </w:rPr>
  </w:style>
  <w:style w:type="character" w:customStyle="1" w:styleId="WW8Num16z1">
    <w:name w:val="WW8Num16z1"/>
    <w:rsid w:val="00497B4F"/>
    <w:rPr>
      <w:rFonts w:ascii="Courier New" w:hAnsi="Courier New" w:cs="Courier New"/>
    </w:rPr>
  </w:style>
  <w:style w:type="character" w:customStyle="1" w:styleId="WW8Num16z2">
    <w:name w:val="WW8Num16z2"/>
    <w:rsid w:val="00497B4F"/>
    <w:rPr>
      <w:rFonts w:ascii="Wingdings" w:hAnsi="Wingdings" w:cs="Wingdings"/>
    </w:rPr>
  </w:style>
  <w:style w:type="character" w:customStyle="1" w:styleId="Domylnaczcionkaakapitu1">
    <w:name w:val="Domyślna czcionka akapitu1"/>
    <w:rsid w:val="00497B4F"/>
  </w:style>
  <w:style w:type="character" w:styleId="Numerstrony">
    <w:name w:val="page number"/>
    <w:basedOn w:val="Domylnaczcionkaakapitu1"/>
    <w:rsid w:val="00497B4F"/>
  </w:style>
  <w:style w:type="character" w:styleId="Hipercze">
    <w:name w:val="Hyperlink"/>
    <w:rsid w:val="00497B4F"/>
    <w:rPr>
      <w:color w:val="0000FF"/>
      <w:u w:val="single"/>
    </w:rPr>
  </w:style>
  <w:style w:type="character" w:styleId="Pogrubienie">
    <w:name w:val="Strong"/>
    <w:qFormat/>
    <w:rsid w:val="00497B4F"/>
    <w:rPr>
      <w:rFonts w:ascii="inherit" w:hAnsi="inherit" w:cs="inherit"/>
      <w:b/>
      <w:bCs/>
      <w:position w:val="0"/>
      <w:sz w:val="24"/>
      <w:vertAlign w:val="baseline"/>
    </w:rPr>
  </w:style>
  <w:style w:type="character" w:customStyle="1" w:styleId="TekstprzypisudolnegoZnak">
    <w:name w:val="Tekst przypisu dolnego Znak"/>
    <w:basedOn w:val="Domylnaczcionkaakapitu1"/>
    <w:rsid w:val="00497B4F"/>
  </w:style>
  <w:style w:type="character" w:customStyle="1" w:styleId="Znakiprzypiswdolnych">
    <w:name w:val="Znaki przypisów dolnych"/>
    <w:rsid w:val="00497B4F"/>
    <w:rPr>
      <w:vertAlign w:val="superscript"/>
    </w:rPr>
  </w:style>
  <w:style w:type="character" w:customStyle="1" w:styleId="TekstdymkaZnak">
    <w:name w:val="Tekst dymka Znak"/>
    <w:rsid w:val="00497B4F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497B4F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97B4F"/>
  </w:style>
  <w:style w:type="character" w:customStyle="1" w:styleId="TematkomentarzaZnak">
    <w:name w:val="Temat komentarza Znak"/>
    <w:rsid w:val="00497B4F"/>
    <w:rPr>
      <w:b/>
      <w:bCs/>
    </w:rPr>
  </w:style>
  <w:style w:type="character" w:styleId="Odwoanieprzypisudolnego">
    <w:name w:val="footnote reference"/>
    <w:rsid w:val="00497B4F"/>
    <w:rPr>
      <w:vertAlign w:val="superscript"/>
    </w:rPr>
  </w:style>
  <w:style w:type="character" w:styleId="Odwoanieprzypisukocowego">
    <w:name w:val="endnote reference"/>
    <w:rsid w:val="00497B4F"/>
    <w:rPr>
      <w:vertAlign w:val="superscript"/>
    </w:rPr>
  </w:style>
  <w:style w:type="character" w:customStyle="1" w:styleId="Znakiprzypiswkocowych">
    <w:name w:val="Znaki przypisów końcowych"/>
    <w:rsid w:val="00497B4F"/>
  </w:style>
  <w:style w:type="paragraph" w:customStyle="1" w:styleId="Nagwek10">
    <w:name w:val="Nagłówek1"/>
    <w:basedOn w:val="Normalny"/>
    <w:next w:val="Tekstpodstawowy"/>
    <w:rsid w:val="00497B4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97B4F"/>
    <w:pPr>
      <w:jc w:val="both"/>
    </w:pPr>
    <w:rPr>
      <w:sz w:val="24"/>
    </w:rPr>
  </w:style>
  <w:style w:type="paragraph" w:styleId="Lista">
    <w:name w:val="List"/>
    <w:basedOn w:val="Tekstpodstawowy"/>
    <w:rsid w:val="00497B4F"/>
    <w:rPr>
      <w:rFonts w:cs="Mangal"/>
    </w:rPr>
  </w:style>
  <w:style w:type="paragraph" w:styleId="Legenda">
    <w:name w:val="caption"/>
    <w:basedOn w:val="Normalny"/>
    <w:qFormat/>
    <w:rsid w:val="00497B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97B4F"/>
    <w:pPr>
      <w:suppressLineNumbers/>
    </w:pPr>
    <w:rPr>
      <w:rFonts w:cs="Mangal"/>
    </w:rPr>
  </w:style>
  <w:style w:type="paragraph" w:styleId="Nagwek">
    <w:name w:val="header"/>
    <w:basedOn w:val="Normalny"/>
    <w:rsid w:val="00497B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7B4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97B4F"/>
    <w:rPr>
      <w:sz w:val="24"/>
    </w:rPr>
  </w:style>
  <w:style w:type="paragraph" w:customStyle="1" w:styleId="Tekstpodstawowywcity21">
    <w:name w:val="Tekst podstawowy wcięty 21"/>
    <w:basedOn w:val="Normalny"/>
    <w:rsid w:val="00497B4F"/>
    <w:pPr>
      <w:spacing w:before="240" w:line="240" w:lineRule="atLeast"/>
      <w:ind w:left="344"/>
      <w:jc w:val="both"/>
    </w:pPr>
    <w:rPr>
      <w:sz w:val="24"/>
    </w:rPr>
  </w:style>
  <w:style w:type="paragraph" w:styleId="Tekstpodstawowywcity">
    <w:name w:val="Body Text Indent"/>
    <w:basedOn w:val="Normalny"/>
    <w:rsid w:val="00497B4F"/>
    <w:pPr>
      <w:ind w:firstLine="709"/>
      <w:jc w:val="both"/>
    </w:pPr>
    <w:rPr>
      <w:i/>
      <w:sz w:val="24"/>
    </w:rPr>
  </w:style>
  <w:style w:type="paragraph" w:customStyle="1" w:styleId="Nazwiskoodbiorcy">
    <w:name w:val="Nazwisko odbiorcy"/>
    <w:basedOn w:val="Normalny"/>
    <w:rsid w:val="00497B4F"/>
    <w:rPr>
      <w:sz w:val="24"/>
      <w:szCs w:val="24"/>
    </w:rPr>
  </w:style>
  <w:style w:type="paragraph" w:customStyle="1" w:styleId="Adresodbiorcy">
    <w:name w:val="Adres odbiorcy"/>
    <w:basedOn w:val="Normalny"/>
    <w:rsid w:val="00497B4F"/>
    <w:rPr>
      <w:sz w:val="24"/>
      <w:szCs w:val="24"/>
    </w:rPr>
  </w:style>
  <w:style w:type="paragraph" w:customStyle="1" w:styleId="Zwrotpoegnalny1">
    <w:name w:val="Zwrot pożegnalny1"/>
    <w:basedOn w:val="Normalny"/>
    <w:rsid w:val="00497B4F"/>
    <w:rPr>
      <w:sz w:val="24"/>
      <w:szCs w:val="24"/>
    </w:rPr>
  </w:style>
  <w:style w:type="paragraph" w:styleId="Podpis">
    <w:name w:val="Signature"/>
    <w:basedOn w:val="Normalny"/>
    <w:rsid w:val="00497B4F"/>
    <w:rPr>
      <w:sz w:val="24"/>
      <w:szCs w:val="24"/>
    </w:rPr>
  </w:style>
  <w:style w:type="paragraph" w:customStyle="1" w:styleId="Podpis-Stanowisko">
    <w:name w:val="Podpis - Stanowisko"/>
    <w:basedOn w:val="Podpis"/>
    <w:rsid w:val="00497B4F"/>
  </w:style>
  <w:style w:type="paragraph" w:customStyle="1" w:styleId="Zwrotgrzecznociowy1">
    <w:name w:val="Zwrot grzecznościowy1"/>
    <w:basedOn w:val="Normalny"/>
    <w:next w:val="Normalny"/>
    <w:rsid w:val="00497B4F"/>
    <w:rPr>
      <w:sz w:val="24"/>
      <w:szCs w:val="24"/>
    </w:rPr>
  </w:style>
  <w:style w:type="paragraph" w:customStyle="1" w:styleId="epchapo">
    <w:name w:val="ep_chapo"/>
    <w:basedOn w:val="Normalny"/>
    <w:rsid w:val="00497B4F"/>
    <w:pPr>
      <w:suppressAutoHyphens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rsid w:val="00497B4F"/>
  </w:style>
  <w:style w:type="paragraph" w:styleId="Tekstdymka">
    <w:name w:val="Balloon Text"/>
    <w:basedOn w:val="Normalny"/>
    <w:rsid w:val="00497B4F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497B4F"/>
  </w:style>
  <w:style w:type="paragraph" w:styleId="Tematkomentarza">
    <w:name w:val="annotation subject"/>
    <w:basedOn w:val="Tekstkomentarza1"/>
    <w:next w:val="Tekstkomentarza1"/>
    <w:rsid w:val="00497B4F"/>
    <w:rPr>
      <w:b/>
      <w:bCs/>
    </w:rPr>
  </w:style>
  <w:style w:type="paragraph" w:customStyle="1" w:styleId="Zawartoramki">
    <w:name w:val="Zawartość ramki"/>
    <w:basedOn w:val="Tekstpodstawowy"/>
    <w:rsid w:val="00497B4F"/>
  </w:style>
  <w:style w:type="character" w:styleId="Odwoaniedokomentarza">
    <w:name w:val="annotation reference"/>
    <w:uiPriority w:val="99"/>
    <w:semiHidden/>
    <w:unhideWhenUsed/>
    <w:rsid w:val="00626E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26E24"/>
  </w:style>
  <w:style w:type="character" w:customStyle="1" w:styleId="TekstkomentarzaZnak1">
    <w:name w:val="Tekst komentarza Znak1"/>
    <w:link w:val="Tekstkomentarza"/>
    <w:uiPriority w:val="99"/>
    <w:semiHidden/>
    <w:rsid w:val="00626E24"/>
    <w:rPr>
      <w:lang w:eastAsia="zh-CN"/>
    </w:rPr>
  </w:style>
  <w:style w:type="paragraph" w:customStyle="1" w:styleId="Default">
    <w:name w:val="Default"/>
    <w:rsid w:val="00DA5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geit.org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Dok_zg&#322;oszeniowe\Papier%20firmowy%20SDFUR%20KIGE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7E304-9A15-4A80-9D98-224EC88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SDFUR KIGEiT</Template>
  <TotalTime>8</TotalTime>
  <Pages>4</Pages>
  <Words>1440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</vt:lpstr>
      <vt:lpstr>Warszawa, dn</vt:lpstr>
    </vt:vector>
  </TitlesOfParts>
  <Company>KIGEIT</Company>
  <LinksUpToDate>false</LinksUpToDate>
  <CharactersWithSpaces>10061</CharactersWithSpaces>
  <SharedDoc>false</SharedDoc>
  <HLinks>
    <vt:vector size="6" baseType="variant"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http://www.kigeit.org.pl/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monika</dc:creator>
  <cp:keywords/>
  <cp:lastModifiedBy>Stefan Kamiński</cp:lastModifiedBy>
  <cp:revision>3</cp:revision>
  <cp:lastPrinted>2013-06-18T17:18:00Z</cp:lastPrinted>
  <dcterms:created xsi:type="dcterms:W3CDTF">2015-01-31T21:21:00Z</dcterms:created>
  <dcterms:modified xsi:type="dcterms:W3CDTF">2015-01-31T21:24:00Z</dcterms:modified>
</cp:coreProperties>
</file>