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F18F" w14:textId="77777777" w:rsidR="00B03963" w:rsidRPr="00B03963" w:rsidRDefault="00B03963" w:rsidP="00B0396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5"/>
        <w:gridCol w:w="5559"/>
        <w:gridCol w:w="2234"/>
        <w:gridCol w:w="807"/>
        <w:gridCol w:w="2247"/>
        <w:gridCol w:w="1976"/>
      </w:tblGrid>
      <w:tr w:rsidR="00AC2F95" w:rsidRPr="00B03963" w14:paraId="034878EB" w14:textId="77777777" w:rsidTr="00AC2F95">
        <w:trPr>
          <w:tblCellSpacing w:w="15" w:type="dxa"/>
        </w:trPr>
        <w:tc>
          <w:tcPr>
            <w:tcW w:w="2165"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3D3D04F8"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TYTUŁ PROJEKTU</w:t>
            </w:r>
          </w:p>
        </w:tc>
        <w:tc>
          <w:tcPr>
            <w:tcW w:w="2803" w:type="pct"/>
            <w:gridSpan w:val="4"/>
            <w:tcBorders>
              <w:top w:val="outset" w:sz="6" w:space="0" w:color="auto"/>
              <w:left w:val="outset" w:sz="6" w:space="0" w:color="auto"/>
              <w:bottom w:val="outset" w:sz="6" w:space="0" w:color="auto"/>
              <w:right w:val="outset" w:sz="6" w:space="0" w:color="auto"/>
            </w:tcBorders>
            <w:vAlign w:val="center"/>
            <w:hideMark/>
          </w:tcPr>
          <w:p w14:paraId="68F4680C" w14:textId="7D838326" w:rsidR="00B03963" w:rsidRPr="00CC314E" w:rsidRDefault="009A53E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03AA8" w:rsidRPr="00CC314E">
              <w:rPr>
                <w:rFonts w:ascii="Times New Roman" w:eastAsia="Times New Roman" w:hAnsi="Times New Roman" w:cs="Times New Roman"/>
                <w:sz w:val="24"/>
                <w:szCs w:val="24"/>
                <w:lang w:eastAsia="pl-PL"/>
              </w:rPr>
              <w:t>staw</w:t>
            </w:r>
            <w:r>
              <w:rPr>
                <w:rFonts w:ascii="Times New Roman" w:eastAsia="Times New Roman" w:hAnsi="Times New Roman" w:cs="Times New Roman"/>
                <w:sz w:val="24"/>
                <w:szCs w:val="24"/>
                <w:lang w:eastAsia="pl-PL"/>
              </w:rPr>
              <w:t>a</w:t>
            </w:r>
            <w:r w:rsidR="00303AA8" w:rsidRPr="00CC314E">
              <w:rPr>
                <w:rFonts w:ascii="Times New Roman" w:eastAsia="Times New Roman" w:hAnsi="Times New Roman" w:cs="Times New Roman"/>
                <w:sz w:val="24"/>
                <w:szCs w:val="24"/>
                <w:lang w:eastAsia="pl-PL"/>
              </w:rPr>
              <w:t xml:space="preserve"> </w:t>
            </w:r>
            <w:r w:rsidR="00303AA8" w:rsidRPr="00CC314E">
              <w:rPr>
                <w:rFonts w:ascii="Times New Roman" w:hAnsi="Times New Roman" w:cs="Times New Roman"/>
                <w:sz w:val="24"/>
                <w:szCs w:val="24"/>
              </w:rPr>
              <w:t>o zmianie ustawy o świadczeniu usług drogą elektroniczną oraz niektórych innych ustaw</w:t>
            </w:r>
          </w:p>
        </w:tc>
      </w:tr>
      <w:tr w:rsidR="00AC2F95" w:rsidRPr="00B03963" w14:paraId="2191CA47" w14:textId="77777777" w:rsidTr="00AC2F95">
        <w:trPr>
          <w:tblCellSpacing w:w="15" w:type="dxa"/>
        </w:trPr>
        <w:tc>
          <w:tcPr>
            <w:tcW w:w="2165"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0E5379B5"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TYTUŁ WDRAŻANEGO AKTU PRAWNEGO / WDRAŻANYCH AKTÓW PRAWNYCH</w:t>
            </w:r>
          </w:p>
        </w:tc>
        <w:tc>
          <w:tcPr>
            <w:tcW w:w="2803" w:type="pct"/>
            <w:gridSpan w:val="4"/>
            <w:tcBorders>
              <w:top w:val="outset" w:sz="6" w:space="0" w:color="auto"/>
              <w:left w:val="outset" w:sz="6" w:space="0" w:color="auto"/>
              <w:bottom w:val="outset" w:sz="6" w:space="0" w:color="auto"/>
              <w:right w:val="outset" w:sz="6" w:space="0" w:color="auto"/>
            </w:tcBorders>
            <w:vAlign w:val="center"/>
            <w:hideMark/>
          </w:tcPr>
          <w:p w14:paraId="51F79166" w14:textId="6F36F01B" w:rsidR="00B03963" w:rsidRPr="00B03963" w:rsidRDefault="00303AA8" w:rsidP="00DC62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w:t>
            </w:r>
            <w:r w:rsidRPr="00B03963">
              <w:rPr>
                <w:rFonts w:ascii="Times New Roman" w:eastAsia="Times New Roman" w:hAnsi="Times New Roman" w:cs="Times New Roman"/>
                <w:b/>
                <w:bCs/>
                <w:sz w:val="24"/>
                <w:szCs w:val="24"/>
                <w:lang w:eastAsia="pl-PL"/>
              </w:rPr>
              <w:t xml:space="preserve">ozporządzenie Parlamentu Europejskiego </w:t>
            </w:r>
            <w:r>
              <w:rPr>
                <w:rFonts w:ascii="Times New Roman" w:eastAsia="Times New Roman" w:hAnsi="Times New Roman" w:cs="Times New Roman"/>
                <w:b/>
                <w:bCs/>
                <w:sz w:val="24"/>
                <w:szCs w:val="24"/>
                <w:lang w:eastAsia="pl-PL"/>
              </w:rPr>
              <w:t>i</w:t>
            </w:r>
            <w:r w:rsidRPr="00B03963">
              <w:rPr>
                <w:rFonts w:ascii="Times New Roman" w:eastAsia="Times New Roman" w:hAnsi="Times New Roman" w:cs="Times New Roman"/>
                <w:b/>
                <w:bCs/>
                <w:sz w:val="24"/>
                <w:szCs w:val="24"/>
                <w:lang w:eastAsia="pl-PL"/>
              </w:rPr>
              <w:t> Rady (U</w:t>
            </w:r>
            <w:r w:rsidR="00CC314E">
              <w:rPr>
                <w:rFonts w:ascii="Times New Roman" w:eastAsia="Times New Roman" w:hAnsi="Times New Roman" w:cs="Times New Roman"/>
                <w:b/>
                <w:bCs/>
                <w:sz w:val="24"/>
                <w:szCs w:val="24"/>
                <w:lang w:eastAsia="pl-PL"/>
              </w:rPr>
              <w:t>E</w:t>
            </w:r>
            <w:r w:rsidRPr="00B03963">
              <w:rPr>
                <w:rFonts w:ascii="Times New Roman" w:eastAsia="Times New Roman" w:hAnsi="Times New Roman" w:cs="Times New Roman"/>
                <w:b/>
                <w:bCs/>
                <w:sz w:val="24"/>
                <w:szCs w:val="24"/>
                <w:lang w:eastAsia="pl-PL"/>
              </w:rPr>
              <w:t xml:space="preserve">) 2022/2065 </w:t>
            </w:r>
            <w:r>
              <w:rPr>
                <w:rFonts w:ascii="Times New Roman" w:eastAsia="Times New Roman" w:hAnsi="Times New Roman" w:cs="Times New Roman"/>
                <w:b/>
                <w:bCs/>
                <w:sz w:val="24"/>
                <w:szCs w:val="24"/>
                <w:lang w:eastAsia="pl-PL"/>
              </w:rPr>
              <w:t>z</w:t>
            </w:r>
            <w:r w:rsidRPr="00B03963">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d</w:t>
            </w:r>
            <w:r w:rsidRPr="00B03963">
              <w:rPr>
                <w:rFonts w:ascii="Times New Roman" w:eastAsia="Times New Roman" w:hAnsi="Times New Roman" w:cs="Times New Roman"/>
                <w:b/>
                <w:bCs/>
                <w:sz w:val="24"/>
                <w:szCs w:val="24"/>
                <w:lang w:eastAsia="pl-PL"/>
              </w:rPr>
              <w:t>nia 19 Października 2022 </w:t>
            </w:r>
            <w:r w:rsidR="009A53E2">
              <w:rPr>
                <w:rFonts w:ascii="Times New Roman" w:eastAsia="Times New Roman" w:hAnsi="Times New Roman" w:cs="Times New Roman"/>
                <w:b/>
                <w:bCs/>
                <w:sz w:val="24"/>
                <w:szCs w:val="24"/>
                <w:lang w:eastAsia="pl-PL"/>
              </w:rPr>
              <w:t>r</w:t>
            </w:r>
            <w:r w:rsidRPr="00B0396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w:t>
            </w:r>
            <w:r w:rsidRPr="00B03963">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s</w:t>
            </w:r>
            <w:r w:rsidRPr="00B03963">
              <w:rPr>
                <w:rFonts w:ascii="Times New Roman" w:eastAsia="Times New Roman" w:hAnsi="Times New Roman" w:cs="Times New Roman"/>
                <w:b/>
                <w:bCs/>
                <w:sz w:val="24"/>
                <w:szCs w:val="24"/>
                <w:lang w:eastAsia="pl-PL"/>
              </w:rPr>
              <w:t xml:space="preserve">prawie </w:t>
            </w:r>
            <w:r>
              <w:rPr>
                <w:rFonts w:ascii="Times New Roman" w:eastAsia="Times New Roman" w:hAnsi="Times New Roman" w:cs="Times New Roman"/>
                <w:b/>
                <w:bCs/>
                <w:sz w:val="24"/>
                <w:szCs w:val="24"/>
                <w:lang w:eastAsia="pl-PL"/>
              </w:rPr>
              <w:t>j</w:t>
            </w:r>
            <w:r w:rsidRPr="00B03963">
              <w:rPr>
                <w:rFonts w:ascii="Times New Roman" w:eastAsia="Times New Roman" w:hAnsi="Times New Roman" w:cs="Times New Roman"/>
                <w:b/>
                <w:bCs/>
                <w:sz w:val="24"/>
                <w:szCs w:val="24"/>
                <w:lang w:eastAsia="pl-PL"/>
              </w:rPr>
              <w:t xml:space="preserve">ednolitego </w:t>
            </w:r>
            <w:r>
              <w:rPr>
                <w:rFonts w:ascii="Times New Roman" w:eastAsia="Times New Roman" w:hAnsi="Times New Roman" w:cs="Times New Roman"/>
                <w:b/>
                <w:bCs/>
                <w:sz w:val="24"/>
                <w:szCs w:val="24"/>
                <w:lang w:eastAsia="pl-PL"/>
              </w:rPr>
              <w:t>r</w:t>
            </w:r>
            <w:r w:rsidRPr="00B03963">
              <w:rPr>
                <w:rFonts w:ascii="Times New Roman" w:eastAsia="Times New Roman" w:hAnsi="Times New Roman" w:cs="Times New Roman"/>
                <w:b/>
                <w:bCs/>
                <w:sz w:val="24"/>
                <w:szCs w:val="24"/>
                <w:lang w:eastAsia="pl-PL"/>
              </w:rPr>
              <w:t>ynku </w:t>
            </w:r>
            <w:bookmarkStart w:id="0" w:name="highlightHit_1"/>
            <w:bookmarkEnd w:id="0"/>
            <w:r>
              <w:rPr>
                <w:rFonts w:ascii="Times New Roman" w:eastAsia="Times New Roman" w:hAnsi="Times New Roman" w:cs="Times New Roman"/>
                <w:b/>
                <w:bCs/>
                <w:sz w:val="24"/>
                <w:szCs w:val="24"/>
                <w:lang w:eastAsia="pl-PL"/>
              </w:rPr>
              <w:t>u</w:t>
            </w:r>
            <w:r w:rsidRPr="00B03963">
              <w:rPr>
                <w:rFonts w:ascii="Times New Roman" w:eastAsia="Times New Roman" w:hAnsi="Times New Roman" w:cs="Times New Roman"/>
                <w:b/>
                <w:bCs/>
                <w:sz w:val="24"/>
                <w:szCs w:val="24"/>
                <w:lang w:eastAsia="pl-PL"/>
              </w:rPr>
              <w:t>sług </w:t>
            </w:r>
            <w:bookmarkStart w:id="1" w:name="highlightHit_2"/>
            <w:bookmarkEnd w:id="1"/>
            <w:r>
              <w:rPr>
                <w:rFonts w:ascii="Times New Roman" w:eastAsia="Times New Roman" w:hAnsi="Times New Roman" w:cs="Times New Roman"/>
                <w:b/>
                <w:bCs/>
                <w:sz w:val="24"/>
                <w:szCs w:val="24"/>
                <w:lang w:eastAsia="pl-PL"/>
              </w:rPr>
              <w:t>c</w:t>
            </w:r>
            <w:r w:rsidRPr="00B03963">
              <w:rPr>
                <w:rFonts w:ascii="Times New Roman" w:eastAsia="Times New Roman" w:hAnsi="Times New Roman" w:cs="Times New Roman"/>
                <w:b/>
                <w:bCs/>
                <w:sz w:val="24"/>
                <w:szCs w:val="24"/>
                <w:lang w:eastAsia="pl-PL"/>
              </w:rPr>
              <w:t>yfrowych </w:t>
            </w:r>
            <w:r>
              <w:rPr>
                <w:rFonts w:ascii="Times New Roman" w:eastAsia="Times New Roman" w:hAnsi="Times New Roman" w:cs="Times New Roman"/>
                <w:b/>
                <w:bCs/>
                <w:sz w:val="24"/>
                <w:szCs w:val="24"/>
                <w:lang w:eastAsia="pl-PL"/>
              </w:rPr>
              <w:t>o</w:t>
            </w:r>
            <w:r w:rsidRPr="00B03963">
              <w:rPr>
                <w:rFonts w:ascii="Times New Roman" w:eastAsia="Times New Roman" w:hAnsi="Times New Roman" w:cs="Times New Roman"/>
                <w:b/>
                <w:bCs/>
                <w:sz w:val="24"/>
                <w:szCs w:val="24"/>
                <w:lang w:eastAsia="pl-PL"/>
              </w:rPr>
              <w:t xml:space="preserve">raz </w:t>
            </w:r>
            <w:r>
              <w:rPr>
                <w:rFonts w:ascii="Times New Roman" w:eastAsia="Times New Roman" w:hAnsi="Times New Roman" w:cs="Times New Roman"/>
                <w:b/>
                <w:bCs/>
                <w:sz w:val="24"/>
                <w:szCs w:val="24"/>
                <w:lang w:eastAsia="pl-PL"/>
              </w:rPr>
              <w:t>z</w:t>
            </w:r>
            <w:r w:rsidRPr="00B03963">
              <w:rPr>
                <w:rFonts w:ascii="Times New Roman" w:eastAsia="Times New Roman" w:hAnsi="Times New Roman" w:cs="Times New Roman"/>
                <w:b/>
                <w:bCs/>
                <w:sz w:val="24"/>
                <w:szCs w:val="24"/>
                <w:lang w:eastAsia="pl-PL"/>
              </w:rPr>
              <w:t>miany Dyrektywy 2000/31/</w:t>
            </w:r>
            <w:r>
              <w:rPr>
                <w:rFonts w:ascii="Times New Roman" w:eastAsia="Times New Roman" w:hAnsi="Times New Roman" w:cs="Times New Roman"/>
                <w:b/>
                <w:bCs/>
                <w:sz w:val="24"/>
                <w:szCs w:val="24"/>
                <w:lang w:eastAsia="pl-PL"/>
              </w:rPr>
              <w:t xml:space="preserve">WE </w:t>
            </w:r>
            <w:r w:rsidRPr="00B03963">
              <w:rPr>
                <w:rFonts w:ascii="Times New Roman" w:eastAsia="Times New Roman" w:hAnsi="Times New Roman" w:cs="Times New Roman"/>
                <w:b/>
                <w:bCs/>
                <w:sz w:val="24"/>
                <w:szCs w:val="24"/>
                <w:lang w:eastAsia="pl-PL"/>
              </w:rPr>
              <w:t>(</w:t>
            </w:r>
            <w:bookmarkStart w:id="2" w:name="highlightHit_3"/>
            <w:bookmarkEnd w:id="2"/>
            <w:r w:rsidRPr="00B03963">
              <w:rPr>
                <w:rFonts w:ascii="Times New Roman" w:eastAsia="Times New Roman" w:hAnsi="Times New Roman" w:cs="Times New Roman"/>
                <w:b/>
                <w:bCs/>
                <w:sz w:val="24"/>
                <w:szCs w:val="24"/>
                <w:lang w:eastAsia="pl-PL"/>
              </w:rPr>
              <w:t>Akt </w:t>
            </w:r>
            <w:bookmarkStart w:id="3" w:name="highlightHit_4"/>
            <w:bookmarkEnd w:id="3"/>
            <w:r w:rsidRPr="00B03963">
              <w:rPr>
                <w:rFonts w:ascii="Times New Roman" w:eastAsia="Times New Roman" w:hAnsi="Times New Roman" w:cs="Times New Roman"/>
                <w:b/>
                <w:bCs/>
                <w:sz w:val="24"/>
                <w:szCs w:val="24"/>
                <w:lang w:eastAsia="pl-PL"/>
              </w:rPr>
              <w:t>O Usługach Cyfrowych)</w:t>
            </w:r>
            <w:r>
              <w:rPr>
                <w:rFonts w:ascii="Times New Roman" w:eastAsia="Times New Roman" w:hAnsi="Times New Roman" w:cs="Times New Roman"/>
                <w:b/>
                <w:bCs/>
                <w:sz w:val="24"/>
                <w:szCs w:val="24"/>
                <w:lang w:eastAsia="pl-PL"/>
              </w:rPr>
              <w:t xml:space="preserve"> </w:t>
            </w:r>
            <w:r w:rsidRPr="006F2F6C">
              <w:rPr>
                <w:rFonts w:ascii="Times New Roman" w:eastAsia="Times New Roman" w:hAnsi="Times New Roman" w:cs="Times New Roman"/>
                <w:b/>
                <w:bCs/>
                <w:sz w:val="24"/>
                <w:szCs w:val="24"/>
                <w:lang w:eastAsia="pl-PL"/>
              </w:rPr>
              <w:t>(Dz.</w:t>
            </w:r>
            <w:r w:rsidR="009A53E2">
              <w:rPr>
                <w:rFonts w:ascii="Times New Roman" w:eastAsia="Times New Roman" w:hAnsi="Times New Roman" w:cs="Times New Roman"/>
                <w:b/>
                <w:bCs/>
                <w:sz w:val="24"/>
                <w:szCs w:val="24"/>
                <w:lang w:eastAsia="pl-PL"/>
              </w:rPr>
              <w:t xml:space="preserve"> </w:t>
            </w:r>
            <w:r w:rsidRPr="006F2F6C">
              <w:rPr>
                <w:rFonts w:ascii="Times New Roman" w:eastAsia="Times New Roman" w:hAnsi="Times New Roman" w:cs="Times New Roman"/>
                <w:b/>
                <w:bCs/>
                <w:sz w:val="24"/>
                <w:szCs w:val="24"/>
                <w:lang w:eastAsia="pl-PL"/>
              </w:rPr>
              <w:t>Urz.</w:t>
            </w:r>
            <w:r w:rsidR="009A53E2">
              <w:rPr>
                <w:rFonts w:ascii="Times New Roman" w:eastAsia="Times New Roman" w:hAnsi="Times New Roman" w:cs="Times New Roman"/>
                <w:b/>
                <w:bCs/>
                <w:sz w:val="24"/>
                <w:szCs w:val="24"/>
                <w:lang w:eastAsia="pl-PL"/>
              </w:rPr>
              <w:t xml:space="preserve"> </w:t>
            </w:r>
            <w:r w:rsidRPr="006F2F6C">
              <w:rPr>
                <w:rFonts w:ascii="Times New Roman" w:eastAsia="Times New Roman" w:hAnsi="Times New Roman" w:cs="Times New Roman"/>
                <w:b/>
                <w:bCs/>
                <w:sz w:val="24"/>
                <w:szCs w:val="24"/>
                <w:lang w:eastAsia="pl-PL"/>
              </w:rPr>
              <w:t>U</w:t>
            </w:r>
            <w:r w:rsidR="009A53E2">
              <w:rPr>
                <w:rFonts w:ascii="Times New Roman" w:eastAsia="Times New Roman" w:hAnsi="Times New Roman" w:cs="Times New Roman"/>
                <w:b/>
                <w:bCs/>
                <w:sz w:val="24"/>
                <w:szCs w:val="24"/>
                <w:lang w:eastAsia="pl-PL"/>
              </w:rPr>
              <w:t xml:space="preserve">E </w:t>
            </w:r>
            <w:r w:rsidRPr="006F2F6C">
              <w:rPr>
                <w:rFonts w:ascii="Times New Roman" w:eastAsia="Times New Roman" w:hAnsi="Times New Roman" w:cs="Times New Roman"/>
                <w:b/>
                <w:bCs/>
                <w:sz w:val="24"/>
                <w:szCs w:val="24"/>
                <w:lang w:eastAsia="pl-PL"/>
              </w:rPr>
              <w:t>L Nr 277, Str. 1)</w:t>
            </w:r>
          </w:p>
        </w:tc>
      </w:tr>
      <w:tr w:rsidR="00AC2F95" w:rsidRPr="00B03963" w14:paraId="06D4B405" w14:textId="77777777" w:rsidTr="00AC2F95">
        <w:trPr>
          <w:tblCellSpacing w:w="15" w:type="dxa"/>
        </w:trPr>
        <w:tc>
          <w:tcPr>
            <w:tcW w:w="2165"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7109BF8F"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WYJAŚNIENIE TERMINU WEJŚCIA W ŻYCIE PROJEKTU / PROJEKTÓW</w:t>
            </w:r>
          </w:p>
        </w:tc>
        <w:tc>
          <w:tcPr>
            <w:tcW w:w="2803" w:type="pct"/>
            <w:gridSpan w:val="4"/>
            <w:tcBorders>
              <w:top w:val="outset" w:sz="6" w:space="0" w:color="auto"/>
              <w:left w:val="outset" w:sz="6" w:space="0" w:color="auto"/>
              <w:bottom w:val="outset" w:sz="6" w:space="0" w:color="auto"/>
              <w:right w:val="outset" w:sz="6" w:space="0" w:color="auto"/>
            </w:tcBorders>
            <w:vAlign w:val="center"/>
            <w:hideMark/>
          </w:tcPr>
          <w:p w14:paraId="1E06D2E1" w14:textId="7C4F62B9" w:rsidR="00B03963" w:rsidRPr="00B03963"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upływie 14 dni od dnia ogłoszenia – krótki termin vacatio legis wynika z mijającego terminu na wdrożenia przepisów Rozporządzenia do krajowych porządków prawnych – 17 lut</w:t>
            </w:r>
            <w:r w:rsidR="00CC314E">
              <w:rPr>
                <w:rFonts w:ascii="Times New Roman" w:eastAsia="Times New Roman" w:hAnsi="Times New Roman" w:cs="Times New Roman"/>
                <w:sz w:val="24"/>
                <w:szCs w:val="24"/>
                <w:lang w:eastAsia="pl-PL"/>
              </w:rPr>
              <w:t>ego</w:t>
            </w:r>
            <w:r>
              <w:rPr>
                <w:rFonts w:ascii="Times New Roman" w:eastAsia="Times New Roman" w:hAnsi="Times New Roman" w:cs="Times New Roman"/>
                <w:sz w:val="24"/>
                <w:szCs w:val="24"/>
                <w:lang w:eastAsia="pl-PL"/>
              </w:rPr>
              <w:t xml:space="preserve"> 2024 r. </w:t>
            </w:r>
          </w:p>
        </w:tc>
      </w:tr>
      <w:tr w:rsidR="00AC2F95" w:rsidRPr="00B03963" w14:paraId="46D4352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290AD2B9"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JEDN. RED.</w:t>
            </w:r>
          </w:p>
        </w:tc>
        <w:tc>
          <w:tcPr>
            <w:tcW w:w="1650"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1F42D1CF"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TREŚĆ PRZEPISU UE</w:t>
            </w:r>
          </w:p>
        </w:tc>
        <w:tc>
          <w:tcPr>
            <w:tcW w:w="788"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6177BA6E" w14:textId="45CD8AFA"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KONIECZNOŚĆ WDROŻENIA</w:t>
            </w:r>
            <w:r w:rsidRPr="00B03963">
              <w:rPr>
                <w:rFonts w:ascii="Times New Roman" w:eastAsia="Times New Roman" w:hAnsi="Times New Roman" w:cs="Times New Roman"/>
                <w:sz w:val="24"/>
                <w:szCs w:val="24"/>
                <w:lang w:eastAsia="pl-PL"/>
              </w:rPr>
              <w:t> </w:t>
            </w:r>
            <w:r w:rsidRPr="00B03963">
              <w:rPr>
                <w:rFonts w:ascii="Times New Roman" w:eastAsia="Times New Roman" w:hAnsi="Times New Roman" w:cs="Times New Roman"/>
                <w:b/>
                <w:bCs/>
                <w:sz w:val="24"/>
                <w:szCs w:val="24"/>
                <w:lang w:eastAsia="pl-PL"/>
              </w:rPr>
              <w:t>T/N*</w:t>
            </w:r>
          </w:p>
        </w:tc>
        <w:tc>
          <w:tcPr>
            <w:tcW w:w="300"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4937EBB2"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JEDN. RED.</w:t>
            </w:r>
          </w:p>
        </w:tc>
        <w:tc>
          <w:tcPr>
            <w:tcW w:w="866"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0159EE6C"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TREŚĆ PRZEPISU / PRZEPISÓW PROJEKTU</w:t>
            </w:r>
          </w:p>
        </w:tc>
        <w:tc>
          <w:tcPr>
            <w:tcW w:w="817"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721C6825"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UZASADNIENIE</w:t>
            </w:r>
          </w:p>
        </w:tc>
      </w:tr>
      <w:tr w:rsidR="00AC2F95" w:rsidRPr="00B03963" w14:paraId="13CDAC39"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hideMark/>
          </w:tcPr>
          <w:p w14:paraId="5607D2C9"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r w:rsidR="00564517">
              <w:rPr>
                <w:rFonts w:ascii="Times New Roman" w:eastAsia="Times New Roman" w:hAnsi="Times New Roman" w:cs="Times New Roman"/>
                <w:sz w:val="24"/>
                <w:szCs w:val="24"/>
                <w:lang w:eastAsia="pl-PL"/>
              </w:rPr>
              <w:t xml:space="preserve">Art. 1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052E5D03" w14:textId="77777777" w:rsidR="00564517" w:rsidRPr="00564517" w:rsidRDefault="00B03963" w:rsidP="00564517">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r w:rsidR="00564517" w:rsidRPr="00564517">
              <w:rPr>
                <w:rFonts w:ascii="Times New Roman" w:eastAsia="Times New Roman" w:hAnsi="Times New Roman" w:cs="Times New Roman"/>
                <w:sz w:val="24"/>
                <w:szCs w:val="24"/>
                <w:lang w:eastAsia="pl-PL"/>
              </w:rPr>
              <w:t>1. Celem niniejszego rozporządzenia jest przyczynienie się do właściwego funkcjonowania rynku wewnętrznego usług pośrednich poprzez ustanowienie zharmonizowanych przepisów dotyczących bezpiecznego, przewidywalnego i budzącego zaufanie środowiska internetowego, które ułatwia innowacje i w którym skutecznie chronione są prawa podstawowe zapisane w Karcie, w tym zasada ochrony konsumentów.</w:t>
            </w:r>
          </w:p>
          <w:p w14:paraId="5EB2F675"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2. W niniejszym rozporządzeniu ustanawia się zharmonizowane przepisy dotyczące świadczenia usług pośrednich na rynku wewnętrznym. Ustanawia się w szczególności:</w:t>
            </w:r>
          </w:p>
          <w:p w14:paraId="12A5D37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a) ramy warunkowego wyłączenia odpowiedzialności dostawców usług pośrednich;</w:t>
            </w:r>
          </w:p>
          <w:p w14:paraId="7EADC0A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lastRenderedPageBreak/>
              <w:t>b) przepisy dotyczące szczególnych obowiązków w zakresie należytej staranności dostosowane do określonych szczególnych kategorii dostawców usług pośrednich;</w:t>
            </w:r>
          </w:p>
          <w:p w14:paraId="6AC50416" w14:textId="77777777" w:rsidR="00B03963" w:rsidRPr="00B03963"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c) przepisy dotyczące wdrażania i egzekwowania niniejszego rozporządzenia, w tym w odniesieniu do współpracy i koordynacji między właściwymi organami.</w:t>
            </w:r>
          </w:p>
        </w:tc>
        <w:tc>
          <w:tcPr>
            <w:tcW w:w="788" w:type="pct"/>
            <w:tcBorders>
              <w:top w:val="outset" w:sz="6" w:space="0" w:color="auto"/>
              <w:left w:val="outset" w:sz="6" w:space="0" w:color="auto"/>
              <w:bottom w:val="outset" w:sz="6" w:space="0" w:color="auto"/>
              <w:right w:val="outset" w:sz="6" w:space="0" w:color="auto"/>
            </w:tcBorders>
            <w:vAlign w:val="center"/>
            <w:hideMark/>
          </w:tcPr>
          <w:p w14:paraId="233AA107"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lastRenderedPageBreak/>
              <w:t> </w:t>
            </w:r>
            <w:r w:rsidR="00107B7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hideMark/>
          </w:tcPr>
          <w:p w14:paraId="1B4045B7"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p>
        </w:tc>
        <w:tc>
          <w:tcPr>
            <w:tcW w:w="866" w:type="pct"/>
            <w:tcBorders>
              <w:top w:val="outset" w:sz="6" w:space="0" w:color="auto"/>
              <w:left w:val="outset" w:sz="6" w:space="0" w:color="auto"/>
              <w:bottom w:val="outset" w:sz="6" w:space="0" w:color="auto"/>
              <w:right w:val="outset" w:sz="6" w:space="0" w:color="auto"/>
            </w:tcBorders>
            <w:vAlign w:val="center"/>
            <w:hideMark/>
          </w:tcPr>
          <w:p w14:paraId="0BBF2B7D"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p>
        </w:tc>
        <w:tc>
          <w:tcPr>
            <w:tcW w:w="817" w:type="pct"/>
            <w:tcBorders>
              <w:top w:val="outset" w:sz="6" w:space="0" w:color="auto"/>
              <w:left w:val="outset" w:sz="6" w:space="0" w:color="auto"/>
              <w:bottom w:val="outset" w:sz="6" w:space="0" w:color="auto"/>
              <w:right w:val="outset" w:sz="6" w:space="0" w:color="auto"/>
            </w:tcBorders>
            <w:vAlign w:val="center"/>
            <w:hideMark/>
          </w:tcPr>
          <w:p w14:paraId="3FF4221E" w14:textId="77777777" w:rsidR="00B03963" w:rsidRPr="00B03963" w:rsidRDefault="00107B7E"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1F268A7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hideMark/>
          </w:tcPr>
          <w:p w14:paraId="5454B995"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r w:rsidR="00564517">
              <w:rPr>
                <w:rFonts w:ascii="Times New Roman" w:eastAsia="Times New Roman" w:hAnsi="Times New Roman" w:cs="Times New Roman"/>
                <w:sz w:val="24"/>
                <w:szCs w:val="24"/>
                <w:lang w:eastAsia="pl-PL"/>
              </w:rPr>
              <w:t xml:space="preserve">Art. 2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1606FC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Niniejsze rozporządzenie ma zastosowanie do usług pośrednich, które są oferowane odbiorcom usługi, którzy mają siedzibę lub znajdują się w Unii, niezależnie od miejsca siedziby dostawców tych usług pośrednich.</w:t>
            </w:r>
          </w:p>
          <w:p w14:paraId="7BAD1FA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 w:name="mip65352580"/>
            <w:bookmarkEnd w:id="4"/>
            <w:r w:rsidRPr="00564517">
              <w:rPr>
                <w:rFonts w:ascii="Times New Roman" w:eastAsia="Times New Roman" w:hAnsi="Times New Roman" w:cs="Times New Roman"/>
                <w:sz w:val="24"/>
                <w:szCs w:val="24"/>
                <w:lang w:eastAsia="pl-PL"/>
              </w:rPr>
              <w:t>2. Niniejsze rozporządzenie nie ma zastosowania do usługi, która nie jest usługą pośrednią, ani do wymogów nakładanych w odniesieniu do takiej usługi, niezależnie od tego, czy taka usługa jest świadczona za pośrednictwem korzystania z usługi pośredniej.</w:t>
            </w:r>
          </w:p>
          <w:p w14:paraId="3BA414E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 w:name="mip65352581"/>
            <w:bookmarkEnd w:id="5"/>
            <w:r w:rsidRPr="00564517">
              <w:rPr>
                <w:rFonts w:ascii="Times New Roman" w:eastAsia="Times New Roman" w:hAnsi="Times New Roman" w:cs="Times New Roman"/>
                <w:sz w:val="24"/>
                <w:szCs w:val="24"/>
                <w:lang w:eastAsia="pl-PL"/>
              </w:rPr>
              <w:t>3. Niniejsze rozporządzenie nie ma wpływu na stosowanie dyrektywy 2000/31/WE.</w:t>
            </w:r>
          </w:p>
          <w:p w14:paraId="20C27D1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6" w:name="mip65352582"/>
            <w:bookmarkEnd w:id="6"/>
            <w:r w:rsidRPr="00564517">
              <w:rPr>
                <w:rFonts w:ascii="Times New Roman" w:eastAsia="Times New Roman" w:hAnsi="Times New Roman" w:cs="Times New Roman"/>
                <w:sz w:val="24"/>
                <w:szCs w:val="24"/>
                <w:lang w:eastAsia="pl-PL"/>
              </w:rPr>
              <w:t>4. Niniejsze rozporządzenie pozostaje bez uszczerbku dla przepisów ustanowionych w innych aktach prawnych Unii regulujących inne aspekty świadczenia usług pośrednich na rynku wewnętrznym lub określających i uzupełniających niniejsze rozporządzenie, w szczególności dla:</w:t>
            </w:r>
          </w:p>
          <w:p w14:paraId="6046BF4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7" w:name="mip65352584"/>
            <w:bookmarkEnd w:id="7"/>
            <w:r w:rsidRPr="00564517">
              <w:rPr>
                <w:rFonts w:ascii="Times New Roman" w:eastAsia="Times New Roman" w:hAnsi="Times New Roman" w:cs="Times New Roman"/>
                <w:sz w:val="24"/>
                <w:szCs w:val="24"/>
                <w:lang w:eastAsia="pl-PL"/>
              </w:rPr>
              <w:t>a)</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dyrektywy 2010/13/UE;</w:t>
            </w:r>
          </w:p>
          <w:p w14:paraId="1524659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8" w:name="mip65352585"/>
            <w:bookmarkEnd w:id="8"/>
            <w:r w:rsidRPr="00564517">
              <w:rPr>
                <w:rFonts w:ascii="Times New Roman" w:eastAsia="Times New Roman" w:hAnsi="Times New Roman" w:cs="Times New Roman"/>
                <w:sz w:val="24"/>
                <w:szCs w:val="24"/>
                <w:lang w:eastAsia="pl-PL"/>
              </w:rPr>
              <w:t>b)</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dotyczącego praw autorskich i pokrewnych;</w:t>
            </w:r>
          </w:p>
          <w:p w14:paraId="305A8CE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9" w:name="mip65352586"/>
            <w:bookmarkEnd w:id="9"/>
            <w:r w:rsidRPr="00564517">
              <w:rPr>
                <w:rFonts w:ascii="Times New Roman" w:eastAsia="Times New Roman" w:hAnsi="Times New Roman" w:cs="Times New Roman"/>
                <w:sz w:val="24"/>
                <w:szCs w:val="24"/>
                <w:lang w:eastAsia="pl-PL"/>
              </w:rPr>
              <w:t>c)</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rozporządzenia (UE) 2021/784;</w:t>
            </w:r>
          </w:p>
          <w:p w14:paraId="1CDB559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0" w:name="mip65352587"/>
            <w:bookmarkEnd w:id="10"/>
            <w:r w:rsidRPr="00564517">
              <w:rPr>
                <w:rFonts w:ascii="Times New Roman" w:eastAsia="Times New Roman" w:hAnsi="Times New Roman" w:cs="Times New Roman"/>
                <w:sz w:val="24"/>
                <w:szCs w:val="24"/>
                <w:lang w:eastAsia="pl-PL"/>
              </w:rPr>
              <w:lastRenderedPageBreak/>
              <w:t>d) rozporządzenia (UE) 2019/1148;</w:t>
            </w:r>
          </w:p>
          <w:p w14:paraId="256FC1D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1" w:name="mip65352588"/>
            <w:bookmarkEnd w:id="11"/>
            <w:r w:rsidRPr="00564517">
              <w:rPr>
                <w:rFonts w:ascii="Times New Roman" w:eastAsia="Times New Roman" w:hAnsi="Times New Roman" w:cs="Times New Roman"/>
                <w:sz w:val="24"/>
                <w:szCs w:val="24"/>
                <w:lang w:eastAsia="pl-PL"/>
              </w:rPr>
              <w:t>e) rozporządzenia (UE) 2019/1150;</w:t>
            </w:r>
          </w:p>
          <w:p w14:paraId="4B6B7D1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2" w:name="mip65352589"/>
            <w:bookmarkEnd w:id="12"/>
            <w:r w:rsidRPr="00564517">
              <w:rPr>
                <w:rFonts w:ascii="Times New Roman" w:eastAsia="Times New Roman" w:hAnsi="Times New Roman" w:cs="Times New Roman"/>
                <w:sz w:val="24"/>
                <w:szCs w:val="24"/>
                <w:lang w:eastAsia="pl-PL"/>
              </w:rPr>
              <w:t>f)</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ochrony konsumentów i bezpieczeństwa produktów, w tym rozporządzeń (UE) 2017/2394 i (UE) 2019/1020 oraz dyrektyw 2001/95/WE i 2013/11/UE;</w:t>
            </w:r>
          </w:p>
          <w:p w14:paraId="75A9BE9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3" w:name="mip65352590"/>
            <w:bookmarkEnd w:id="13"/>
            <w:r w:rsidRPr="00564517">
              <w:rPr>
                <w:rFonts w:ascii="Times New Roman" w:eastAsia="Times New Roman" w:hAnsi="Times New Roman" w:cs="Times New Roman"/>
                <w:sz w:val="24"/>
                <w:szCs w:val="24"/>
                <w:lang w:eastAsia="pl-PL"/>
              </w:rPr>
              <w:t>g)</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ochrony danych osobowych, w szczególności rozporządzenia (UE) 2016/679 i dyrektywy 2002/58/WE;</w:t>
            </w:r>
          </w:p>
          <w:p w14:paraId="0C021A7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4" w:name="mip65352591"/>
            <w:bookmarkEnd w:id="14"/>
            <w:r w:rsidRPr="00564517">
              <w:rPr>
                <w:rFonts w:ascii="Times New Roman" w:eastAsia="Times New Roman" w:hAnsi="Times New Roman" w:cs="Times New Roman"/>
                <w:sz w:val="24"/>
                <w:szCs w:val="24"/>
                <w:lang w:eastAsia="pl-PL"/>
              </w:rPr>
              <w:t>h)</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współpracy sądowej w sprawach cywilnych, w szczególności rozporządzenia (UE) nr 1215/2012 i wszelkich aktów prawnych Unii regulujących prawo właściwe dla zobowiązań umownych i pozaumownych;</w:t>
            </w:r>
          </w:p>
          <w:p w14:paraId="47BD750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5" w:name="mip65352592"/>
            <w:bookmarkEnd w:id="15"/>
            <w:r w:rsidRPr="00564517">
              <w:rPr>
                <w:rFonts w:ascii="Times New Roman" w:eastAsia="Times New Roman" w:hAnsi="Times New Roman" w:cs="Times New Roman"/>
                <w:sz w:val="24"/>
                <w:szCs w:val="24"/>
                <w:lang w:eastAsia="pl-PL"/>
              </w:rPr>
              <w:t>i)</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współpracy sądowej w sprawach karnych, w szczególności rozporządzenia w sprawie europejskiego nakazu wydania dowodów dotyczącego elektronicznego materiału dowodowego w sprawach karnych i europejskiego nakazu zabezpieczenia dowodów dotyczącego elektronicznego materiału dowodowego w sprawach karnych;</w:t>
            </w:r>
          </w:p>
          <w:p w14:paraId="4A3FAA25"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6" w:name="mip65352593"/>
            <w:bookmarkEnd w:id="16"/>
            <w:r w:rsidRPr="00564517">
              <w:rPr>
                <w:rFonts w:ascii="Times New Roman" w:eastAsia="Times New Roman" w:hAnsi="Times New Roman" w:cs="Times New Roman"/>
                <w:sz w:val="24"/>
                <w:szCs w:val="24"/>
                <w:lang w:eastAsia="pl-PL"/>
              </w:rPr>
              <w:t>j)</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dyrektywy ustanawiającej zharmonizowane przepisy dotyczące ustanawiania przedstawicieli prawnych w celu gromadzenia dowodów na potrzeby postępowań karnych.</w:t>
            </w:r>
          </w:p>
          <w:p w14:paraId="076F190C"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hideMark/>
          </w:tcPr>
          <w:p w14:paraId="4C209F66" w14:textId="77777777" w:rsidR="00B03963" w:rsidRPr="00B75275" w:rsidRDefault="00107B7E"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hideMark/>
          </w:tcPr>
          <w:p w14:paraId="1A8FF52F" w14:textId="77777777" w:rsidR="00B03963" w:rsidRPr="00B03963" w:rsidRDefault="00B03963"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hideMark/>
          </w:tcPr>
          <w:p w14:paraId="1FBDB97C" w14:textId="77777777" w:rsidR="00B03963" w:rsidRPr="00B03963" w:rsidRDefault="00B03963" w:rsidP="00B03963">
            <w:pPr>
              <w:spacing w:after="0" w:line="240" w:lineRule="auto"/>
              <w:rPr>
                <w:rFonts w:ascii="Times New Roman" w:eastAsia="Times New Roman" w:hAnsi="Times New Roman" w:cs="Times New Roman"/>
                <w:sz w:val="20"/>
                <w:szCs w:val="20"/>
                <w:lang w:eastAsia="pl-PL"/>
              </w:rPr>
            </w:pPr>
          </w:p>
        </w:tc>
        <w:tc>
          <w:tcPr>
            <w:tcW w:w="817" w:type="pct"/>
            <w:tcBorders>
              <w:top w:val="outset" w:sz="6" w:space="0" w:color="auto"/>
              <w:left w:val="outset" w:sz="6" w:space="0" w:color="auto"/>
              <w:bottom w:val="outset" w:sz="6" w:space="0" w:color="auto"/>
              <w:right w:val="outset" w:sz="6" w:space="0" w:color="auto"/>
            </w:tcBorders>
            <w:vAlign w:val="center"/>
            <w:hideMark/>
          </w:tcPr>
          <w:p w14:paraId="4C81805F" w14:textId="77777777" w:rsidR="00B03963" w:rsidRPr="005A4C7D" w:rsidRDefault="00BE2E17" w:rsidP="00B03963">
            <w:pPr>
              <w:spacing w:after="0" w:line="240" w:lineRule="auto"/>
              <w:rPr>
                <w:rFonts w:ascii="Times New Roman" w:eastAsia="Times New Roman" w:hAnsi="Times New Roman" w:cs="Times New Roman"/>
                <w:sz w:val="24"/>
                <w:szCs w:val="24"/>
                <w:lang w:eastAsia="pl-PL"/>
              </w:rPr>
            </w:pPr>
            <w:r w:rsidRPr="005A4C7D">
              <w:rPr>
                <w:rFonts w:ascii="Times New Roman" w:eastAsia="Times New Roman" w:hAnsi="Times New Roman" w:cs="Times New Roman"/>
                <w:sz w:val="24"/>
                <w:szCs w:val="24"/>
                <w:lang w:eastAsia="pl-PL"/>
              </w:rPr>
              <w:t>Przepis o charakterze ogólnym stosowany wprost nie wymaga wdrożenia</w:t>
            </w:r>
          </w:p>
        </w:tc>
      </w:tr>
      <w:tr w:rsidR="00AC159B" w:rsidRPr="00B03963" w14:paraId="7EBBC37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499C0EF" w14:textId="77777777" w:rsidR="00B03963" w:rsidRPr="00B03963"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3</w:t>
            </w:r>
          </w:p>
        </w:tc>
        <w:tc>
          <w:tcPr>
            <w:tcW w:w="1650" w:type="pct"/>
            <w:tcBorders>
              <w:top w:val="outset" w:sz="6" w:space="0" w:color="auto"/>
              <w:left w:val="outset" w:sz="6" w:space="0" w:color="auto"/>
              <w:bottom w:val="outset" w:sz="6" w:space="0" w:color="auto"/>
              <w:right w:val="outset" w:sz="6" w:space="0" w:color="auto"/>
            </w:tcBorders>
            <w:vAlign w:val="center"/>
          </w:tcPr>
          <w:p w14:paraId="398B46E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Do celów niniejszego rozporządzenia stosuje się następujące definicje:</w:t>
            </w:r>
          </w:p>
          <w:p w14:paraId="2F2CAB1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a) „usługa społeczeństwa informacyjnego” oznacza „usługę” zgodnie z definicją w art. 1 ust. 1 lit. b) dyrektywy (UE) 2015/1535;</w:t>
            </w:r>
          </w:p>
          <w:p w14:paraId="5FAD808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lastRenderedPageBreak/>
              <w:t>b) „odbiorca usługi” oznacza osobę fizyczną lub prawną, która korzysta z usługi pośredniej, w szczególności w celu poszukiwania informacji lub udostępnienia jej;</w:t>
            </w:r>
          </w:p>
          <w:p w14:paraId="1E27B03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c) „konsument” oznacza osobę fizyczną, która działa w celach innych niż jej działalność handlowa, gospodarcza, rzemieślnicza lub zawodowa;</w:t>
            </w:r>
          </w:p>
          <w:p w14:paraId="739F7E7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d) „oferować usługi w Unii” oznacza umożliwiać osobom fizycznym lub prawnym w co najmniej jednym państwie członkowskim korzystanie z usług dostawcy usług pośrednich, który posiada istotne powiązanie z Unią;</w:t>
            </w:r>
          </w:p>
          <w:p w14:paraId="48C3E20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e) „istotne powiązanie z Unią” oznacza powiązanie dostawcy usług pośrednich z Unią wynikające z posiadania przez niego siedziby w Unii albo z określonych kryteriów faktycznych, takich jak:</w:t>
            </w:r>
          </w:p>
          <w:p w14:paraId="1DC2894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—znaczna liczba odbiorców usługi w co najmniej jednym państwie członkowskim w stosunku do jego ludności; lub</w:t>
            </w:r>
          </w:p>
          <w:p w14:paraId="4B180EE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—ukierunkowanie prowadzonej działalności na co najmniej jedno państwo członkowskie;</w:t>
            </w:r>
          </w:p>
          <w:p w14:paraId="750085A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f) „przedsiębiorca” oznacza osobę fizyczną lub prawną, bez względu na to, czy jest nim podmiot publiczny czy prywatny, która działa – w tym również za pośrednictwem osoby działającej w jej imieniu lub na jej rzecz – w celach związanych z jej działalnością handlową, gospodarczą, rzemieślniczą lub zawodową;</w:t>
            </w:r>
          </w:p>
          <w:p w14:paraId="3014AB1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g) „usługa pośrednia” oznacza jedną z następujących usług społeczeństwa informacyjnego:</w:t>
            </w:r>
          </w:p>
          <w:p w14:paraId="23F5682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(i)usługę „zwykłego przekazu” polegającą na transmisji w sieci telekomunikacyjnej informacji przekazanych </w:t>
            </w:r>
            <w:r w:rsidRPr="00564517">
              <w:rPr>
                <w:rFonts w:ascii="Times New Roman" w:eastAsia="Times New Roman" w:hAnsi="Times New Roman" w:cs="Times New Roman"/>
                <w:sz w:val="24"/>
                <w:szCs w:val="24"/>
                <w:lang w:eastAsia="pl-PL"/>
              </w:rPr>
              <w:lastRenderedPageBreak/>
              <w:t>przez odbiorcę usługi lub na zapewnianiu dostępu do sieci telekomunikacyjnej;</w:t>
            </w:r>
          </w:p>
          <w:p w14:paraId="18A97A3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(ii)usługę „</w:t>
            </w:r>
            <w:proofErr w:type="spellStart"/>
            <w:r w:rsidRPr="00564517">
              <w:rPr>
                <w:rFonts w:ascii="Times New Roman" w:eastAsia="Times New Roman" w:hAnsi="Times New Roman" w:cs="Times New Roman"/>
                <w:sz w:val="24"/>
                <w:szCs w:val="24"/>
                <w:lang w:eastAsia="pl-PL"/>
              </w:rPr>
              <w:t>cachingu</w:t>
            </w:r>
            <w:proofErr w:type="spellEnd"/>
            <w:r w:rsidRPr="00564517">
              <w:rPr>
                <w:rFonts w:ascii="Times New Roman" w:eastAsia="Times New Roman" w:hAnsi="Times New Roman" w:cs="Times New Roman"/>
                <w:sz w:val="24"/>
                <w:szCs w:val="24"/>
                <w:lang w:eastAsia="pl-PL"/>
              </w:rPr>
              <w:t>” polegającą na transmisji w sieci telekomunikacyjnej informacji przekazanych przez odbiorcę usługi, obejmującą automatyczne, pośrednie i krótkotrwałe przechowywanie tej informacji, dokonywane wyłącznie w celu usprawnienia późniejszej transmisji informacji na żądanie innych odbiorców;</w:t>
            </w:r>
          </w:p>
          <w:p w14:paraId="38C3100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(iii)usługę „hostingu” polegającą na przechowywaniu informacji przekazanych przez odbiorcę usługi oraz na jego żądanie;</w:t>
            </w:r>
          </w:p>
          <w:p w14:paraId="2E4A101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h) „nielegalne treści” oznaczają informacje, które same w sobie lub przez odniesienie do działania, w tym sprzedaży produktów lub świadczenia usług, nie są zgodne z prawem Unii lub z prawem jakiegokolwiek państwa członkowskiego, które jest zgodne z prawem Unii, niezależnie od konkretnego przedmiotu lub charakteru tego prawa;</w:t>
            </w:r>
          </w:p>
          <w:p w14:paraId="6A591E3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 „platforma internetowa” oznacza usługę hostingu, która na żądanie odbiorcy usługi przechowuje i rozpowszechnia publicznie informacje, chyba że takie działanie jest nieznaczną lub wyłącznie poboczną cechą innej usługi lub nieznaczną funkcją głównej usługi, i ze względów obiektywnych i technicznych nie można z niej skorzystać bez takiej innej usługi, a włączenie takiej cechy lub funkcji w taką inną usługę nie jest sposobem na obejście stosowania niniejszego rozporządzenia;</w:t>
            </w:r>
          </w:p>
          <w:p w14:paraId="77EA3E6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j) „wyszukiwarka internetowa” oznacza usługę pośrednią, która umożliwia użytkownikom dokonywanie zapytań w celu wyszukiwania – co do zasady – wszystkich stron internetowych lub wszystkich </w:t>
            </w:r>
            <w:r w:rsidRPr="00564517">
              <w:rPr>
                <w:rFonts w:ascii="Times New Roman" w:eastAsia="Times New Roman" w:hAnsi="Times New Roman" w:cs="Times New Roman"/>
                <w:sz w:val="24"/>
                <w:szCs w:val="24"/>
                <w:lang w:eastAsia="pl-PL"/>
              </w:rPr>
              <w:lastRenderedPageBreak/>
              <w:t>stron internetowych w danym języku za pomocą zapytania na jakikolwiek temat przez podanie słowa kluczowego, zapytania głosowego, wyrażenia lub innej wartości wejściowej i która podaje wyniki wyszukiwania w dowolnym formacie, w którym można znaleźć informacje związane z zadanym zapytaniem;</w:t>
            </w:r>
          </w:p>
          <w:p w14:paraId="706A299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k) „publiczne rozpowszechnianie” oznacza udostępnianie informacji na żądanie odbiorcy usługi, który przekazał informacje, potencjalnie nieograniczonej liczbie osób trzecich;</w:t>
            </w:r>
          </w:p>
          <w:p w14:paraId="33C9D2F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l) „umowa zawierana na odległość” oznacza „umowę zawieraną na odległość” zgodnie z definicją w art. 2 pkt 7 dyrektywy 2011/83/UE;</w:t>
            </w:r>
          </w:p>
          <w:p w14:paraId="60AFB44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m) „interfejs internetowy” oznacza oprogramowanie komputerowe, w tym stronę internetową lub jej część, oraz aplikacje, w tym aplikacje mobilne;</w:t>
            </w:r>
          </w:p>
          <w:p w14:paraId="4FA42AD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n) „koordynator ds. usług cyfrowych właściwy dla miejsca siedziby” oznacza koordynatora ds. usług cyfrowych państwa członkowskiego, w którym znajduje się główne miejsce prowadzenia działalności dostawcy usługi pośredniej lub w którym jego przedstawiciel prawny ma miejsce zamieszkania lub siedzibę;</w:t>
            </w:r>
          </w:p>
          <w:p w14:paraId="680C372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o) „koordynator ds. usług cyfrowych właściwy dla miejsca przeznaczenia” oznacza koordynatora ds. usług cyfrowych państwa członkowskiego, w którym świadczona jest usługa pośrednia;</w:t>
            </w:r>
          </w:p>
          <w:p w14:paraId="37AD6E3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p) „aktywny odbiorca platformy internetowej” oznacza odbiorcę usługi, który skorzystał z usługi platformy internetowej, poprzez żądanie od platformy internetowej hostingu informacji albo zetknięcie się z informacjami, których hostem jest platforma internetowa, i </w:t>
            </w:r>
            <w:r w:rsidRPr="00564517">
              <w:rPr>
                <w:rFonts w:ascii="Times New Roman" w:eastAsia="Times New Roman" w:hAnsi="Times New Roman" w:cs="Times New Roman"/>
                <w:sz w:val="24"/>
                <w:szCs w:val="24"/>
                <w:lang w:eastAsia="pl-PL"/>
              </w:rPr>
              <w:lastRenderedPageBreak/>
              <w:t>rozpowszechnianymi za pośrednictwem jej interfejsu internetowego;</w:t>
            </w:r>
          </w:p>
          <w:p w14:paraId="136B49D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q) „aktywny odbiorca wyszukiwarki internetowej” oznacza odbiorcę usługi, który dokonał zapytania w wyszukiwarce internetowej i zetknął się z prezentowaną na jej interfejsie internetowym informacją indeksowaną;</w:t>
            </w:r>
          </w:p>
          <w:p w14:paraId="15FDA17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r) „reklama” oznacza informację przeznaczoną do propagowania przekazu osoby prawnej lub fizycznej, niezależnie od tego, czy w celach komercyjnych czy niekomercyjnych, i prezentowaną przez platformę internetową na jej interfejsie internetowym za wynagrodzeniem konkretnie za propagowanie tej informacji;</w:t>
            </w:r>
          </w:p>
          <w:p w14:paraId="3E28279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s) „system rekomendacji” oznacza w pełni lub częściowo zautomatyzowany system wykorzystywany przez platformę internetową w celu sugerowania odbiorcom usługi w jej interfejsie internetowym konkretnych informacji i ich szeregowanie, w tym na skutek wyszukiwania dokonanego przez odbiorcę usługi lub w inny sposób determinującego względną kolejność lub eksponowanie pokazywanych informacji;</w:t>
            </w:r>
          </w:p>
          <w:p w14:paraId="258307F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t) „moderowanie treści” oznacza działania, bez względu na to czy są one zautomatyzowane, podejmowane przez dostawców usług pośrednich, których celem jest, w szczególności, wykrywanie, identyfikowanie i zwalczanie nielegalnych treści lub informacji niezgodnych z warunkami korzystania z ich usług, przekazywanych przez odbiorców usługi, w tym wdrażane środki, które wpływają na dostępność, widoczność i osiągalność takich nielegalnych treści lub informacji, takie jak </w:t>
            </w:r>
            <w:proofErr w:type="spellStart"/>
            <w:r w:rsidRPr="00564517">
              <w:rPr>
                <w:rFonts w:ascii="Times New Roman" w:eastAsia="Times New Roman" w:hAnsi="Times New Roman" w:cs="Times New Roman"/>
                <w:sz w:val="24"/>
                <w:szCs w:val="24"/>
                <w:lang w:eastAsia="pl-PL"/>
              </w:rPr>
              <w:t>depozycjonowanie</w:t>
            </w:r>
            <w:proofErr w:type="spellEnd"/>
            <w:r w:rsidRPr="00564517">
              <w:rPr>
                <w:rFonts w:ascii="Times New Roman" w:eastAsia="Times New Roman" w:hAnsi="Times New Roman" w:cs="Times New Roman"/>
                <w:sz w:val="24"/>
                <w:szCs w:val="24"/>
                <w:lang w:eastAsia="pl-PL"/>
              </w:rPr>
              <w:t xml:space="preserve"> takich treści lub informacji, demonetyzacja, uniemożliwienie dostępu do </w:t>
            </w:r>
            <w:r w:rsidRPr="00564517">
              <w:rPr>
                <w:rFonts w:ascii="Times New Roman" w:eastAsia="Times New Roman" w:hAnsi="Times New Roman" w:cs="Times New Roman"/>
                <w:sz w:val="24"/>
                <w:szCs w:val="24"/>
                <w:lang w:eastAsia="pl-PL"/>
              </w:rPr>
              <w:lastRenderedPageBreak/>
              <w:t>nich lub ich usunięcie, lub które wpływają na możliwość przekazywania takich informacji przez odbiorców usługi, takie jak zamknięcie lub zawieszenie konta odbiorcy;</w:t>
            </w:r>
          </w:p>
          <w:p w14:paraId="2ED59F9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u) „warunki korzystania z usług” oznaczają klauzule, niezależnie od ich nazwy lub formy, które regulują stosunek umowny między dostawcą usług pośrednich a odbiorcami usług;</w:t>
            </w:r>
          </w:p>
          <w:p w14:paraId="54575BC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v) ,,osoby z niepełnosprawnościami'' oznaczają ,,osoby z niepełnosprawnościami'', o których mowa w art. 3 pkt 1 dyrektywy Parlamentu Europejskiego i Rady (UE) 2019/882 38);</w:t>
            </w:r>
          </w:p>
          <w:p w14:paraId="36690D4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w) „informacja handlowa” oznacza „informację handlową” zgodnie z definicją w art. 2 lit. f) dyrektywy 2000/31/WE;</w:t>
            </w:r>
          </w:p>
          <w:p w14:paraId="772E4B47" w14:textId="77777777" w:rsidR="00B03963" w:rsidRPr="00B03963"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x) ,,obrót'' oznacza kwotę uzyskaną przez przedsiębiorstwo w rozumieniu art. 5 ust. 1 rozporządzenia Rady (WE) nr 139/2004 39).</w:t>
            </w:r>
          </w:p>
        </w:tc>
        <w:tc>
          <w:tcPr>
            <w:tcW w:w="788" w:type="pct"/>
            <w:tcBorders>
              <w:top w:val="outset" w:sz="6" w:space="0" w:color="auto"/>
              <w:left w:val="outset" w:sz="6" w:space="0" w:color="auto"/>
              <w:bottom w:val="outset" w:sz="6" w:space="0" w:color="auto"/>
              <w:right w:val="outset" w:sz="6" w:space="0" w:color="auto"/>
            </w:tcBorders>
            <w:vAlign w:val="center"/>
          </w:tcPr>
          <w:p w14:paraId="460AECBC" w14:textId="77777777" w:rsidR="00B03963" w:rsidRPr="00B75275" w:rsidRDefault="003C429C"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C28D193" w14:textId="77777777" w:rsidR="00B03963" w:rsidRPr="0073457D" w:rsidRDefault="009A2F3E" w:rsidP="00B03963">
            <w:pPr>
              <w:spacing w:after="0" w:line="240" w:lineRule="auto"/>
              <w:rPr>
                <w:rFonts w:ascii="Times New Roman" w:eastAsia="Times New Roman" w:hAnsi="Times New Roman" w:cs="Times New Roman"/>
                <w:sz w:val="24"/>
                <w:szCs w:val="24"/>
                <w:lang w:eastAsia="pl-PL"/>
              </w:rPr>
            </w:pPr>
            <w:r w:rsidRPr="0073457D">
              <w:rPr>
                <w:rFonts w:ascii="Times New Roman" w:eastAsia="Times New Roman" w:hAnsi="Times New Roman" w:cs="Times New Roman"/>
                <w:sz w:val="24"/>
                <w:szCs w:val="24"/>
                <w:lang w:eastAsia="pl-PL"/>
              </w:rPr>
              <w:t>Art. 1 pkt 2</w:t>
            </w:r>
          </w:p>
        </w:tc>
        <w:tc>
          <w:tcPr>
            <w:tcW w:w="866" w:type="pct"/>
            <w:tcBorders>
              <w:top w:val="outset" w:sz="6" w:space="0" w:color="auto"/>
              <w:left w:val="outset" w:sz="6" w:space="0" w:color="auto"/>
              <w:bottom w:val="outset" w:sz="6" w:space="0" w:color="auto"/>
              <w:right w:val="outset" w:sz="6" w:space="0" w:color="auto"/>
            </w:tcBorders>
            <w:vAlign w:val="center"/>
          </w:tcPr>
          <w:p w14:paraId="67F34DF5" w14:textId="0E73465E"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2)</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w art. 2:</w:t>
            </w:r>
          </w:p>
          <w:p w14:paraId="7C02A171" w14:textId="196D37BE"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a)</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po pkt 1 dodaje się pkt 1a i 1b w brzmieniu:</w:t>
            </w:r>
          </w:p>
          <w:p w14:paraId="0BF86C68" w14:textId="77777777"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„1a)</w:t>
            </w:r>
            <w:r w:rsidRPr="00E615B4">
              <w:rPr>
                <w:rFonts w:ascii="Times New Roman" w:eastAsia="Times New Roman" w:hAnsi="Times New Roman" w:cs="Times New Roman"/>
                <w:bCs/>
                <w:sz w:val="24"/>
                <w:szCs w:val="24"/>
                <w:lang w:eastAsia="pl-PL"/>
              </w:rPr>
              <w:tab/>
              <w:t xml:space="preserve">dostawca bardzo dużej </w:t>
            </w:r>
            <w:r w:rsidRPr="00E615B4">
              <w:rPr>
                <w:rFonts w:ascii="Times New Roman" w:eastAsia="Times New Roman" w:hAnsi="Times New Roman" w:cs="Times New Roman"/>
                <w:bCs/>
                <w:sz w:val="24"/>
                <w:szCs w:val="24"/>
                <w:lang w:eastAsia="pl-PL"/>
              </w:rPr>
              <w:lastRenderedPageBreak/>
              <w:t>platformy internetowej lub bardzo dużej wyszukiwarki internetowej – usługodawcę, świadczącego usługę platformy internetowej lub wyszukiwarki internetowej, wobec której Komisja Europejska przyjęła decyzję, o której mowa w art. 33 ust. 4 rozporządzenia 2022/2065;</w:t>
            </w:r>
          </w:p>
          <w:p w14:paraId="54638B1A" w14:textId="37542709"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1b)</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dostawca usługi pośredniej – usługodawcę świadczącego usługę pośrednią, o której mowa w art. 3 lit. g rozporządzenia 2022/2065;”,</w:t>
            </w:r>
          </w:p>
          <w:p w14:paraId="09DC3C91" w14:textId="33140797"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b)</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po pkt 2 dodaje się pkt 2a w brzmieniu:</w:t>
            </w:r>
          </w:p>
          <w:p w14:paraId="71BC1EC8" w14:textId="610C2B2A" w:rsid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„2a)</w:t>
            </w:r>
            <w:r w:rsidRPr="00E615B4">
              <w:rPr>
                <w:rFonts w:ascii="Times New Roman" w:eastAsia="Times New Roman" w:hAnsi="Times New Roman" w:cs="Times New Roman"/>
                <w:bCs/>
                <w:sz w:val="24"/>
                <w:szCs w:val="24"/>
                <w:lang w:eastAsia="pl-PL"/>
              </w:rPr>
              <w:tab/>
              <w:t xml:space="preserve">koordynator do spraw usług cyfrowych – koordynatora do spraw usług </w:t>
            </w:r>
            <w:r w:rsidRPr="00E615B4">
              <w:rPr>
                <w:rFonts w:ascii="Times New Roman" w:eastAsia="Times New Roman" w:hAnsi="Times New Roman" w:cs="Times New Roman"/>
                <w:bCs/>
                <w:sz w:val="24"/>
                <w:szCs w:val="24"/>
                <w:lang w:eastAsia="pl-PL"/>
              </w:rPr>
              <w:lastRenderedPageBreak/>
              <w:t>cyfrowych, o którym mowa w art. 49 ust. 2 rozporządzenia 2022/2065;”;</w:t>
            </w:r>
          </w:p>
          <w:p w14:paraId="6BD80B37" w14:textId="77777777" w:rsidR="00E615B4" w:rsidRDefault="00E615B4" w:rsidP="003C429C">
            <w:pPr>
              <w:spacing w:after="0" w:line="240" w:lineRule="auto"/>
              <w:rPr>
                <w:rFonts w:ascii="Times New Roman" w:eastAsia="Times New Roman" w:hAnsi="Times New Roman" w:cs="Times New Roman"/>
                <w:bCs/>
                <w:sz w:val="24"/>
                <w:szCs w:val="24"/>
                <w:lang w:eastAsia="pl-PL"/>
              </w:rPr>
            </w:pPr>
          </w:p>
          <w:p w14:paraId="6D664EC9" w14:textId="77777777" w:rsidR="00B03963" w:rsidRPr="0073457D" w:rsidRDefault="00B03963" w:rsidP="00E615B4">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8E971B4" w14:textId="77777777" w:rsidR="00B03963" w:rsidRPr="0073457D" w:rsidRDefault="003C429C" w:rsidP="00B03963">
            <w:pPr>
              <w:spacing w:after="0" w:line="240" w:lineRule="auto"/>
              <w:rPr>
                <w:rFonts w:ascii="Times New Roman" w:eastAsia="Times New Roman" w:hAnsi="Times New Roman" w:cs="Times New Roman"/>
                <w:sz w:val="24"/>
                <w:szCs w:val="24"/>
                <w:lang w:eastAsia="pl-PL"/>
              </w:rPr>
            </w:pPr>
            <w:r w:rsidRPr="0073457D">
              <w:rPr>
                <w:rFonts w:ascii="Times New Roman" w:eastAsia="Times New Roman" w:hAnsi="Times New Roman" w:cs="Times New Roman"/>
                <w:sz w:val="24"/>
                <w:szCs w:val="24"/>
                <w:lang w:eastAsia="pl-PL"/>
              </w:rPr>
              <w:lastRenderedPageBreak/>
              <w:t xml:space="preserve">Dostosowanie definicji ustawowych do definicji z rozporządzenia </w:t>
            </w:r>
          </w:p>
        </w:tc>
      </w:tr>
      <w:tr w:rsidR="00AC2F95" w:rsidRPr="00B03963" w14:paraId="7500F09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4463AC5"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w:t>
            </w:r>
          </w:p>
        </w:tc>
        <w:tc>
          <w:tcPr>
            <w:tcW w:w="1650" w:type="pct"/>
            <w:tcBorders>
              <w:top w:val="outset" w:sz="6" w:space="0" w:color="auto"/>
              <w:left w:val="outset" w:sz="6" w:space="0" w:color="auto"/>
              <w:bottom w:val="outset" w:sz="6" w:space="0" w:color="auto"/>
              <w:right w:val="outset" w:sz="6" w:space="0" w:color="auto"/>
            </w:tcBorders>
            <w:vAlign w:val="center"/>
          </w:tcPr>
          <w:p w14:paraId="1549545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przypadku świadczenia usługi społeczeństwa informacyjnego polegającej na transmisji w sieci telekomunikacyjnej informacji przekazanych przez odbiorcę usługi lub na zapewnianiu dostępu do sieci telekomunikacyjnej dostawca usług nie ponosi odpowiedzialności za przekazywane lub uzyskiwane informacje, pod warunkiem że dostawca:</w:t>
            </w:r>
          </w:p>
          <w:p w14:paraId="393526A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7" w:name="mip65352623"/>
            <w:bookmarkEnd w:id="17"/>
            <w:r w:rsidRPr="00564517">
              <w:rPr>
                <w:rFonts w:ascii="Times New Roman" w:eastAsia="Times New Roman" w:hAnsi="Times New Roman" w:cs="Times New Roman"/>
                <w:sz w:val="24"/>
                <w:szCs w:val="24"/>
                <w:lang w:eastAsia="pl-PL"/>
              </w:rPr>
              <w:t>a)</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jest inicjatorem transmisji;</w:t>
            </w:r>
          </w:p>
          <w:p w14:paraId="4717E1F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8" w:name="mip65352624"/>
            <w:bookmarkEnd w:id="18"/>
            <w:r w:rsidRPr="00564517">
              <w:rPr>
                <w:rFonts w:ascii="Times New Roman" w:eastAsia="Times New Roman" w:hAnsi="Times New Roman" w:cs="Times New Roman"/>
                <w:sz w:val="24"/>
                <w:szCs w:val="24"/>
                <w:lang w:eastAsia="pl-PL"/>
              </w:rPr>
              <w:t>b)</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wybiera odbiorcy transmisji; oraz</w:t>
            </w:r>
          </w:p>
          <w:p w14:paraId="7A4423F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9" w:name="mip65352625"/>
            <w:bookmarkEnd w:id="19"/>
            <w:r w:rsidRPr="00564517">
              <w:rPr>
                <w:rFonts w:ascii="Times New Roman" w:eastAsia="Times New Roman" w:hAnsi="Times New Roman" w:cs="Times New Roman"/>
                <w:sz w:val="24"/>
                <w:szCs w:val="24"/>
                <w:lang w:eastAsia="pl-PL"/>
              </w:rPr>
              <w:t>c) nie wybiera ani nie modyfikuje informacji zawartych w transmisji.</w:t>
            </w:r>
          </w:p>
          <w:p w14:paraId="2324517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0" w:name="mip65352626"/>
            <w:bookmarkEnd w:id="20"/>
            <w:r w:rsidRPr="00564517">
              <w:rPr>
                <w:rFonts w:ascii="Times New Roman" w:eastAsia="Times New Roman" w:hAnsi="Times New Roman" w:cs="Times New Roman"/>
                <w:sz w:val="24"/>
                <w:szCs w:val="24"/>
                <w:lang w:eastAsia="pl-PL"/>
              </w:rPr>
              <w:t xml:space="preserve">2. Czynności polegające na transmisji oraz zapewnianiu dostępu, o których mowa w ust. 1, obejmują </w:t>
            </w:r>
            <w:r w:rsidRPr="00564517">
              <w:rPr>
                <w:rFonts w:ascii="Times New Roman" w:eastAsia="Times New Roman" w:hAnsi="Times New Roman" w:cs="Times New Roman"/>
                <w:sz w:val="24"/>
                <w:szCs w:val="24"/>
                <w:lang w:eastAsia="pl-PL"/>
              </w:rPr>
              <w:lastRenderedPageBreak/>
              <w:t>automatyczne, pośrednie i krótkotrwałe przechowywanie przekazywanych informacji w zakresie, w jakim służy to wyłącznie wykonywaniu transmisji w sieci telekomunikacyjnej, oraz że okres przechowywania nie przekracza czasu rozsądnie koniecznego do transmisji.</w:t>
            </w:r>
          </w:p>
          <w:p w14:paraId="4354EAA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1" w:name="mip65352627"/>
            <w:bookmarkEnd w:id="21"/>
            <w:r w:rsidRPr="00564517">
              <w:rPr>
                <w:rFonts w:ascii="Times New Roman" w:eastAsia="Times New Roman" w:hAnsi="Times New Roman" w:cs="Times New Roman"/>
                <w:sz w:val="24"/>
                <w:szCs w:val="24"/>
                <w:lang w:eastAsia="pl-PL"/>
              </w:rPr>
              <w:t>3. Niniejszy artykuł nie ma wpływu na możliwość wymagania od dostawcy usług przez organy sądowe lub administracyjne, zgodnie z systemem prawnym państwa członkowskiego, żeby przerwał naruszanie prawa lub mu zapobiegł.</w:t>
            </w:r>
          </w:p>
          <w:p w14:paraId="2BBB3F58" w14:textId="77777777" w:rsidR="00564517" w:rsidRPr="00B03963" w:rsidRDefault="00564517" w:rsidP="00B03963">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979E6AA"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492DD79"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147635D"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ABBE304"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7EE6E4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01A860E"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5 </w:t>
            </w:r>
          </w:p>
        </w:tc>
        <w:tc>
          <w:tcPr>
            <w:tcW w:w="1650" w:type="pct"/>
            <w:tcBorders>
              <w:top w:val="outset" w:sz="6" w:space="0" w:color="auto"/>
              <w:left w:val="outset" w:sz="6" w:space="0" w:color="auto"/>
              <w:bottom w:val="outset" w:sz="6" w:space="0" w:color="auto"/>
              <w:right w:val="outset" w:sz="6" w:space="0" w:color="auto"/>
            </w:tcBorders>
            <w:vAlign w:val="center"/>
          </w:tcPr>
          <w:p w14:paraId="54959FB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przypadku świadczenia usługi społeczeństwa informacyjnego polegającej na transmisji w sieci telekomunikacyjnej informacji przekazanych przez odbiorcę usługi dostawca usług nie ponosi odpowiedzialności z tytułu automatycznego, pośredniego i krótkotrwałego przechowywania tej informacji, dokonywanego wyłącznie w celu usprawnienia lub lepszego zabezpieczenia późniejszej transmisji informacji na żądanie innych odbiorców usługi, pod warunkiem że dostawca:</w:t>
            </w:r>
          </w:p>
          <w:p w14:paraId="0B1D77D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2" w:name="mip65352631"/>
            <w:bookmarkEnd w:id="22"/>
            <w:r w:rsidRPr="00564517">
              <w:rPr>
                <w:rFonts w:ascii="Times New Roman" w:eastAsia="Times New Roman" w:hAnsi="Times New Roman" w:cs="Times New Roman"/>
                <w:sz w:val="24"/>
                <w:szCs w:val="24"/>
                <w:lang w:eastAsia="pl-PL"/>
              </w:rPr>
              <w:t>a)</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modyfikuje informacji;</w:t>
            </w:r>
          </w:p>
          <w:p w14:paraId="048B41B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3" w:name="mip65352632"/>
            <w:bookmarkEnd w:id="23"/>
            <w:r w:rsidRPr="00564517">
              <w:rPr>
                <w:rFonts w:ascii="Times New Roman" w:eastAsia="Times New Roman" w:hAnsi="Times New Roman" w:cs="Times New Roman"/>
                <w:sz w:val="24"/>
                <w:szCs w:val="24"/>
                <w:lang w:eastAsia="pl-PL"/>
              </w:rPr>
              <w:t>b)przestrzega warunków dostępu do informacji;</w:t>
            </w:r>
          </w:p>
          <w:p w14:paraId="6D6484F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4" w:name="mip65352633"/>
            <w:bookmarkEnd w:id="24"/>
            <w:r w:rsidRPr="00564517">
              <w:rPr>
                <w:rFonts w:ascii="Times New Roman" w:eastAsia="Times New Roman" w:hAnsi="Times New Roman" w:cs="Times New Roman"/>
                <w:sz w:val="24"/>
                <w:szCs w:val="24"/>
                <w:lang w:eastAsia="pl-PL"/>
              </w:rPr>
              <w:t>c)</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przestrzega zasad dotyczących aktualizowania informacji, określonych w sposób szeroko uznany i stosowany w branży;</w:t>
            </w:r>
          </w:p>
          <w:p w14:paraId="444E954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5" w:name="mip65352634"/>
            <w:bookmarkEnd w:id="25"/>
            <w:r w:rsidRPr="00564517">
              <w:rPr>
                <w:rFonts w:ascii="Times New Roman" w:eastAsia="Times New Roman" w:hAnsi="Times New Roman" w:cs="Times New Roman"/>
                <w:sz w:val="24"/>
                <w:szCs w:val="24"/>
                <w:lang w:eastAsia="pl-PL"/>
              </w:rPr>
              <w:t>d)nie zakłóca zgodnego z prawem posługiwania się technologią szeroko uznaną i stosowaną w branży w celu uzyskania danych o korzystaniu z informacji; oraz</w:t>
            </w:r>
          </w:p>
          <w:p w14:paraId="15C1CDF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6" w:name="mip65352635"/>
            <w:bookmarkEnd w:id="26"/>
            <w:r w:rsidRPr="00564517">
              <w:rPr>
                <w:rFonts w:ascii="Times New Roman" w:eastAsia="Times New Roman" w:hAnsi="Times New Roman" w:cs="Times New Roman"/>
                <w:sz w:val="24"/>
                <w:szCs w:val="24"/>
                <w:lang w:eastAsia="pl-PL"/>
              </w:rPr>
              <w:lastRenderedPageBreak/>
              <w:t>e)</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podejmuje bezzwłocznie odpowiednie działania w celu usunięcia przechowywanych informacji lub uniemożliwienia dostępu do nich, gdy uzyska faktyczną wiedzę, że informacje zostały usunięte z początkowego źródła transmisji lub dostęp do nich został uniemożliwiony, albo gdy organy sądowe lub administracyjne nakazały usunięcie informacji lub uniemożliwienie dostępu do niej.</w:t>
            </w:r>
          </w:p>
          <w:p w14:paraId="47082CC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7" w:name="mip65352636"/>
            <w:bookmarkEnd w:id="27"/>
            <w:r w:rsidRPr="00564517">
              <w:rPr>
                <w:rFonts w:ascii="Times New Roman" w:eastAsia="Times New Roman" w:hAnsi="Times New Roman" w:cs="Times New Roman"/>
                <w:sz w:val="24"/>
                <w:szCs w:val="24"/>
                <w:lang w:eastAsia="pl-PL"/>
              </w:rPr>
              <w:t>2. Niniejszy artykuł nie ma wpływu na możliwość wymagania od dostawcy usług przez organy sądowe lub administracyjne, zgodnie z systemem prawnym państwa członkowskiego żeby przerwał naruszanie prawa lub mu zapobiegł.</w:t>
            </w:r>
          </w:p>
          <w:p w14:paraId="1FAB1EF8" w14:textId="77777777" w:rsidR="00564517" w:rsidRPr="00B03963" w:rsidRDefault="00564517" w:rsidP="00B03963">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2CFE4EB"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C8DB028"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2ABF5DA"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A039EC2"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228870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108EEDD"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w:t>
            </w:r>
          </w:p>
        </w:tc>
        <w:tc>
          <w:tcPr>
            <w:tcW w:w="1650" w:type="pct"/>
            <w:tcBorders>
              <w:top w:val="outset" w:sz="6" w:space="0" w:color="auto"/>
              <w:left w:val="outset" w:sz="6" w:space="0" w:color="auto"/>
              <w:bottom w:val="outset" w:sz="6" w:space="0" w:color="auto"/>
              <w:right w:val="outset" w:sz="6" w:space="0" w:color="auto"/>
            </w:tcBorders>
            <w:vAlign w:val="center"/>
          </w:tcPr>
          <w:p w14:paraId="1EC044C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przypadku świadczenia usługi społeczeństwa informacyjnego polegającej na przechowywaniu informacji przekazanych przez odbiorcę usługi dostawca usług nie ponosi odpowiedzialności za informacje przechowywane na wniosek odbiorcy usługi, pod warunkiem że dostawca:</w:t>
            </w:r>
          </w:p>
          <w:p w14:paraId="511ADAA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8" w:name="mip65352640"/>
            <w:bookmarkEnd w:id="28"/>
            <w:r w:rsidRPr="00564517">
              <w:rPr>
                <w:rFonts w:ascii="Times New Roman" w:eastAsia="Times New Roman" w:hAnsi="Times New Roman" w:cs="Times New Roman"/>
                <w:sz w:val="24"/>
                <w:szCs w:val="24"/>
                <w:lang w:eastAsia="pl-PL"/>
              </w:rPr>
              <w:t>a)</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ma faktycznej wiedzy o nielegalnej działalności lub nielegalnych treściach, a w odniesieniu do roszczeń odszkodowawczych – nie wie o stanie faktycznym lub okolicznościach, które w sposób oczywisty świadczą o nielegalnej działalności lub nielegalnych treściach; lub</w:t>
            </w:r>
          </w:p>
          <w:p w14:paraId="0E44505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9" w:name="mip65352641"/>
            <w:bookmarkEnd w:id="29"/>
            <w:r w:rsidRPr="00564517">
              <w:rPr>
                <w:rFonts w:ascii="Times New Roman" w:eastAsia="Times New Roman" w:hAnsi="Times New Roman" w:cs="Times New Roman"/>
                <w:sz w:val="24"/>
                <w:szCs w:val="24"/>
                <w:lang w:eastAsia="pl-PL"/>
              </w:rPr>
              <w:t>b)podejmuje bezzwłocznie odpowiednie działania w celu usunięcia lub uniemożliwienia dostępu do nielegalnych treści, gdy uzyska taką wiedzę lub wiadomość.</w:t>
            </w:r>
          </w:p>
          <w:p w14:paraId="6DCB724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0" w:name="mip65352642"/>
            <w:bookmarkEnd w:id="30"/>
            <w:r w:rsidRPr="00564517">
              <w:rPr>
                <w:rFonts w:ascii="Times New Roman" w:eastAsia="Times New Roman" w:hAnsi="Times New Roman" w:cs="Times New Roman"/>
                <w:sz w:val="24"/>
                <w:szCs w:val="24"/>
                <w:lang w:eastAsia="pl-PL"/>
              </w:rPr>
              <w:t>2. Ust. 1 nie ma zastosowania, jeżeli odbiorca usługi działa z upoważnienia lub pod kontrolą dostawcy.</w:t>
            </w:r>
          </w:p>
          <w:p w14:paraId="30ECB32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1" w:name="mip65352643"/>
            <w:bookmarkEnd w:id="31"/>
            <w:r w:rsidRPr="00564517">
              <w:rPr>
                <w:rFonts w:ascii="Times New Roman" w:eastAsia="Times New Roman" w:hAnsi="Times New Roman" w:cs="Times New Roman"/>
                <w:sz w:val="24"/>
                <w:szCs w:val="24"/>
                <w:lang w:eastAsia="pl-PL"/>
              </w:rPr>
              <w:lastRenderedPageBreak/>
              <w:t>3. Ust. 1 nie ma zastosowania w odniesieniu do odpowiedzialności na mocy prawa ochrony konsumentów platform internetowych umożliwiających konsumentom zawieranie z przedsiębiorcami umów zawieranych na odległość, w przypadku gdy taka platforma internetowa przedstawia określoną informację lub w inny sposób umożliwia zawarcie danej transakcji w sposób, który wzbudzałby u przeciętnego konsumenta przekonanie, że informacja, produkt lub usługa będące przedmiotem transakcji są dostarczane lub świadczone przez samą platformę internetową albo przez odbiorcę usługi działającego z jej upoważnienia lub pod jej kontrolą.</w:t>
            </w:r>
          </w:p>
          <w:p w14:paraId="03A1245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2" w:name="mip65352644"/>
            <w:bookmarkEnd w:id="32"/>
            <w:r w:rsidRPr="00564517">
              <w:rPr>
                <w:rFonts w:ascii="Times New Roman" w:eastAsia="Times New Roman" w:hAnsi="Times New Roman" w:cs="Times New Roman"/>
                <w:sz w:val="24"/>
                <w:szCs w:val="24"/>
                <w:lang w:eastAsia="pl-PL"/>
              </w:rPr>
              <w:t>4. Niniejszy artykuł nie ma wpływu na możliwość wymagania od dostawcy usług przez organy sądowe lub administracyjne, zgodnie z systemem prawnym państwa członkowskiego, żeby przerwał naruszanie prawa lub mu zapobiegł.</w:t>
            </w:r>
          </w:p>
          <w:p w14:paraId="57FC53F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62EA25F"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617D65A" w14:textId="77777777" w:rsidR="00564517" w:rsidRPr="00B75275"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B870B3F" w14:textId="77777777" w:rsidR="00564517" w:rsidRPr="00B75275"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6C72D7B"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E70A89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7CFD122"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w:t>
            </w:r>
          </w:p>
        </w:tc>
        <w:tc>
          <w:tcPr>
            <w:tcW w:w="1650" w:type="pct"/>
            <w:tcBorders>
              <w:top w:val="outset" w:sz="6" w:space="0" w:color="auto"/>
              <w:left w:val="outset" w:sz="6" w:space="0" w:color="auto"/>
              <w:bottom w:val="outset" w:sz="6" w:space="0" w:color="auto"/>
              <w:right w:val="outset" w:sz="6" w:space="0" w:color="auto"/>
            </w:tcBorders>
            <w:vAlign w:val="center"/>
          </w:tcPr>
          <w:p w14:paraId="6A96DFC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Dostawców usług pośrednich nie można uznać za nieuprawnionych do skorzystania z </w:t>
            </w:r>
            <w:proofErr w:type="spellStart"/>
            <w:r w:rsidRPr="00564517">
              <w:rPr>
                <w:rFonts w:ascii="Times New Roman" w:eastAsia="Times New Roman" w:hAnsi="Times New Roman" w:cs="Times New Roman"/>
                <w:sz w:val="24"/>
                <w:szCs w:val="24"/>
                <w:lang w:eastAsia="pl-PL"/>
              </w:rPr>
              <w:t>wyłączeń</w:t>
            </w:r>
            <w:proofErr w:type="spellEnd"/>
            <w:r w:rsidRPr="00564517">
              <w:rPr>
                <w:rFonts w:ascii="Times New Roman" w:eastAsia="Times New Roman" w:hAnsi="Times New Roman" w:cs="Times New Roman"/>
                <w:sz w:val="24"/>
                <w:szCs w:val="24"/>
                <w:lang w:eastAsia="pl-PL"/>
              </w:rPr>
              <w:t xml:space="preserve"> odpowiedzialności, o których mowa w art. 4, 5 i 6, tylko z tego powodu, że w dobrej wierze i z należytą starannością prowadzą z własnej inicjatywy dobrowolne czynności sprawdzające lub podejmują inne środki mające na celu wykrycie, identyfikację i usunięcie nielegalnych treści lub uniemożliwienie do nich dostępu lub podejmują niezbędne środki, aby spełnić wymogi prawa Unii i prawa krajowego zgodnego z prawem Unii, w tym wymogi określone w niniejszym rozporządzeniu.</w:t>
            </w:r>
          </w:p>
        </w:tc>
        <w:tc>
          <w:tcPr>
            <w:tcW w:w="788" w:type="pct"/>
            <w:tcBorders>
              <w:top w:val="outset" w:sz="6" w:space="0" w:color="auto"/>
              <w:left w:val="outset" w:sz="6" w:space="0" w:color="auto"/>
              <w:bottom w:val="outset" w:sz="6" w:space="0" w:color="auto"/>
              <w:right w:val="outset" w:sz="6" w:space="0" w:color="auto"/>
            </w:tcBorders>
            <w:vAlign w:val="center"/>
          </w:tcPr>
          <w:p w14:paraId="39142B70"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55D34679"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543612E"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4F3F7A8"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106570D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301A545"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8 </w:t>
            </w:r>
          </w:p>
        </w:tc>
        <w:tc>
          <w:tcPr>
            <w:tcW w:w="1650" w:type="pct"/>
            <w:tcBorders>
              <w:top w:val="outset" w:sz="6" w:space="0" w:color="auto"/>
              <w:left w:val="outset" w:sz="6" w:space="0" w:color="auto"/>
              <w:bottom w:val="outset" w:sz="6" w:space="0" w:color="auto"/>
              <w:right w:val="outset" w:sz="6" w:space="0" w:color="auto"/>
            </w:tcBorders>
            <w:vAlign w:val="center"/>
          </w:tcPr>
          <w:p w14:paraId="712E02C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Na dostawców usług pośrednich nie nakłada się ogólnego obowiązku monitorowania informacji, które dostawcy ci przekazują lub przechowują, ani aktywnego ustalania faktów lub okoliczności wskazujących na nielegalną działalność.</w:t>
            </w:r>
          </w:p>
        </w:tc>
        <w:tc>
          <w:tcPr>
            <w:tcW w:w="788" w:type="pct"/>
            <w:tcBorders>
              <w:top w:val="outset" w:sz="6" w:space="0" w:color="auto"/>
              <w:left w:val="outset" w:sz="6" w:space="0" w:color="auto"/>
              <w:bottom w:val="outset" w:sz="6" w:space="0" w:color="auto"/>
              <w:right w:val="outset" w:sz="6" w:space="0" w:color="auto"/>
            </w:tcBorders>
            <w:vAlign w:val="center"/>
          </w:tcPr>
          <w:p w14:paraId="0D2EA8A1"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5207E268"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3859949"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7562F69"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6C30FA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EA79E16"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9</w:t>
            </w:r>
          </w:p>
        </w:tc>
        <w:tc>
          <w:tcPr>
            <w:tcW w:w="1650" w:type="pct"/>
            <w:tcBorders>
              <w:top w:val="outset" w:sz="6" w:space="0" w:color="auto"/>
              <w:left w:val="outset" w:sz="6" w:space="0" w:color="auto"/>
              <w:bottom w:val="outset" w:sz="6" w:space="0" w:color="auto"/>
              <w:right w:val="outset" w:sz="6" w:space="0" w:color="auto"/>
            </w:tcBorders>
            <w:vAlign w:val="center"/>
          </w:tcPr>
          <w:p w14:paraId="1F6876A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Po otrzymaniu nakazu podjęcia działań przeciwko określonej nielegalnej treści lub określonym nielegalnym treściom, wydanego przez odpowiednie krajowe organy sądowe lub administracyjne na podstawie mającego zastosowanie prawa Unii lub mającego zastosowanie prawa krajowego zgodnego z prawem Unii, dostawcy usług pośrednich bez zbędnej zwłoki informują organ, który wydał nakaz, lub inny organ określony w nakazie o wszelkich działaniach podjętych w odpowiedzi na nakaz, wskazując, czy i kiedy zostały podjęte działania w odpowiedzi na ten nakaz.</w:t>
            </w:r>
          </w:p>
          <w:p w14:paraId="059BC0A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3" w:name="mip65352649"/>
            <w:bookmarkEnd w:id="33"/>
            <w:r w:rsidRPr="00564517">
              <w:rPr>
                <w:rFonts w:ascii="Times New Roman" w:eastAsia="Times New Roman" w:hAnsi="Times New Roman" w:cs="Times New Roman"/>
                <w:sz w:val="24"/>
                <w:szCs w:val="24"/>
                <w:lang w:eastAsia="pl-PL"/>
              </w:rPr>
              <w:t>2. Państwa członkowskie zapewniają, aby w przypadku przekazania dostawcy nakazu, o którym mowa w ust. 1, nakaz ten spełniał co najmniej następujące warunki:</w:t>
            </w:r>
          </w:p>
          <w:p w14:paraId="433A890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4" w:name="mip65352651"/>
            <w:bookmarkEnd w:id="34"/>
            <w:r w:rsidRPr="00564517">
              <w:rPr>
                <w:rFonts w:ascii="Times New Roman" w:eastAsia="Times New Roman" w:hAnsi="Times New Roman" w:cs="Times New Roman"/>
                <w:sz w:val="24"/>
                <w:szCs w:val="24"/>
                <w:lang w:eastAsia="pl-PL"/>
              </w:rPr>
              <w:t>a) nakaz musi zawierać następujące elementy:</w:t>
            </w:r>
          </w:p>
          <w:p w14:paraId="37A8B56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przywołanie podstawy prawnej nakazu zgodnie z prawem Unii lub prawem krajowym;</w:t>
            </w:r>
          </w:p>
          <w:p w14:paraId="5E43152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uzasadnienie wyjaśniające powody, dla których dane informacje stanowią nielegalne treści, przez odesłanie do co najmniej jednego szczególnego przepisu prawa Unii lub prawa krajowego zgodnego z prawem Unii;</w:t>
            </w:r>
          </w:p>
          <w:p w14:paraId="4E8FDEA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informacje służące wskazaniu organu wydającego nakaz;</w:t>
            </w:r>
          </w:p>
          <w:p w14:paraId="005E545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lastRenderedPageBreak/>
              <w:t>(iv)</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jasne informacje umożliwiające dostawcy usług pośrednich zidentyfikowanie i zlokalizowanie nielegalnych treści, takie jak co najmniej jeden dokładny adres URL, oraz, w stosownych przypadkach, dodatkowe informacje;</w:t>
            </w:r>
          </w:p>
          <w:p w14:paraId="3DD637A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(v)</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informacje na temat mechanizmów odwoławczych przysługujących dostawcy usług pośrednich i odbiorcy usługi, który przekazał treści;</w:t>
            </w:r>
          </w:p>
          <w:p w14:paraId="5E21649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(vi)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w stosownych przypadkach, informacje o tym, który organ powinien otrzymać informacje o działaniach podjętych w odpowiedzi na nakazy;</w:t>
            </w:r>
          </w:p>
          <w:p w14:paraId="421D178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5" w:name="mip65352652"/>
            <w:bookmarkEnd w:id="35"/>
            <w:r w:rsidRPr="00564517">
              <w:rPr>
                <w:rFonts w:ascii="Times New Roman" w:eastAsia="Times New Roman" w:hAnsi="Times New Roman" w:cs="Times New Roman"/>
                <w:sz w:val="24"/>
                <w:szCs w:val="24"/>
                <w:lang w:eastAsia="pl-PL"/>
              </w:rPr>
              <w:t>b)</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terytorialny zakres stosowania danego nakazu na podstawie mających zastosowanie przepisów Unii i prawa krajowego, w tym Karty praw podstawowych, oraz – w stosownych przypadkach – ogólnych zasad prawa międzynarodowego musi być ograniczony do tego, co jest absolutnie niezbędne do osiągnięcia celu nakazu;</w:t>
            </w:r>
          </w:p>
          <w:p w14:paraId="711C56A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6" w:name="mip65352653"/>
            <w:bookmarkEnd w:id="36"/>
            <w:r w:rsidRPr="00564517">
              <w:rPr>
                <w:rFonts w:ascii="Times New Roman" w:eastAsia="Times New Roman" w:hAnsi="Times New Roman" w:cs="Times New Roman"/>
                <w:sz w:val="24"/>
                <w:szCs w:val="24"/>
                <w:lang w:eastAsia="pl-PL"/>
              </w:rPr>
              <w:t>c)</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 xml:space="preserve">nakaz musi być przekazany w jednym z języków zadeklarowanych przez dostawcę usług pośrednich na podstawie art. 11 ust. 3 lub w innym języku urzędowym państw członkowskich, uzgodnionym przez organ wydający nakaz i tego dostawcę, a ponadto musi być przesłany do elektronicznego punktu kontaktowego wyznaczonego przez tego dostawcę zgodnie z art. 11; w przypadku gdy nakaz nie został sporządzony w języku zadeklarowanym przez dostawcę usług pośrednich lub w innym uzgodnionym języku, nakaz można przekazać w języku organu wydającego nakaz, pod warunkiem że towarzyszy mu tłumaczenie co najmniej elementów określonych w lit. a) i b) </w:t>
            </w:r>
            <w:r w:rsidRPr="00564517">
              <w:rPr>
                <w:rFonts w:ascii="Times New Roman" w:eastAsia="Times New Roman" w:hAnsi="Times New Roman" w:cs="Times New Roman"/>
                <w:sz w:val="24"/>
                <w:szCs w:val="24"/>
                <w:lang w:eastAsia="pl-PL"/>
              </w:rPr>
              <w:lastRenderedPageBreak/>
              <w:t>niniejszego ustępu na taki zadeklarowany lub uzgodniony język.</w:t>
            </w:r>
          </w:p>
          <w:p w14:paraId="67344E5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7" w:name="mip65352654"/>
            <w:bookmarkEnd w:id="37"/>
            <w:r w:rsidRPr="00564517">
              <w:rPr>
                <w:rFonts w:ascii="Times New Roman" w:eastAsia="Times New Roman" w:hAnsi="Times New Roman" w:cs="Times New Roman"/>
                <w:sz w:val="24"/>
                <w:szCs w:val="24"/>
                <w:lang w:eastAsia="pl-PL"/>
              </w:rPr>
              <w:t>3. Organ wydający nakaz lub, w stosownych przypadkach, organ w nim określony przekazują nakaz koordynatorowi ds. usług cyfrowych z państwa członkowskiego organu wydającego wraz z otrzymanymi od dostawcy usług pośrednich informacjami o działaniach podjętych w odpowiedzi na ten nakaz.</w:t>
            </w:r>
          </w:p>
          <w:p w14:paraId="5CAEDA3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8" w:name="mip65352655"/>
            <w:bookmarkEnd w:id="38"/>
            <w:r w:rsidRPr="00564517">
              <w:rPr>
                <w:rFonts w:ascii="Times New Roman" w:eastAsia="Times New Roman" w:hAnsi="Times New Roman" w:cs="Times New Roman"/>
                <w:sz w:val="24"/>
                <w:szCs w:val="24"/>
                <w:lang w:eastAsia="pl-PL"/>
              </w:rPr>
              <w:t>4. Po otrzymaniu nakazu od organu sądowego lub administracyjnego koordynator ds. usług cyfrowych z zainteresowanego państwa członkowskiego bez zbędnej zwłoki przekazuje kopię nakazu, o którym mowa w ust. 1 niniejszego artykułu, wszystkim pozostałym koordynatorom ds. usług cyfrowych za pośrednictwem systemu ustanowionego zgodnie z art. 85.</w:t>
            </w:r>
          </w:p>
          <w:p w14:paraId="3AF7468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9" w:name="mip65352656"/>
            <w:bookmarkEnd w:id="39"/>
            <w:r w:rsidRPr="00564517">
              <w:rPr>
                <w:rFonts w:ascii="Times New Roman" w:eastAsia="Times New Roman" w:hAnsi="Times New Roman" w:cs="Times New Roman"/>
                <w:sz w:val="24"/>
                <w:szCs w:val="24"/>
                <w:lang w:eastAsia="pl-PL"/>
              </w:rPr>
              <w:t>5. Najpóźniej w momencie podjęcia działań w odpowiedzi na nakaz lub, w stosownych przypadkach, w momencie określonym w nakazie przez organ wydający nakaz, dostawcy usług pośrednich informują odbiorcę danej usługi o otrzymanym nakazie i o działaniach podjętych w odpowiedzi na ten nakaz. Takie informacje przekazane odbiorcy usługi obejmują uzasadnienie, istniejące możliwości odwołania się oraz opis terytorialnego zakresu stosowania nakazu, zgodnie z ust. 2.</w:t>
            </w:r>
          </w:p>
          <w:p w14:paraId="1923BDF7" w14:textId="34C1C4E1" w:rsidR="00564517" w:rsidRPr="00564517" w:rsidRDefault="00564517" w:rsidP="0020450D">
            <w:pPr>
              <w:spacing w:after="0" w:line="240" w:lineRule="auto"/>
              <w:rPr>
                <w:rFonts w:ascii="Times New Roman" w:eastAsia="Times New Roman" w:hAnsi="Times New Roman" w:cs="Times New Roman"/>
                <w:sz w:val="24"/>
                <w:szCs w:val="24"/>
                <w:lang w:eastAsia="pl-PL"/>
              </w:rPr>
            </w:pPr>
            <w:bookmarkStart w:id="40" w:name="mip65352657"/>
            <w:bookmarkEnd w:id="40"/>
            <w:r w:rsidRPr="00564517">
              <w:rPr>
                <w:rFonts w:ascii="Times New Roman" w:eastAsia="Times New Roman" w:hAnsi="Times New Roman" w:cs="Times New Roman"/>
                <w:sz w:val="24"/>
                <w:szCs w:val="24"/>
                <w:lang w:eastAsia="pl-PL"/>
              </w:rPr>
              <w:t>6. Warunki i wymogi ustanowione w niniejszym artykule pozostają bez uszczerbku dla krajowego prawa cywilnego procesowego i krajowego prawa karnego procesowego.</w:t>
            </w:r>
          </w:p>
        </w:tc>
        <w:tc>
          <w:tcPr>
            <w:tcW w:w="788" w:type="pct"/>
            <w:tcBorders>
              <w:top w:val="outset" w:sz="6" w:space="0" w:color="auto"/>
              <w:left w:val="outset" w:sz="6" w:space="0" w:color="auto"/>
              <w:bottom w:val="outset" w:sz="6" w:space="0" w:color="auto"/>
              <w:right w:val="outset" w:sz="6" w:space="0" w:color="auto"/>
            </w:tcBorders>
            <w:vAlign w:val="center"/>
          </w:tcPr>
          <w:p w14:paraId="0B3B78A3" w14:textId="77777777" w:rsidR="00564517" w:rsidRPr="00FB19FC" w:rsidRDefault="009B716A" w:rsidP="00B03963">
            <w:pPr>
              <w:spacing w:after="0" w:line="240" w:lineRule="auto"/>
              <w:rPr>
                <w:rFonts w:ascii="Times New Roman" w:eastAsia="Times New Roman" w:hAnsi="Times New Roman" w:cs="Times New Roman"/>
                <w:sz w:val="24"/>
                <w:szCs w:val="24"/>
                <w:lang w:eastAsia="pl-PL"/>
              </w:rPr>
            </w:pPr>
            <w:r w:rsidRPr="00FB19F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038FB8C5" w14:textId="77777777" w:rsidR="00564517" w:rsidRPr="00FB19FC" w:rsidRDefault="00A36E48" w:rsidP="00B03963">
            <w:pPr>
              <w:spacing w:after="0" w:line="240" w:lineRule="auto"/>
              <w:rPr>
                <w:rFonts w:ascii="Times New Roman" w:eastAsia="Times New Roman" w:hAnsi="Times New Roman" w:cs="Times New Roman"/>
                <w:sz w:val="24"/>
                <w:szCs w:val="24"/>
                <w:lang w:eastAsia="pl-PL"/>
              </w:rPr>
            </w:pPr>
            <w:r w:rsidRPr="00FB19FC">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7DDF6B7C" w14:textId="77777777" w:rsidR="0014625C" w:rsidRPr="0014625C" w:rsidRDefault="0014625C" w:rsidP="0014625C">
            <w:pPr>
              <w:spacing w:after="0" w:line="240" w:lineRule="auto"/>
              <w:rPr>
                <w:rFonts w:ascii="Times New Roman" w:eastAsia="Times New Roman" w:hAnsi="Times New Roman" w:cs="Times New Roman"/>
                <w:sz w:val="24"/>
                <w:szCs w:val="24"/>
                <w:lang w:eastAsia="pl-PL"/>
              </w:rPr>
            </w:pPr>
            <w:r w:rsidRPr="0014625C">
              <w:rPr>
                <w:rFonts w:ascii="Times New Roman" w:eastAsia="Times New Roman" w:hAnsi="Times New Roman" w:cs="Times New Roman"/>
                <w:sz w:val="24"/>
                <w:szCs w:val="24"/>
                <w:lang w:eastAsia="pl-PL"/>
              </w:rPr>
              <w:t>Art. 22za. 1. Nakaz podjęcia działań przeciwko nielegalnym treściom, o którym mowa w art. 9 ust. 1 rozporządzenia 2022/2065, wydany przez organ administracji publicznej albo sąd, spełnia warunki, o których mowa w art. 9 ust. 2 rozporządzenia 2022/2065.</w:t>
            </w:r>
          </w:p>
          <w:p w14:paraId="34672296" w14:textId="7F2B7106" w:rsidR="0014625C" w:rsidRDefault="0014625C" w:rsidP="0014625C">
            <w:pPr>
              <w:spacing w:after="0" w:line="240" w:lineRule="auto"/>
              <w:rPr>
                <w:rFonts w:ascii="Times New Roman" w:eastAsia="Times New Roman" w:hAnsi="Times New Roman" w:cs="Times New Roman"/>
                <w:sz w:val="24"/>
                <w:szCs w:val="24"/>
                <w:lang w:eastAsia="pl-PL"/>
              </w:rPr>
            </w:pPr>
            <w:r w:rsidRPr="0014625C">
              <w:rPr>
                <w:rFonts w:ascii="Times New Roman" w:eastAsia="Times New Roman" w:hAnsi="Times New Roman" w:cs="Times New Roman"/>
                <w:sz w:val="24"/>
                <w:szCs w:val="24"/>
                <w:lang w:eastAsia="pl-PL"/>
              </w:rPr>
              <w:t xml:space="preserve">2. Organ wydający nakaz doręcza nakaz Prezesowi UKE, w terminie 7 dni od dnia wydania nakazu, wraz z otrzymanymi od dostawcy usług pośrednich informacjami o </w:t>
            </w:r>
            <w:r w:rsidRPr="0014625C">
              <w:rPr>
                <w:rFonts w:ascii="Times New Roman" w:eastAsia="Times New Roman" w:hAnsi="Times New Roman" w:cs="Times New Roman"/>
                <w:sz w:val="24"/>
                <w:szCs w:val="24"/>
                <w:lang w:eastAsia="pl-PL"/>
              </w:rPr>
              <w:lastRenderedPageBreak/>
              <w:t>działaniach podjętych w odpowiedzi na ten nakaz.</w:t>
            </w:r>
          </w:p>
          <w:p w14:paraId="5ABD3898" w14:textId="77777777" w:rsidR="0014625C" w:rsidRDefault="0014625C" w:rsidP="00A36E48">
            <w:pPr>
              <w:spacing w:after="0" w:line="240" w:lineRule="auto"/>
              <w:rPr>
                <w:rFonts w:ascii="Times New Roman" w:eastAsia="Times New Roman" w:hAnsi="Times New Roman" w:cs="Times New Roman"/>
                <w:sz w:val="24"/>
                <w:szCs w:val="24"/>
                <w:lang w:eastAsia="pl-PL"/>
              </w:rPr>
            </w:pPr>
          </w:p>
          <w:p w14:paraId="39756F43" w14:textId="77777777" w:rsidR="00564517" w:rsidRPr="00FB19FC" w:rsidRDefault="00564517" w:rsidP="0014625C">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93A25A5"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r>
      <w:tr w:rsidR="00AC2F95" w:rsidRPr="00B03963" w14:paraId="184633C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43C0B94"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10 </w:t>
            </w:r>
          </w:p>
        </w:tc>
        <w:tc>
          <w:tcPr>
            <w:tcW w:w="1650" w:type="pct"/>
            <w:tcBorders>
              <w:top w:val="outset" w:sz="6" w:space="0" w:color="auto"/>
              <w:left w:val="outset" w:sz="6" w:space="0" w:color="auto"/>
              <w:bottom w:val="outset" w:sz="6" w:space="0" w:color="auto"/>
              <w:right w:val="outset" w:sz="6" w:space="0" w:color="auto"/>
            </w:tcBorders>
            <w:vAlign w:val="center"/>
          </w:tcPr>
          <w:p w14:paraId="7E94F01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Po otrzymaniu nakazu udzielenia określonych informacji na temat co najmniej jednego określonego indywidualnego odbiorcy usługi, wydanego przez odpowiednie krajowe organy sądowe lub administracyjne na podstawie mającego zastosowanie prawa Unii lub mającego zastosowanie prawa krajowego zgodnego z prawem Unii, dostawcy usług pośrednich bez zbędnej zwłoki informują organ, który wydał nakaz, lub inny organ określony w nakazie o jego otrzymaniu oraz o działaniach podjętych w odpowiedzi na ten nakaz, wskazując, czy i kiedy zostały podjęte działania w odpowiedzi na ten nakaz.</w:t>
            </w:r>
          </w:p>
          <w:p w14:paraId="32CCE0C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1" w:name="mip65352660"/>
            <w:bookmarkEnd w:id="41"/>
            <w:r w:rsidRPr="00564517">
              <w:rPr>
                <w:rFonts w:ascii="Times New Roman" w:eastAsia="Times New Roman" w:hAnsi="Times New Roman" w:cs="Times New Roman"/>
                <w:sz w:val="24"/>
                <w:szCs w:val="24"/>
                <w:lang w:eastAsia="pl-PL"/>
              </w:rPr>
              <w:t>2. Państwa członkowskie zapewniają, aby w przypadku przekazania dostawcy nakazu o którym mowa w ust. 1, nakaz ten spełniał co najmniej następujące warunki:</w:t>
            </w:r>
          </w:p>
          <w:p w14:paraId="78D81485"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bookmarkStart w:id="42" w:name="mip65352662"/>
            <w:bookmarkEnd w:id="42"/>
            <w:r>
              <w:rPr>
                <w:rFonts w:ascii="Times New Roman" w:eastAsia="Times New Roman" w:hAnsi="Times New Roman" w:cs="Times New Roman"/>
                <w:sz w:val="24"/>
                <w:szCs w:val="24"/>
                <w:lang w:eastAsia="pl-PL"/>
              </w:rPr>
              <w:t xml:space="preserve">a) </w:t>
            </w:r>
            <w:r w:rsidR="00564517" w:rsidRPr="00564517">
              <w:rPr>
                <w:rFonts w:ascii="Times New Roman" w:eastAsia="Times New Roman" w:hAnsi="Times New Roman" w:cs="Times New Roman"/>
                <w:sz w:val="24"/>
                <w:szCs w:val="24"/>
                <w:lang w:eastAsia="pl-PL"/>
              </w:rPr>
              <w:t>nakaz musi zawierać następujące elementy:</w:t>
            </w:r>
          </w:p>
          <w:p w14:paraId="1498378B"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w:t>
            </w:r>
            <w:r w:rsidR="00564517" w:rsidRPr="00564517">
              <w:rPr>
                <w:rFonts w:ascii="Times New Roman" w:eastAsia="Times New Roman" w:hAnsi="Times New Roman" w:cs="Times New Roman"/>
                <w:sz w:val="24"/>
                <w:szCs w:val="24"/>
                <w:lang w:eastAsia="pl-PL"/>
              </w:rPr>
              <w:t>przywołanie podstawy prawnej nakazu zgodnie z prawem Unii lub prawem krajowym;</w:t>
            </w:r>
          </w:p>
          <w:p w14:paraId="2E97817A"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(ii) </w:t>
            </w:r>
            <w:r w:rsidR="00564517" w:rsidRPr="00564517">
              <w:rPr>
                <w:rFonts w:ascii="Times New Roman" w:eastAsia="Times New Roman" w:hAnsi="Times New Roman" w:cs="Times New Roman"/>
                <w:sz w:val="24"/>
                <w:szCs w:val="24"/>
                <w:lang w:eastAsia="pl-PL"/>
              </w:rPr>
              <w:t>informacje służące wskazaniu organu wydającego nakaz;</w:t>
            </w:r>
          </w:p>
          <w:p w14:paraId="054EDEB8"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(iii) </w:t>
            </w:r>
            <w:r w:rsidR="00564517" w:rsidRPr="00564517">
              <w:rPr>
                <w:rFonts w:ascii="Times New Roman" w:eastAsia="Times New Roman" w:hAnsi="Times New Roman" w:cs="Times New Roman"/>
                <w:sz w:val="24"/>
                <w:szCs w:val="24"/>
                <w:lang w:eastAsia="pl-PL"/>
              </w:rPr>
              <w:t>jasne informacje umożliwiające dostawcy usług pośrednich zidentyfikowanie konkretnego odbiorcy lub odbiorców, na temat których poszukiwane są informacje, takie jak co najmniej jedna nazwa rachunku lub niepowtarzalne identyfikatory;</w:t>
            </w:r>
          </w:p>
          <w:p w14:paraId="3DC2F191"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(iv) </w:t>
            </w:r>
            <w:r w:rsidR="00564517" w:rsidRPr="00564517">
              <w:rPr>
                <w:rFonts w:ascii="Times New Roman" w:eastAsia="Times New Roman" w:hAnsi="Times New Roman" w:cs="Times New Roman"/>
                <w:sz w:val="24"/>
                <w:szCs w:val="24"/>
                <w:lang w:eastAsia="pl-PL"/>
              </w:rPr>
              <w:t xml:space="preserve">uzasadnienie wyjaśniające cel, dla którego wymaga się udzielenia informacji oraz dla którego wymóg przekazania informacji jest niezbędny i proporcjonalny w celu określenia, czy odbiorcy usług pośrednich przestrzegają mającego zastosowanie prawa Unii lub prawa krajowego zgodnego z prawem Unii, chyba że nie można podać takiego uzasadnienia z przyczyn </w:t>
            </w:r>
            <w:r w:rsidR="00564517" w:rsidRPr="00564517">
              <w:rPr>
                <w:rFonts w:ascii="Times New Roman" w:eastAsia="Times New Roman" w:hAnsi="Times New Roman" w:cs="Times New Roman"/>
                <w:sz w:val="24"/>
                <w:szCs w:val="24"/>
                <w:lang w:eastAsia="pl-PL"/>
              </w:rPr>
              <w:lastRenderedPageBreak/>
              <w:t>związanych z zapobieganiem przestępczości, prowadzeniem postępowań przygotowawczych, wykrywaniem lub ściganiem przestępstw;</w:t>
            </w:r>
          </w:p>
          <w:p w14:paraId="7ABA0E68"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 </w:t>
            </w:r>
            <w:r w:rsidR="00564517" w:rsidRPr="00564517">
              <w:rPr>
                <w:rFonts w:ascii="Times New Roman" w:eastAsia="Times New Roman" w:hAnsi="Times New Roman" w:cs="Times New Roman"/>
                <w:sz w:val="24"/>
                <w:szCs w:val="24"/>
                <w:lang w:eastAsia="pl-PL"/>
              </w:rPr>
              <w:t>informacje na temat mechanizmów odwoławczych przysługujących dostawcy i zainteresowanym odbiorcom danej usługi;</w:t>
            </w:r>
          </w:p>
          <w:p w14:paraId="4EC7979A"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(vi) </w:t>
            </w:r>
            <w:r w:rsidR="00564517" w:rsidRPr="00564517">
              <w:rPr>
                <w:rFonts w:ascii="Times New Roman" w:eastAsia="Times New Roman" w:hAnsi="Times New Roman" w:cs="Times New Roman"/>
                <w:sz w:val="24"/>
                <w:szCs w:val="24"/>
                <w:lang w:eastAsia="pl-PL"/>
              </w:rPr>
              <w:t>w stosownych przypadkach, informacje o tym, do którego organu należy przekazać informacje o działaniach podjętych w odpowiedzi na ten nakaz;</w:t>
            </w:r>
          </w:p>
          <w:p w14:paraId="5A0FD778"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bookmarkStart w:id="43" w:name="mip65352663"/>
            <w:bookmarkEnd w:id="43"/>
            <w:r>
              <w:rPr>
                <w:rFonts w:ascii="Times New Roman" w:eastAsia="Times New Roman" w:hAnsi="Times New Roman" w:cs="Times New Roman"/>
                <w:sz w:val="24"/>
                <w:szCs w:val="24"/>
                <w:lang w:eastAsia="pl-PL"/>
              </w:rPr>
              <w:t xml:space="preserve">b) </w:t>
            </w:r>
            <w:r w:rsidR="00564517" w:rsidRPr="00564517">
              <w:rPr>
                <w:rFonts w:ascii="Times New Roman" w:eastAsia="Times New Roman" w:hAnsi="Times New Roman" w:cs="Times New Roman"/>
                <w:sz w:val="24"/>
                <w:szCs w:val="24"/>
                <w:lang w:eastAsia="pl-PL"/>
              </w:rPr>
              <w:t>nakaz może wymagać wyłącznie, aby dostawca udzielił informacji już zgromadzonych na potrzeby świadczenia usługi i znajdujących się pod kontrolą dostawcy;</w:t>
            </w:r>
          </w:p>
          <w:p w14:paraId="2CC9FF58"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bookmarkStart w:id="44" w:name="mip65352664"/>
            <w:bookmarkEnd w:id="44"/>
            <w:r>
              <w:rPr>
                <w:rFonts w:ascii="Times New Roman" w:eastAsia="Times New Roman" w:hAnsi="Times New Roman" w:cs="Times New Roman"/>
                <w:sz w:val="24"/>
                <w:szCs w:val="24"/>
                <w:lang w:eastAsia="pl-PL"/>
              </w:rPr>
              <w:t xml:space="preserve">c) </w:t>
            </w:r>
            <w:r w:rsidR="00564517" w:rsidRPr="00564517">
              <w:rPr>
                <w:rFonts w:ascii="Times New Roman" w:eastAsia="Times New Roman" w:hAnsi="Times New Roman" w:cs="Times New Roman"/>
                <w:sz w:val="24"/>
                <w:szCs w:val="24"/>
                <w:lang w:eastAsia="pl-PL"/>
              </w:rPr>
              <w:t>nakaz musi być przekazany w jednym z języków zadeklarowanych przez dostawcę usług pośrednich na podstawie art. 11 ust. 3 lub w innym języku urzędowym państw członkowskich, uzgodnionym przez organ wydający nakaz i dostawcę, a ponadto musi być przesłany do elektronicznego punktu kontaktowego, wyznaczonego przez tego dostawcę, zgodnie z art. 11; w przypadku gdy nakaz nie został sporządzony w języku zadeklarowanym przez dostawcę usług pośrednich lub w innym uzgodnionym języku, nakaz można przekazać w języku organu wydającego nakaz, pod warunkiem że towarzyszy mu tłumaczenie co najmniej elementów określonych w lit. a) i b) niniejszego ustępu na taki zadeklarowany lub uzgodniony język.</w:t>
            </w:r>
          </w:p>
          <w:p w14:paraId="5C55AA4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5" w:name="mip65352665"/>
            <w:bookmarkEnd w:id="45"/>
            <w:r w:rsidRPr="00564517">
              <w:rPr>
                <w:rFonts w:ascii="Times New Roman" w:eastAsia="Times New Roman" w:hAnsi="Times New Roman" w:cs="Times New Roman"/>
                <w:sz w:val="24"/>
                <w:szCs w:val="24"/>
                <w:lang w:eastAsia="pl-PL"/>
              </w:rPr>
              <w:t xml:space="preserve">3. Organ wydający nakaz lub, w stosownych przypadkach, organ w nim określony przekazują nakaz koordynatorowi ds. usług cyfrowych z państwa członkowskiego organu wydającego wraz </w:t>
            </w:r>
            <w:r w:rsidRPr="00564517">
              <w:rPr>
                <w:rFonts w:ascii="Times New Roman" w:eastAsia="Times New Roman" w:hAnsi="Times New Roman" w:cs="Times New Roman"/>
                <w:sz w:val="24"/>
                <w:szCs w:val="24"/>
                <w:lang w:eastAsia="pl-PL"/>
              </w:rPr>
              <w:lastRenderedPageBreak/>
              <w:t>z otrzymanymi od dostawcy usług pośrednich informacjami o działaniach podjętych w odpowiedzi na ten nakaz.</w:t>
            </w:r>
          </w:p>
          <w:p w14:paraId="5D71974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6" w:name="mip65352666"/>
            <w:bookmarkEnd w:id="46"/>
            <w:r w:rsidRPr="00564517">
              <w:rPr>
                <w:rFonts w:ascii="Times New Roman" w:eastAsia="Times New Roman" w:hAnsi="Times New Roman" w:cs="Times New Roman"/>
                <w:sz w:val="24"/>
                <w:szCs w:val="24"/>
                <w:lang w:eastAsia="pl-PL"/>
              </w:rPr>
              <w:t>4. Po otrzymaniu nakazu od organu sądowego lub administracyjnego koordynator ds. usług cyfrowych z zainteresowanego państwa członkowskiego bez zbędnej zwłoki przekazuje kopię nakazu, o którym mowa w ust. 1 niniejszego artykułu, wszystkim koordynatorom ds. usług cyfrowych za pośrednictwem systemu ustanowionego zgodnie z art. 85.</w:t>
            </w:r>
          </w:p>
          <w:p w14:paraId="69C4FE1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7" w:name="mip65352667"/>
            <w:bookmarkEnd w:id="47"/>
            <w:r w:rsidRPr="00564517">
              <w:rPr>
                <w:rFonts w:ascii="Times New Roman" w:eastAsia="Times New Roman" w:hAnsi="Times New Roman" w:cs="Times New Roman"/>
                <w:sz w:val="24"/>
                <w:szCs w:val="24"/>
                <w:lang w:eastAsia="pl-PL"/>
              </w:rPr>
              <w:t>5. Najpóźniej w momencie podjęcia działań w odpowiedz na nakaz lub, w stosownych przypadkach, w momencie określonym w nakazie przez organ wydający nakaz, dostawcy usług pośrednich informują odbiorcę danej usługi o otrzymanym nakazie i działaniach podjętych w odpowiedzi na ten nakaz. Takie informacje przekazane odbiorcy usługi obejmują uzasadnienie i istniejące możliwości odwołania się, zgodnie z ust. 2.</w:t>
            </w:r>
          </w:p>
          <w:p w14:paraId="4555ACC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8" w:name="mip65352668"/>
            <w:bookmarkEnd w:id="48"/>
            <w:r w:rsidRPr="00564517">
              <w:rPr>
                <w:rFonts w:ascii="Times New Roman" w:eastAsia="Times New Roman" w:hAnsi="Times New Roman" w:cs="Times New Roman"/>
                <w:sz w:val="24"/>
                <w:szCs w:val="24"/>
                <w:lang w:eastAsia="pl-PL"/>
              </w:rPr>
              <w:t>6. Warunki i wymogi ustanowione w niniejszym artykule pozostają bez uszczerbku dla krajowego prawa cywilnego procesowego i krajowego prawa karnego procesowego.</w:t>
            </w:r>
          </w:p>
          <w:p w14:paraId="02D1122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9B211D3" w14:textId="77777777" w:rsidR="00564517" w:rsidRPr="008D5DAB" w:rsidRDefault="009B716A" w:rsidP="00B03963">
            <w:pPr>
              <w:spacing w:after="0" w:line="240" w:lineRule="auto"/>
              <w:rPr>
                <w:rFonts w:ascii="Times New Roman" w:eastAsia="Times New Roman" w:hAnsi="Times New Roman" w:cs="Times New Roman"/>
                <w:sz w:val="24"/>
                <w:szCs w:val="24"/>
                <w:lang w:eastAsia="pl-PL"/>
              </w:rPr>
            </w:pPr>
            <w:r w:rsidRPr="008D5DAB">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F629336" w14:textId="77777777" w:rsidR="00564517" w:rsidRPr="008D5DAB" w:rsidRDefault="00A36E48" w:rsidP="00B03963">
            <w:pPr>
              <w:spacing w:after="0" w:line="240" w:lineRule="auto"/>
              <w:rPr>
                <w:rFonts w:ascii="Times New Roman" w:eastAsia="Times New Roman" w:hAnsi="Times New Roman" w:cs="Times New Roman"/>
                <w:sz w:val="24"/>
                <w:szCs w:val="24"/>
                <w:lang w:eastAsia="pl-PL"/>
              </w:rPr>
            </w:pPr>
            <w:r w:rsidRPr="008D5DAB">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1424B0B8" w14:textId="77777777" w:rsidR="00C35782" w:rsidRPr="00C35782" w:rsidRDefault="00C35782" w:rsidP="00C35782">
            <w:pPr>
              <w:spacing w:after="0" w:line="240" w:lineRule="auto"/>
              <w:rPr>
                <w:rFonts w:ascii="Times New Roman" w:eastAsia="Times New Roman" w:hAnsi="Times New Roman" w:cs="Times New Roman"/>
                <w:sz w:val="24"/>
                <w:szCs w:val="24"/>
                <w:lang w:eastAsia="pl-PL"/>
              </w:rPr>
            </w:pPr>
            <w:r w:rsidRPr="00C35782">
              <w:rPr>
                <w:rFonts w:ascii="Times New Roman" w:eastAsia="Times New Roman" w:hAnsi="Times New Roman" w:cs="Times New Roman"/>
                <w:sz w:val="24"/>
                <w:szCs w:val="24"/>
                <w:lang w:eastAsia="pl-PL"/>
              </w:rPr>
              <w:t>Art. 22zb. 1. Nakaz udzielenia informacji, o którym mowa w art. 10 ust. 1 rozporządzenia 2022/2065, wydany przez organ administracji publicznej albo sąd spełnia warunki, o których mowa w art. 10 ust. 2 rozporządzenia 2022/2065.</w:t>
            </w:r>
          </w:p>
          <w:p w14:paraId="1188EC42" w14:textId="5E9C44B4" w:rsidR="00C35782" w:rsidRDefault="00C35782" w:rsidP="00C35782">
            <w:pPr>
              <w:spacing w:after="0" w:line="240" w:lineRule="auto"/>
              <w:rPr>
                <w:rFonts w:ascii="Times New Roman" w:eastAsia="Times New Roman" w:hAnsi="Times New Roman" w:cs="Times New Roman"/>
                <w:sz w:val="24"/>
                <w:szCs w:val="24"/>
                <w:lang w:eastAsia="pl-PL"/>
              </w:rPr>
            </w:pPr>
            <w:r w:rsidRPr="00C35782">
              <w:rPr>
                <w:rFonts w:ascii="Times New Roman" w:eastAsia="Times New Roman" w:hAnsi="Times New Roman" w:cs="Times New Roman"/>
                <w:sz w:val="24"/>
                <w:szCs w:val="24"/>
                <w:lang w:eastAsia="pl-PL"/>
              </w:rPr>
              <w:t>2. Organ wydający nakaz doręcza nakaz Prezesowi UKE w terminie 7 dni od dnia wydania nakazu wraz z otrzymanymi od dostawcy usług pośrednich informacjami o działaniach podjętych w odpowiedzi na ten nakaz.</w:t>
            </w:r>
          </w:p>
          <w:p w14:paraId="3BD096EF" w14:textId="77777777" w:rsidR="00C35782" w:rsidRDefault="00C35782" w:rsidP="00773A19">
            <w:pPr>
              <w:spacing w:after="0" w:line="240" w:lineRule="auto"/>
              <w:rPr>
                <w:rFonts w:ascii="Times New Roman" w:eastAsia="Times New Roman" w:hAnsi="Times New Roman" w:cs="Times New Roman"/>
                <w:sz w:val="24"/>
                <w:szCs w:val="24"/>
                <w:lang w:eastAsia="pl-PL"/>
              </w:rPr>
            </w:pPr>
          </w:p>
          <w:p w14:paraId="3CF37205" w14:textId="77777777" w:rsidR="00564517" w:rsidRPr="008D5DAB" w:rsidRDefault="00564517" w:rsidP="00C35782">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26A04C7"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r>
      <w:tr w:rsidR="00AC2F95" w:rsidRPr="00B03963" w14:paraId="62A3D66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83CA824"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11</w:t>
            </w:r>
          </w:p>
        </w:tc>
        <w:tc>
          <w:tcPr>
            <w:tcW w:w="1650" w:type="pct"/>
            <w:tcBorders>
              <w:top w:val="outset" w:sz="6" w:space="0" w:color="auto"/>
              <w:left w:val="outset" w:sz="6" w:space="0" w:color="auto"/>
              <w:bottom w:val="outset" w:sz="6" w:space="0" w:color="auto"/>
              <w:right w:val="outset" w:sz="6" w:space="0" w:color="auto"/>
            </w:tcBorders>
            <w:vAlign w:val="center"/>
          </w:tcPr>
          <w:p w14:paraId="2A0B40E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Dostawcy usług pośrednich wyznaczają pojedynczy punkt kontaktowy umożliwiający im bezpośrednią komunikację – drogą elektroniczną – z organami państw członkowskich, Komisją i Radą Usług Cyfrowych, o której mowa w art. 61, na potrzeby stosowania niniejszego rozporządzenia.</w:t>
            </w:r>
          </w:p>
          <w:p w14:paraId="0CC6816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9" w:name="mip65352673"/>
            <w:bookmarkEnd w:id="49"/>
            <w:r w:rsidRPr="00564517">
              <w:rPr>
                <w:rFonts w:ascii="Times New Roman" w:eastAsia="Times New Roman" w:hAnsi="Times New Roman" w:cs="Times New Roman"/>
                <w:sz w:val="24"/>
                <w:szCs w:val="24"/>
                <w:lang w:eastAsia="pl-PL"/>
              </w:rPr>
              <w:lastRenderedPageBreak/>
              <w:t>2. Dostawcy usług pośrednich udostępniają publicznie informacje niezbędne do łatwego zidentyfikowania ich pojedynczych punktów kontaktowych i kontaktowania się z nimi. Informacje te muszą być łatwo dostępne i aktualizowane.</w:t>
            </w:r>
          </w:p>
          <w:p w14:paraId="365EA32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0" w:name="mip65352674"/>
            <w:bookmarkEnd w:id="50"/>
            <w:r w:rsidRPr="00564517">
              <w:rPr>
                <w:rFonts w:ascii="Times New Roman" w:eastAsia="Times New Roman" w:hAnsi="Times New Roman" w:cs="Times New Roman"/>
                <w:sz w:val="24"/>
                <w:szCs w:val="24"/>
                <w:lang w:eastAsia="pl-PL"/>
              </w:rPr>
              <w:t>3. W informacjach, o których mowa w ust. 2, dostawcy usług pośrednich określają język lub języki urzędowe państw członkowskich, które, oprócz języka szeroko rozumianego przez jak największą liczbę obywateli Unii, można wykorzystywać do celów komunikacji z ich punktami kontaktowymi i które muszą obejmować co najmniej jeden z języków urzędowych państwa członkowskiego, w którym dostawca usług pośrednich ma swoje główne miejsce prowadzenia działalności lub w którym jego przedstawiciel prawny ma miejsce zamieszkania lub siedzibę.</w:t>
            </w:r>
          </w:p>
          <w:p w14:paraId="67A525F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5AE7409"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0A6480C"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626D8D7"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B5979D5"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43ABA9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2649777"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12 </w:t>
            </w:r>
          </w:p>
        </w:tc>
        <w:tc>
          <w:tcPr>
            <w:tcW w:w="1650" w:type="pct"/>
            <w:tcBorders>
              <w:top w:val="outset" w:sz="6" w:space="0" w:color="auto"/>
              <w:left w:val="outset" w:sz="6" w:space="0" w:color="auto"/>
              <w:bottom w:val="outset" w:sz="6" w:space="0" w:color="auto"/>
              <w:right w:val="outset" w:sz="6" w:space="0" w:color="auto"/>
            </w:tcBorders>
            <w:vAlign w:val="center"/>
          </w:tcPr>
          <w:p w14:paraId="2813819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Dostawcy usług pośrednich wyznaczają pojedynczy punkt kontaktowy umożliwiający odbiorcom usługi bezpośrednią i szybką komunikację z nimi, drogą elektroniczną i w sposób przyjazny dla użytkownika, w tym poprzez umożliwienie odbiorcom usługi wyboru środków komunikacji, które nie mogą opierać się wyłącznie na zautomatyzowanych narzędziach.</w:t>
            </w:r>
          </w:p>
          <w:p w14:paraId="0F5FD4D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1" w:name="mip65352677"/>
            <w:bookmarkEnd w:id="51"/>
            <w:r w:rsidRPr="00564517">
              <w:rPr>
                <w:rFonts w:ascii="Times New Roman" w:eastAsia="Times New Roman" w:hAnsi="Times New Roman" w:cs="Times New Roman"/>
                <w:sz w:val="24"/>
                <w:szCs w:val="24"/>
                <w:lang w:eastAsia="pl-PL"/>
              </w:rPr>
              <w:t>2. W uzupełnieniu obowiązków ustanowionych w dyrektywie 2000/31/WE dostawcy usług pośrednich udostępniają publicznie informacje niezbędne użytkownikom usługi do łatwego zidentyfikowania ich pojedynczych punktów kontaktowych i kontaktowania się z nimi. Informacje te muszą być łatwo dostępne i aktualizowane.</w:t>
            </w:r>
          </w:p>
          <w:p w14:paraId="6A74815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293970B"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31634B2"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5F0773E"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51B528D"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68C25F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C145A98"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13</w:t>
            </w:r>
          </w:p>
        </w:tc>
        <w:tc>
          <w:tcPr>
            <w:tcW w:w="1650" w:type="pct"/>
            <w:tcBorders>
              <w:top w:val="outset" w:sz="6" w:space="0" w:color="auto"/>
              <w:left w:val="outset" w:sz="6" w:space="0" w:color="auto"/>
              <w:bottom w:val="outset" w:sz="6" w:space="0" w:color="auto"/>
              <w:right w:val="outset" w:sz="6" w:space="0" w:color="auto"/>
            </w:tcBorders>
            <w:vAlign w:val="center"/>
          </w:tcPr>
          <w:p w14:paraId="03E42DE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Dostawcy usług pośrednich, którzy nie mają siedziby w Unii, ale oferują usługi w Unii wyznaczają na piśmie osobę prawną lub fizyczną do działania w charakterze ich przedstawiciela prawnego w jednym z państw członkowskich, w których dostawca oferuje swoje usługi.</w:t>
            </w:r>
          </w:p>
          <w:p w14:paraId="63C1784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2" w:name="mip65352680"/>
            <w:bookmarkEnd w:id="52"/>
            <w:r w:rsidRPr="00564517">
              <w:rPr>
                <w:rFonts w:ascii="Times New Roman" w:eastAsia="Times New Roman" w:hAnsi="Times New Roman" w:cs="Times New Roman"/>
                <w:sz w:val="24"/>
                <w:szCs w:val="24"/>
                <w:lang w:eastAsia="pl-PL"/>
              </w:rPr>
              <w:t>2. Dostawcy usług pośrednich upoważniają swoich przedstawicieli prawnych do tego, aby właściwe organy państw członkowskich, Komisja oraz Rada Usług Cyfrowych zwracały się do nich – zamiast do takiego dostawcy lub dodatkowo – w odniesieniu do wszystkich kwestii niezbędnych do otrzymywania decyzji wydawanych w związku z niniejszym rozporządzeniem oraz stosowania się do nich i ich egzekwowania. Dostawcy usług pośrednich przekazują swojemu przedstawicielowi prawnemu niezbędne uprawnienia oraz wystarczające zasoby, aby zagwarantować ich skuteczną i terminową współpracę z właściwymi organami państw członkowskich, Komisją i Radą Usług Cyfrowych oraz zastosowanie się do takich decyzji.</w:t>
            </w:r>
          </w:p>
          <w:p w14:paraId="102FACE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3" w:name="mip65352681"/>
            <w:bookmarkEnd w:id="53"/>
            <w:r w:rsidRPr="00564517">
              <w:rPr>
                <w:rFonts w:ascii="Times New Roman" w:eastAsia="Times New Roman" w:hAnsi="Times New Roman" w:cs="Times New Roman"/>
                <w:sz w:val="24"/>
                <w:szCs w:val="24"/>
                <w:lang w:eastAsia="pl-PL"/>
              </w:rPr>
              <w:t>3. Wyznaczony przedstawiciel prawny może zostać pociągnięty do odpowiedzialności z tytułu niewypełniania obowiązków wynikających z niniejszego rozporządzenia bez uszczerbku dla odpowiedzialności dostawcy usług pośrednich i kroków prawnych, które mogą zostać przeciwko niemu podjęte.</w:t>
            </w:r>
          </w:p>
          <w:p w14:paraId="10082E5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4" w:name="mip65352682"/>
            <w:bookmarkEnd w:id="54"/>
            <w:r w:rsidRPr="00564517">
              <w:rPr>
                <w:rFonts w:ascii="Times New Roman" w:eastAsia="Times New Roman" w:hAnsi="Times New Roman" w:cs="Times New Roman"/>
                <w:sz w:val="24"/>
                <w:szCs w:val="24"/>
                <w:lang w:eastAsia="pl-PL"/>
              </w:rPr>
              <w:t xml:space="preserve">4. Dostawcy usług pośrednich podają koordynatorowi ds. usług cyfrowych w państwie członkowskim, w którym ich przedstawiciel prawny ma miejsce zamieszkania lub siedzibę, imię i nazwisko lub nazwę, </w:t>
            </w:r>
            <w:r w:rsidRPr="00564517">
              <w:rPr>
                <w:rFonts w:ascii="Times New Roman" w:eastAsia="Times New Roman" w:hAnsi="Times New Roman" w:cs="Times New Roman"/>
                <w:sz w:val="24"/>
                <w:szCs w:val="24"/>
                <w:lang w:eastAsia="pl-PL"/>
              </w:rPr>
              <w:lastRenderedPageBreak/>
              <w:t>adres pocztowy, adres e-mail oraz numer telefonu tego przedstawiciela prawnego. Dostawcy zapewniają, aby informacje te zostały podane do wiadomości publicznej i aby były łatwo dostępne, prawidłowe oraz aktualne.</w:t>
            </w:r>
          </w:p>
          <w:p w14:paraId="24E5DFE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5" w:name="mip65352683"/>
            <w:bookmarkEnd w:id="55"/>
            <w:r w:rsidRPr="00564517">
              <w:rPr>
                <w:rFonts w:ascii="Times New Roman" w:eastAsia="Times New Roman" w:hAnsi="Times New Roman" w:cs="Times New Roman"/>
                <w:sz w:val="24"/>
                <w:szCs w:val="24"/>
                <w:lang w:eastAsia="pl-PL"/>
              </w:rPr>
              <w:t>5. Wyznaczenie przedstawiciela prawnego na terytorium Unii zgodnie z ust. 1 nie jest równoznaczne z posiadaniem siedziby w Unii.</w:t>
            </w:r>
          </w:p>
          <w:p w14:paraId="21CC3C4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332081A"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16D94C7"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3F16D24"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FF49F32"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ADB583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9987428"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14</w:t>
            </w:r>
          </w:p>
        </w:tc>
        <w:tc>
          <w:tcPr>
            <w:tcW w:w="1650" w:type="pct"/>
            <w:tcBorders>
              <w:top w:val="outset" w:sz="6" w:space="0" w:color="auto"/>
              <w:left w:val="outset" w:sz="6" w:space="0" w:color="auto"/>
              <w:bottom w:val="outset" w:sz="6" w:space="0" w:color="auto"/>
              <w:right w:val="outset" w:sz="6" w:space="0" w:color="auto"/>
            </w:tcBorders>
            <w:vAlign w:val="center"/>
          </w:tcPr>
          <w:p w14:paraId="38ACE1B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warunkach korzystania z usług dostawcy usług pośrednich uwzględniają informacje na temat wszelkich ograniczeń, które nakładają w związku z korzystaniem z ich usług, w odniesieniu do informacji przekazywanych przez odbiorców usługi. Informacje te muszą zawierać informacje na temat wszelkich polityk, procedur, środków i narzędzi wykorzystywanych na potrzeby moderowania treści, w tym na temat algorytmicznego podejmowania decyzji i przeglądu dokonywanego przez człowieka, a także na temat regulaminu wewnętrznego systemu rozpatrywania skarg. Informacje te formułuje się jasno i w sposób prosty, zrozumiały, przyjazny dla użytkownika i jednoznaczny oraz podaje do wiadomości publicznej w łatwo dostępnym i nadającym się do odczytu maszynowego formacie.</w:t>
            </w:r>
          </w:p>
          <w:p w14:paraId="5B5B483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6" w:name="mip65352686"/>
            <w:bookmarkEnd w:id="56"/>
            <w:r w:rsidRPr="00564517">
              <w:rPr>
                <w:rFonts w:ascii="Times New Roman" w:eastAsia="Times New Roman" w:hAnsi="Times New Roman" w:cs="Times New Roman"/>
                <w:sz w:val="24"/>
                <w:szCs w:val="24"/>
                <w:lang w:eastAsia="pl-PL"/>
              </w:rPr>
              <w:t>2. Dostawcy usług pośrednich informują odbiorców usługi o wszelkich istotnych zmianach warunków korzystania z usług.</w:t>
            </w:r>
          </w:p>
          <w:p w14:paraId="57EE956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7" w:name="mip65352687"/>
            <w:bookmarkEnd w:id="57"/>
            <w:r w:rsidRPr="00564517">
              <w:rPr>
                <w:rFonts w:ascii="Times New Roman" w:eastAsia="Times New Roman" w:hAnsi="Times New Roman" w:cs="Times New Roman"/>
                <w:sz w:val="24"/>
                <w:szCs w:val="24"/>
                <w:lang w:eastAsia="pl-PL"/>
              </w:rPr>
              <w:t xml:space="preserve">3. Jeżeli usługa pośrednia jest skierowana przede wszystkim do małoletnich lub gdy korzystają z niej w głównej mierze małoletni, dostawca usługi pośredniej </w:t>
            </w:r>
            <w:r w:rsidRPr="00564517">
              <w:rPr>
                <w:rFonts w:ascii="Times New Roman" w:eastAsia="Times New Roman" w:hAnsi="Times New Roman" w:cs="Times New Roman"/>
                <w:sz w:val="24"/>
                <w:szCs w:val="24"/>
                <w:lang w:eastAsia="pl-PL"/>
              </w:rPr>
              <w:lastRenderedPageBreak/>
              <w:t>wyjaśnia warunki i ograniczenia korzystania z tej usługi w sposób zrozumiały dla małoletnich.</w:t>
            </w:r>
          </w:p>
          <w:p w14:paraId="76E5D945"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8" w:name="mip65352688"/>
            <w:bookmarkEnd w:id="58"/>
            <w:r w:rsidRPr="00564517">
              <w:rPr>
                <w:rFonts w:ascii="Times New Roman" w:eastAsia="Times New Roman" w:hAnsi="Times New Roman" w:cs="Times New Roman"/>
                <w:sz w:val="24"/>
                <w:szCs w:val="24"/>
                <w:lang w:eastAsia="pl-PL"/>
              </w:rPr>
              <w:t>4. Dostawcy usług pośrednich, stosując i egzekwując ograniczenia, o których mowa w ust. 1, działają z należytą starannością, w sposób obiektywny i proporcjonalny oraz z należytym uwzględnieniem praw i prawnie uzasadnionych interesów wszystkich zaangażowanych stron, w tym zapisanych w Karcie praw podstawowych odbiorców usługi, takich jak wolność wypowiedzi, wolność i pluralizm mediów i inne prawa podstawowe i wolności.</w:t>
            </w:r>
          </w:p>
          <w:p w14:paraId="6ACD11E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9" w:name="mip65352689"/>
            <w:bookmarkEnd w:id="59"/>
            <w:r w:rsidRPr="00564517">
              <w:rPr>
                <w:rFonts w:ascii="Times New Roman" w:eastAsia="Times New Roman" w:hAnsi="Times New Roman" w:cs="Times New Roman"/>
                <w:sz w:val="24"/>
                <w:szCs w:val="24"/>
                <w:lang w:eastAsia="pl-PL"/>
              </w:rPr>
              <w:t>5. Dostawcy bardzo dużych platform internetowych i bardzo dużych wyszukiwarek internetowych zapewniają odbiorcom usługi zwięzłe, łatwo dostępne i nadające się do odczytu maszynowego streszczenie warunków korzystania z usług, w tym informacje o dostępnych środkach odwoławczych i mechanizmach odwoławczych, w jasnym i jednoznacznym języku.</w:t>
            </w:r>
          </w:p>
          <w:p w14:paraId="5834525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60" w:name="mip65352690"/>
            <w:bookmarkEnd w:id="60"/>
            <w:r w:rsidRPr="00564517">
              <w:rPr>
                <w:rFonts w:ascii="Times New Roman" w:eastAsia="Times New Roman" w:hAnsi="Times New Roman" w:cs="Times New Roman"/>
                <w:sz w:val="24"/>
                <w:szCs w:val="24"/>
                <w:lang w:eastAsia="pl-PL"/>
              </w:rPr>
              <w:t>6. Bardzo duże platformy internetowe i bardzo duże wyszukiwarki internetowe w rozumieniu art. 33 publikują swoje warunki korzystania z usług w językach urzędowych wszystkich państw członkowskich, w których oferują usługi.</w:t>
            </w:r>
          </w:p>
          <w:p w14:paraId="6A47867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4FF0356"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62FCE3C"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307C564"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C2C4EE4"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7FAE25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BD35F10"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15 </w:t>
            </w:r>
          </w:p>
        </w:tc>
        <w:tc>
          <w:tcPr>
            <w:tcW w:w="1650" w:type="pct"/>
            <w:tcBorders>
              <w:top w:val="outset" w:sz="6" w:space="0" w:color="auto"/>
              <w:left w:val="outset" w:sz="6" w:space="0" w:color="auto"/>
              <w:bottom w:val="outset" w:sz="6" w:space="0" w:color="auto"/>
              <w:right w:val="outset" w:sz="6" w:space="0" w:color="auto"/>
            </w:tcBorders>
            <w:vAlign w:val="center"/>
          </w:tcPr>
          <w:p w14:paraId="36F2CE0B"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r w:rsidRPr="00AC159B">
              <w:rPr>
                <w:rFonts w:ascii="Times New Roman" w:eastAsia="Times New Roman" w:hAnsi="Times New Roman" w:cs="Times New Roman"/>
                <w:sz w:val="24"/>
                <w:szCs w:val="24"/>
                <w:lang w:eastAsia="pl-PL"/>
              </w:rPr>
              <w:t xml:space="preserve">1. Co najmniej raz w roku dostawcy usług pośrednich podają do wiadomości publicznej w formacie nadającym się do odczytu maszynowego oraz w łatwo dostępny sposób jasne, łatwo zrozumiałe sprawozdania dotyczące wszelkiego moderowania treści, które dokonali w danym okresie. Stosownie do przypadku </w:t>
            </w:r>
            <w:r w:rsidRPr="00AC159B">
              <w:rPr>
                <w:rFonts w:ascii="Times New Roman" w:eastAsia="Times New Roman" w:hAnsi="Times New Roman" w:cs="Times New Roman"/>
                <w:sz w:val="24"/>
                <w:szCs w:val="24"/>
                <w:lang w:eastAsia="pl-PL"/>
              </w:rPr>
              <w:lastRenderedPageBreak/>
              <w:t>sprawozdania te zawierają w szczególności następujące informacje:</w:t>
            </w:r>
          </w:p>
          <w:p w14:paraId="1BD73EAF"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1" w:name="mip65352694"/>
            <w:bookmarkEnd w:id="61"/>
            <w:r>
              <w:rPr>
                <w:rFonts w:ascii="Times New Roman" w:eastAsia="Times New Roman" w:hAnsi="Times New Roman" w:cs="Times New Roman"/>
                <w:sz w:val="24"/>
                <w:szCs w:val="24"/>
                <w:lang w:eastAsia="pl-PL"/>
              </w:rPr>
              <w:t xml:space="preserve">a) </w:t>
            </w:r>
            <w:r w:rsidR="00AC159B" w:rsidRPr="00AC159B">
              <w:rPr>
                <w:rFonts w:ascii="Times New Roman" w:eastAsia="Times New Roman" w:hAnsi="Times New Roman" w:cs="Times New Roman"/>
                <w:sz w:val="24"/>
                <w:szCs w:val="24"/>
                <w:lang w:eastAsia="pl-PL"/>
              </w:rPr>
              <w:t>w przypadku dostawców usług pośrednich – liczbę nakazów otrzymanych od organów państw członkowskich, w tym nakazów wydanych zgodnie z art. 9 i 10, pogrupowanych według rodzaju odpowiednich nielegalnych treści, państwo członkowskie wydające nakaz oraz medianę czasu potrzebnego na poinformowanie organu wydającego nakaz lub dowolnego innego organu określonego w nakazie o jego otrzymaniu i na podjęcie działań w odpowiedzi na nakaz;</w:t>
            </w:r>
          </w:p>
          <w:p w14:paraId="2B8C8C61"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2" w:name="mip65352695"/>
            <w:bookmarkEnd w:id="62"/>
            <w:r>
              <w:rPr>
                <w:rFonts w:ascii="Times New Roman" w:eastAsia="Times New Roman" w:hAnsi="Times New Roman" w:cs="Times New Roman"/>
                <w:sz w:val="24"/>
                <w:szCs w:val="24"/>
                <w:lang w:eastAsia="pl-PL"/>
              </w:rPr>
              <w:t xml:space="preserve">b) </w:t>
            </w:r>
            <w:r w:rsidR="00AC159B" w:rsidRPr="00AC159B">
              <w:rPr>
                <w:rFonts w:ascii="Times New Roman" w:eastAsia="Times New Roman" w:hAnsi="Times New Roman" w:cs="Times New Roman"/>
                <w:sz w:val="24"/>
                <w:szCs w:val="24"/>
                <w:lang w:eastAsia="pl-PL"/>
              </w:rPr>
              <w:t>w przypadku dostawców usług hostingu – liczbę zgłoszeń dokonanych zgodnie z art. 16, pogrupowanych według rodzaju odpowiednich potencjalnych nielegalnych treści, liczbę zgłoszeń dokonanych przez zaufane podmioty sygnalizujące, wszelkie działania podjęte zgodnie ze zgłoszeniami w podziale ze względu na to, czy działanie podjęto na podstawie przepisów prawa czy warunków korzystania z usług dostawcy, liczbę zgłoszeń rozpatrywanych z wykorzystaniem zautomatyzowanych środków oraz medianę czasu potrzebnego na podjęcie działania;</w:t>
            </w:r>
          </w:p>
          <w:p w14:paraId="49F21FAF"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3" w:name="mip65352696"/>
            <w:bookmarkEnd w:id="63"/>
            <w:r>
              <w:rPr>
                <w:rFonts w:ascii="Times New Roman" w:eastAsia="Times New Roman" w:hAnsi="Times New Roman" w:cs="Times New Roman"/>
                <w:sz w:val="24"/>
                <w:szCs w:val="24"/>
                <w:lang w:eastAsia="pl-PL"/>
              </w:rPr>
              <w:t xml:space="preserve">c) </w:t>
            </w:r>
            <w:r w:rsidR="00AC159B" w:rsidRPr="00AC159B">
              <w:rPr>
                <w:rFonts w:ascii="Times New Roman" w:eastAsia="Times New Roman" w:hAnsi="Times New Roman" w:cs="Times New Roman"/>
                <w:sz w:val="24"/>
                <w:szCs w:val="24"/>
                <w:lang w:eastAsia="pl-PL"/>
              </w:rPr>
              <w:t xml:space="preserve">w przypadku dostawców usług pośrednich – istotne i zrozumiałe informacje na temat moderowania treści dokonanego z własnej inicjatywy dostawców, w tym na temat korzystania ze zautomatyzowanych narzędzi, środków przyjętych w celu zapewnienia szkoleń i pomocy osobom odpowiedzialnym za moderowanie treści, liczby i rodzaju przyjętych środków, które wpływają na dostępność, widoczność i osiągalność informacji przekazanych przez odbiorców usługi oraz </w:t>
            </w:r>
            <w:r w:rsidR="00AC159B" w:rsidRPr="00AC159B">
              <w:rPr>
                <w:rFonts w:ascii="Times New Roman" w:eastAsia="Times New Roman" w:hAnsi="Times New Roman" w:cs="Times New Roman"/>
                <w:sz w:val="24"/>
                <w:szCs w:val="24"/>
                <w:lang w:eastAsia="pl-PL"/>
              </w:rPr>
              <w:lastRenderedPageBreak/>
              <w:t>na zdolność odbiorców do przekazywania informacji za pośrednictwem usługi, a także innych powiązanych ograniczeń usługi; zawarte w sprawozdaniu informacje grupuje się według rodzaju nielegalnych treści lub naruszenia warunków korzystania z usług dostawcy usług, według metody wykrywania i rodzaju zastosowanego ograniczenia;</w:t>
            </w:r>
          </w:p>
          <w:p w14:paraId="68B64A1F"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4" w:name="mip65352697"/>
            <w:bookmarkEnd w:id="64"/>
            <w:r>
              <w:rPr>
                <w:rFonts w:ascii="Times New Roman" w:eastAsia="Times New Roman" w:hAnsi="Times New Roman" w:cs="Times New Roman"/>
                <w:sz w:val="24"/>
                <w:szCs w:val="24"/>
                <w:lang w:eastAsia="pl-PL"/>
              </w:rPr>
              <w:t xml:space="preserve">d) </w:t>
            </w:r>
            <w:r w:rsidR="00AC159B" w:rsidRPr="00AC159B">
              <w:rPr>
                <w:rFonts w:ascii="Times New Roman" w:eastAsia="Times New Roman" w:hAnsi="Times New Roman" w:cs="Times New Roman"/>
                <w:sz w:val="24"/>
                <w:szCs w:val="24"/>
                <w:lang w:eastAsia="pl-PL"/>
              </w:rPr>
              <w:t>w przypadku dostawców usług pośrednich – liczbę skarg otrzymanych za pośrednictwem wewnętrznych systemów rozpatrywania skarg zgodnie z warunkami korzystania z usług dostawcy oraz dodatkowo, w przypadku dostawców platform internetowych, zgodnie z art. 20, podstawę tych skarg, podjęte w odniesieniu do nich decyzje oraz medianę czasu potrzebnego na podjęcie takich decyzji, a także liczbę przypadków, w których decyzje uchylono;</w:t>
            </w:r>
          </w:p>
          <w:p w14:paraId="34468764"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5" w:name="mip65352698"/>
            <w:bookmarkEnd w:id="65"/>
            <w:r>
              <w:rPr>
                <w:rFonts w:ascii="Times New Roman" w:eastAsia="Times New Roman" w:hAnsi="Times New Roman" w:cs="Times New Roman"/>
                <w:sz w:val="24"/>
                <w:szCs w:val="24"/>
                <w:lang w:eastAsia="pl-PL"/>
              </w:rPr>
              <w:t xml:space="preserve">e) </w:t>
            </w:r>
            <w:r w:rsidR="00AC159B" w:rsidRPr="00AC159B">
              <w:rPr>
                <w:rFonts w:ascii="Times New Roman" w:eastAsia="Times New Roman" w:hAnsi="Times New Roman" w:cs="Times New Roman"/>
                <w:sz w:val="24"/>
                <w:szCs w:val="24"/>
                <w:lang w:eastAsia="pl-PL"/>
              </w:rPr>
              <w:t>wszelkie przypadki wykorzystania zautomatyzowanych środków do celów moderowania treści, w tym opis jakościowy, wyszczególnienie konkretnych celów, wskaźniki dokładności i ewentualny poziom błędu zautomatyzowanych środków wykorzystanych w osiąganiu tych celów oraz zastosowane zabezpieczenia.</w:t>
            </w:r>
          </w:p>
          <w:p w14:paraId="10C4D209"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66" w:name="mip65352699"/>
            <w:bookmarkEnd w:id="66"/>
            <w:r w:rsidRPr="00AC159B">
              <w:rPr>
                <w:rFonts w:ascii="Times New Roman" w:eastAsia="Times New Roman" w:hAnsi="Times New Roman" w:cs="Times New Roman"/>
                <w:sz w:val="24"/>
                <w:szCs w:val="24"/>
                <w:lang w:eastAsia="pl-PL"/>
              </w:rPr>
              <w:t>2. Ust. 1 niniejszego artykułu nie ma zastosowania do dostawców usług pośrednich, którzy kwalifikują się jako mikroprzedsiębiorstwa lub małe przedsiębiorstwa zgodnie z definicją w zaleceniu 2003/361/WE i którzy nie są bardzo dużymi platformami internetowymi w rozumieniu art. 33 niniejszego rozporządzenia.</w:t>
            </w:r>
          </w:p>
          <w:p w14:paraId="69BA5A6A"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67" w:name="mip65352700"/>
            <w:bookmarkEnd w:id="67"/>
            <w:r w:rsidRPr="00AC159B">
              <w:rPr>
                <w:rFonts w:ascii="Times New Roman" w:eastAsia="Times New Roman" w:hAnsi="Times New Roman" w:cs="Times New Roman"/>
                <w:sz w:val="24"/>
                <w:szCs w:val="24"/>
                <w:lang w:eastAsia="pl-PL"/>
              </w:rPr>
              <w:t xml:space="preserve">3. Komisja może przyjmować akty wykonawcze w celu ustanowienia wzorów określających formę, treść i inne szczegóły sprawozdań na podstawie ust. 1 niniejszego </w:t>
            </w:r>
            <w:r w:rsidRPr="00AC159B">
              <w:rPr>
                <w:rFonts w:ascii="Times New Roman" w:eastAsia="Times New Roman" w:hAnsi="Times New Roman" w:cs="Times New Roman"/>
                <w:sz w:val="24"/>
                <w:szCs w:val="24"/>
                <w:lang w:eastAsia="pl-PL"/>
              </w:rPr>
              <w:lastRenderedPageBreak/>
              <w:t>artykułu, w tym zharmonizowane okresy sprawozdawczości. Te akty wykonawcze przyjmuje się zgodnie z procedurą doradczą, o której mowa w art. 88.</w:t>
            </w:r>
          </w:p>
          <w:p w14:paraId="2D2B88B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A28F07A"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F9E7F45"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E8532C9"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6FA361D"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044D95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CAA582" w14:textId="77777777" w:rsidR="00AC159B" w:rsidRDefault="00AC159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16</w:t>
            </w:r>
          </w:p>
        </w:tc>
        <w:tc>
          <w:tcPr>
            <w:tcW w:w="1650" w:type="pct"/>
            <w:tcBorders>
              <w:top w:val="outset" w:sz="6" w:space="0" w:color="auto"/>
              <w:left w:val="outset" w:sz="6" w:space="0" w:color="auto"/>
              <w:bottom w:val="outset" w:sz="6" w:space="0" w:color="auto"/>
              <w:right w:val="outset" w:sz="6" w:space="0" w:color="auto"/>
            </w:tcBorders>
            <w:vAlign w:val="center"/>
          </w:tcPr>
          <w:p w14:paraId="1F3C4E03"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r w:rsidRPr="00AC159B">
              <w:rPr>
                <w:rFonts w:ascii="Times New Roman" w:eastAsia="Times New Roman" w:hAnsi="Times New Roman" w:cs="Times New Roman"/>
                <w:sz w:val="24"/>
                <w:szCs w:val="24"/>
                <w:lang w:eastAsia="pl-PL"/>
              </w:rPr>
              <w:t>1. Dostawcy usług hostingu wdrażają mechanizmy umożliwiające dowolnej osobie lub dowolnemu podmiotowi zgłoszenie im obecności w ich usłudze określonych informacji, które dana osoba lub dany podmiot uważają za nielegalne treści. Mechanizmy te muszą być łatwo dostępne i przyjazne dla użytkownika oraz muszą pozwalać na dokonywanie zgłoszeń wyłącznie drogą elektroniczną.</w:t>
            </w:r>
          </w:p>
          <w:p w14:paraId="67897E23"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68" w:name="mip65352704"/>
            <w:bookmarkEnd w:id="68"/>
            <w:r w:rsidRPr="00AC159B">
              <w:rPr>
                <w:rFonts w:ascii="Times New Roman" w:eastAsia="Times New Roman" w:hAnsi="Times New Roman" w:cs="Times New Roman"/>
                <w:sz w:val="24"/>
                <w:szCs w:val="24"/>
                <w:lang w:eastAsia="pl-PL"/>
              </w:rPr>
              <w:t>2. Mechanizmy, o których mowa w ust. 1, muszą być mechanizmami ułatwiającymi dokonywanie wystarczająco precyzyjnych i odpowiednio uzasadnionych zgłoszeń. W tym celu dostawcy usług hostingu przyjmują niezbędne środki umożliwiające im i ułatwiające dokonywanie zgłoszeń zawierających wszystkie poniższe elementy:</w:t>
            </w:r>
          </w:p>
          <w:p w14:paraId="20B8F5A2"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69" w:name="mip65352706"/>
            <w:bookmarkEnd w:id="69"/>
            <w:r>
              <w:rPr>
                <w:rFonts w:ascii="Times New Roman" w:eastAsia="Times New Roman" w:hAnsi="Times New Roman" w:cs="Times New Roman"/>
                <w:sz w:val="24"/>
                <w:szCs w:val="24"/>
                <w:lang w:eastAsia="pl-PL"/>
              </w:rPr>
              <w:t xml:space="preserve">a) </w:t>
            </w:r>
            <w:r w:rsidR="00AC159B" w:rsidRPr="00AC159B">
              <w:rPr>
                <w:rFonts w:ascii="Times New Roman" w:eastAsia="Times New Roman" w:hAnsi="Times New Roman" w:cs="Times New Roman"/>
                <w:sz w:val="24"/>
                <w:szCs w:val="24"/>
                <w:lang w:eastAsia="pl-PL"/>
              </w:rPr>
              <w:t>wystarczająco uzasadnione wyjaśnienie powodów, dla których dana osoba lub dany podmiot zarzucają, że odpowiednie informacje stanowią nielegalne treści;</w:t>
            </w:r>
          </w:p>
          <w:p w14:paraId="72B4176C"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70" w:name="mip65352707"/>
            <w:bookmarkEnd w:id="70"/>
            <w:r>
              <w:rPr>
                <w:rFonts w:ascii="Times New Roman" w:eastAsia="Times New Roman" w:hAnsi="Times New Roman" w:cs="Times New Roman"/>
                <w:sz w:val="24"/>
                <w:szCs w:val="24"/>
                <w:lang w:eastAsia="pl-PL"/>
              </w:rPr>
              <w:t xml:space="preserve">b) </w:t>
            </w:r>
            <w:r w:rsidR="00AC159B" w:rsidRPr="00AC159B">
              <w:rPr>
                <w:rFonts w:ascii="Times New Roman" w:eastAsia="Times New Roman" w:hAnsi="Times New Roman" w:cs="Times New Roman"/>
                <w:sz w:val="24"/>
                <w:szCs w:val="24"/>
                <w:lang w:eastAsia="pl-PL"/>
              </w:rPr>
              <w:t>jasne wskazanie dokładnej elektronicznej lokalizacji informacji, takiej jak dokładny adres URL lub dokładne adresy URL, oraz, w stosownych przypadkach, dodatkowe informacje umożliwiające identyfikację nielegalnych treści, stosownie do rodzaju treści i konkretnego rodzaju usługi hostingu;</w:t>
            </w:r>
          </w:p>
          <w:p w14:paraId="01F386B2"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71" w:name="mip65352708"/>
            <w:bookmarkEnd w:id="71"/>
            <w:r>
              <w:rPr>
                <w:rFonts w:ascii="Times New Roman" w:eastAsia="Times New Roman" w:hAnsi="Times New Roman" w:cs="Times New Roman"/>
                <w:sz w:val="24"/>
                <w:szCs w:val="24"/>
                <w:lang w:eastAsia="pl-PL"/>
              </w:rPr>
              <w:t xml:space="preserve">c) </w:t>
            </w:r>
            <w:r w:rsidR="00AC159B" w:rsidRPr="00AC159B">
              <w:rPr>
                <w:rFonts w:ascii="Times New Roman" w:eastAsia="Times New Roman" w:hAnsi="Times New Roman" w:cs="Times New Roman"/>
                <w:sz w:val="24"/>
                <w:szCs w:val="24"/>
                <w:lang w:eastAsia="pl-PL"/>
              </w:rPr>
              <w:t xml:space="preserve">imię i nazwisko lub nazwę oraz adres e-mail osoby lub podmiotu dokonujących zgłoszenia, z wyjątkiem zgłoszenia dotyczącego informacji uznawanych za </w:t>
            </w:r>
            <w:r w:rsidR="00AC159B" w:rsidRPr="00AC159B">
              <w:rPr>
                <w:rFonts w:ascii="Times New Roman" w:eastAsia="Times New Roman" w:hAnsi="Times New Roman" w:cs="Times New Roman"/>
                <w:sz w:val="24"/>
                <w:szCs w:val="24"/>
                <w:lang w:eastAsia="pl-PL"/>
              </w:rPr>
              <w:lastRenderedPageBreak/>
              <w:t>związane z jednym z przestępstw, o których mowa w art. 3–7 dyrektywy 2011/93/UE;</w:t>
            </w:r>
          </w:p>
          <w:p w14:paraId="768302E6"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72" w:name="mip65352709"/>
            <w:bookmarkEnd w:id="72"/>
            <w:r>
              <w:rPr>
                <w:rFonts w:ascii="Times New Roman" w:eastAsia="Times New Roman" w:hAnsi="Times New Roman" w:cs="Times New Roman"/>
                <w:sz w:val="24"/>
                <w:szCs w:val="24"/>
                <w:lang w:eastAsia="pl-PL"/>
              </w:rPr>
              <w:t xml:space="preserve">d) </w:t>
            </w:r>
            <w:r w:rsidR="00AC159B" w:rsidRPr="00AC159B">
              <w:rPr>
                <w:rFonts w:ascii="Times New Roman" w:eastAsia="Times New Roman" w:hAnsi="Times New Roman" w:cs="Times New Roman"/>
                <w:sz w:val="24"/>
                <w:szCs w:val="24"/>
                <w:lang w:eastAsia="pl-PL"/>
              </w:rPr>
              <w:t>oświadczenie potwierdzające powzięte w dobrej wierze przekonanie osoby lub podmiotu dokonujących zgłoszenia, że informacje i zarzuty w nim zawarte są prawidłowe i kompletne.</w:t>
            </w:r>
          </w:p>
          <w:p w14:paraId="1B132027"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3" w:name="mip65352710"/>
            <w:bookmarkEnd w:id="73"/>
            <w:r w:rsidRPr="00AC159B">
              <w:rPr>
                <w:rFonts w:ascii="Times New Roman" w:eastAsia="Times New Roman" w:hAnsi="Times New Roman" w:cs="Times New Roman"/>
                <w:sz w:val="24"/>
                <w:szCs w:val="24"/>
                <w:lang w:eastAsia="pl-PL"/>
              </w:rPr>
              <w:t>3. Zgłoszenia, o których mowa w niniejszym artykule, uznaje się za dające podstawę do uzyskania faktycznej wiedzy lub wiadomości do celów art. 6 w odniesieniu do określonej informacji, której dotyczą, jeżeli umożliwiają dostawcy usług hostingu działającemu z należytą starannością stwierdzenie – bez szczegółowej analizy prawnej – nielegalnego charakteru danej działalności lub informacji.</w:t>
            </w:r>
          </w:p>
          <w:p w14:paraId="47C5469E"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4" w:name="mip65352711"/>
            <w:bookmarkEnd w:id="74"/>
            <w:r w:rsidRPr="00AC159B">
              <w:rPr>
                <w:rFonts w:ascii="Times New Roman" w:eastAsia="Times New Roman" w:hAnsi="Times New Roman" w:cs="Times New Roman"/>
                <w:sz w:val="24"/>
                <w:szCs w:val="24"/>
                <w:lang w:eastAsia="pl-PL"/>
              </w:rPr>
              <w:t>4. Jeżeli zgłoszenie zawiera elektroniczne dane kontaktowe osoby lub podmiotu, które dokonały zgłoszenia, dostawca usług hostingu bez zbędnej zwłoki przesyła takiej osobie lub takiemu podmiotowi potwierdzenie otrzymania zgłoszenia.</w:t>
            </w:r>
          </w:p>
          <w:p w14:paraId="7632FC0E"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5" w:name="mip65352712"/>
            <w:bookmarkEnd w:id="75"/>
            <w:r w:rsidRPr="00AC159B">
              <w:rPr>
                <w:rFonts w:ascii="Times New Roman" w:eastAsia="Times New Roman" w:hAnsi="Times New Roman" w:cs="Times New Roman"/>
                <w:sz w:val="24"/>
                <w:szCs w:val="24"/>
                <w:lang w:eastAsia="pl-PL"/>
              </w:rPr>
              <w:t>5. Dostawca powiadamia także bez zbędnej zwłoki taką osobę lub taki podmiot o swojej decyzji w odniesieniu do informacji, których dotyczy zgłoszenie, przekazując informacje na temat możliwości odwołania się od podjętej decyzji.</w:t>
            </w:r>
          </w:p>
          <w:p w14:paraId="1CFC8B11"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6" w:name="mip65352713"/>
            <w:bookmarkEnd w:id="76"/>
            <w:r w:rsidRPr="00AC159B">
              <w:rPr>
                <w:rFonts w:ascii="Times New Roman" w:eastAsia="Times New Roman" w:hAnsi="Times New Roman" w:cs="Times New Roman"/>
                <w:sz w:val="24"/>
                <w:szCs w:val="24"/>
                <w:lang w:eastAsia="pl-PL"/>
              </w:rPr>
              <w:t xml:space="preserve">6. Dostawcy usług hostingu rozpatrują wszystkie zgłoszenia, które otrzymują w ramach mechanizmów, o których mowa w ust. 1, oraz podejmują decyzje w odniesieniu do informacji, których dotyczą zgłoszenia, w sposób terminowy, niearbitralny i obiektywny oraz z zachowaniem należytej staranności. Jeżeli na potrzeby takiego rozpatrywania lub podejmowania decyzji korzystają oni ze </w:t>
            </w:r>
            <w:r w:rsidRPr="00AC159B">
              <w:rPr>
                <w:rFonts w:ascii="Times New Roman" w:eastAsia="Times New Roman" w:hAnsi="Times New Roman" w:cs="Times New Roman"/>
                <w:sz w:val="24"/>
                <w:szCs w:val="24"/>
                <w:lang w:eastAsia="pl-PL"/>
              </w:rPr>
              <w:lastRenderedPageBreak/>
              <w:t>zautomatyzowanych środków, uwzględniają informacje na ten temat w powiadomieniu, o którym mowa w ust. 5.</w:t>
            </w:r>
          </w:p>
          <w:p w14:paraId="1F6FC6E5"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E2E101E" w14:textId="77777777" w:rsidR="00AC159B" w:rsidRPr="009153D1" w:rsidRDefault="009B716A" w:rsidP="00B03963">
            <w:pPr>
              <w:spacing w:after="0" w:line="240" w:lineRule="auto"/>
              <w:rPr>
                <w:rFonts w:ascii="Times New Roman" w:eastAsia="Times New Roman" w:hAnsi="Times New Roman" w:cs="Times New Roman"/>
                <w:sz w:val="24"/>
                <w:szCs w:val="24"/>
                <w:lang w:eastAsia="pl-PL"/>
              </w:rPr>
            </w:pPr>
            <w:r w:rsidRPr="009153D1">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82D08F7" w14:textId="77777777" w:rsidR="00AC159B" w:rsidRPr="009153D1" w:rsidRDefault="00AC159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2BDE32B" w14:textId="77777777" w:rsidR="00AC159B" w:rsidRPr="009153D1" w:rsidRDefault="00AC159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9C0B0A0" w14:textId="77777777" w:rsidR="00AC159B" w:rsidRPr="009153D1" w:rsidRDefault="009B716A" w:rsidP="00B03963">
            <w:pPr>
              <w:spacing w:after="0" w:line="240" w:lineRule="auto"/>
              <w:rPr>
                <w:rFonts w:ascii="Times New Roman" w:eastAsia="Times New Roman" w:hAnsi="Times New Roman" w:cs="Times New Roman"/>
                <w:sz w:val="24"/>
                <w:szCs w:val="24"/>
                <w:lang w:eastAsia="pl-PL"/>
              </w:rPr>
            </w:pPr>
            <w:r w:rsidRPr="009153D1">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704132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C51E78C" w14:textId="77777777" w:rsidR="00AC159B"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17</w:t>
            </w:r>
          </w:p>
        </w:tc>
        <w:tc>
          <w:tcPr>
            <w:tcW w:w="1650" w:type="pct"/>
            <w:tcBorders>
              <w:top w:val="outset" w:sz="6" w:space="0" w:color="auto"/>
              <w:left w:val="outset" w:sz="6" w:space="0" w:color="auto"/>
              <w:bottom w:val="outset" w:sz="6" w:space="0" w:color="auto"/>
              <w:right w:val="outset" w:sz="6" w:space="0" w:color="auto"/>
            </w:tcBorders>
            <w:vAlign w:val="center"/>
          </w:tcPr>
          <w:p w14:paraId="3D2CA7A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usług hostingu przedstawiają wszystkim zainteresowanym odbiorcom usługi jasne i konkretne uzasadnienie w odniesieniu do następujących ograniczeń nałożonych ze względu na fakt, iż informacje przekazane przez odbiorcę usługi stanowią nielegalne treści lub są niezgodne z warunkami korzystania z usług dostawcy:</w:t>
            </w:r>
          </w:p>
          <w:p w14:paraId="75285136"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77" w:name="mip65352717"/>
            <w:bookmarkEnd w:id="77"/>
            <w:r>
              <w:rPr>
                <w:rFonts w:ascii="Times New Roman" w:eastAsia="Times New Roman" w:hAnsi="Times New Roman" w:cs="Times New Roman"/>
                <w:sz w:val="24"/>
                <w:szCs w:val="24"/>
                <w:lang w:eastAsia="pl-PL"/>
              </w:rPr>
              <w:t xml:space="preserve">a) </w:t>
            </w:r>
            <w:r w:rsidR="00AC2F95" w:rsidRPr="00AC2F95">
              <w:rPr>
                <w:rFonts w:ascii="Times New Roman" w:eastAsia="Times New Roman" w:hAnsi="Times New Roman" w:cs="Times New Roman"/>
                <w:sz w:val="24"/>
                <w:szCs w:val="24"/>
                <w:lang w:eastAsia="pl-PL"/>
              </w:rPr>
              <w:t xml:space="preserve">ograniczenia w zakresie widoczności określonych informacji przekazywanych przez dostawcę usługi, w tym usuwanie treści, uniemożliwianie dostępu do treści lub </w:t>
            </w:r>
            <w:proofErr w:type="spellStart"/>
            <w:r w:rsidR="00AC2F95" w:rsidRPr="00AC2F95">
              <w:rPr>
                <w:rFonts w:ascii="Times New Roman" w:eastAsia="Times New Roman" w:hAnsi="Times New Roman" w:cs="Times New Roman"/>
                <w:sz w:val="24"/>
                <w:szCs w:val="24"/>
                <w:lang w:eastAsia="pl-PL"/>
              </w:rPr>
              <w:t>depozycjonowanie</w:t>
            </w:r>
            <w:proofErr w:type="spellEnd"/>
            <w:r w:rsidR="00AC2F95" w:rsidRPr="00AC2F95">
              <w:rPr>
                <w:rFonts w:ascii="Times New Roman" w:eastAsia="Times New Roman" w:hAnsi="Times New Roman" w:cs="Times New Roman"/>
                <w:sz w:val="24"/>
                <w:szCs w:val="24"/>
                <w:lang w:eastAsia="pl-PL"/>
              </w:rPr>
              <w:t xml:space="preserve"> treści;</w:t>
            </w:r>
          </w:p>
          <w:p w14:paraId="26C07084"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78" w:name="mip65352718"/>
            <w:bookmarkEnd w:id="78"/>
            <w:r>
              <w:rPr>
                <w:rFonts w:ascii="Times New Roman" w:eastAsia="Times New Roman" w:hAnsi="Times New Roman" w:cs="Times New Roman"/>
                <w:sz w:val="24"/>
                <w:szCs w:val="24"/>
                <w:lang w:eastAsia="pl-PL"/>
              </w:rPr>
              <w:t xml:space="preserve">b) </w:t>
            </w:r>
            <w:r w:rsidR="00AC2F95" w:rsidRPr="00AC2F95">
              <w:rPr>
                <w:rFonts w:ascii="Times New Roman" w:eastAsia="Times New Roman" w:hAnsi="Times New Roman" w:cs="Times New Roman"/>
                <w:sz w:val="24"/>
                <w:szCs w:val="24"/>
                <w:lang w:eastAsia="pl-PL"/>
              </w:rPr>
              <w:t>zawieszenie, zakończenie lub inne ograniczenie płatności pieniężnych;</w:t>
            </w:r>
          </w:p>
          <w:p w14:paraId="3FA94102"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79" w:name="mip65352719"/>
            <w:bookmarkEnd w:id="79"/>
            <w:r>
              <w:rPr>
                <w:rFonts w:ascii="Times New Roman" w:eastAsia="Times New Roman" w:hAnsi="Times New Roman" w:cs="Times New Roman"/>
                <w:sz w:val="24"/>
                <w:szCs w:val="24"/>
                <w:lang w:eastAsia="pl-PL"/>
              </w:rPr>
              <w:t xml:space="preserve">c) </w:t>
            </w:r>
            <w:r w:rsidR="00AC2F95" w:rsidRPr="00AC2F95">
              <w:rPr>
                <w:rFonts w:ascii="Times New Roman" w:eastAsia="Times New Roman" w:hAnsi="Times New Roman" w:cs="Times New Roman"/>
                <w:sz w:val="24"/>
                <w:szCs w:val="24"/>
                <w:lang w:eastAsia="pl-PL"/>
              </w:rPr>
              <w:t>zawieszenie lub zakończenie świadczenia usługi w całości lub w części;</w:t>
            </w:r>
          </w:p>
          <w:p w14:paraId="5B2FC763"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0" w:name="mip65352720"/>
            <w:bookmarkEnd w:id="80"/>
            <w:r>
              <w:rPr>
                <w:rFonts w:ascii="Times New Roman" w:eastAsia="Times New Roman" w:hAnsi="Times New Roman" w:cs="Times New Roman"/>
                <w:sz w:val="24"/>
                <w:szCs w:val="24"/>
                <w:lang w:eastAsia="pl-PL"/>
              </w:rPr>
              <w:t xml:space="preserve">d) </w:t>
            </w:r>
            <w:r w:rsidR="00AC2F95" w:rsidRPr="00AC2F95">
              <w:rPr>
                <w:rFonts w:ascii="Times New Roman" w:eastAsia="Times New Roman" w:hAnsi="Times New Roman" w:cs="Times New Roman"/>
                <w:sz w:val="24"/>
                <w:szCs w:val="24"/>
                <w:lang w:eastAsia="pl-PL"/>
              </w:rPr>
              <w:t>zawieszenie lub zamknięcie konta odbiorcy usługi.</w:t>
            </w:r>
          </w:p>
          <w:p w14:paraId="5300FCC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1" w:name="mip65352721"/>
            <w:bookmarkEnd w:id="81"/>
            <w:r w:rsidRPr="00AC2F95">
              <w:rPr>
                <w:rFonts w:ascii="Times New Roman" w:eastAsia="Times New Roman" w:hAnsi="Times New Roman" w:cs="Times New Roman"/>
                <w:sz w:val="24"/>
                <w:szCs w:val="24"/>
                <w:lang w:eastAsia="pl-PL"/>
              </w:rPr>
              <w:t>2. Ust. 1 ma zastosowanie wyłącznie w przypadku, gdy dostawca zna odpowiednie elektroniczne dane kontaktowe. Ma on zastosowanie najpóźniej od dnia nałożenia ograniczenia, bez względu na powód i sposób jego nałożenia.</w:t>
            </w:r>
          </w:p>
          <w:p w14:paraId="67ED3F2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Ust. 1 nie ma zastosowania w przypadku, gdy informacje są wprowadzającymi w błąd treściami handlowymi o dużej objętości.</w:t>
            </w:r>
          </w:p>
          <w:p w14:paraId="139C4FC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2" w:name="mip65352722"/>
            <w:bookmarkEnd w:id="82"/>
            <w:r w:rsidRPr="00AC2F95">
              <w:rPr>
                <w:rFonts w:ascii="Times New Roman" w:eastAsia="Times New Roman" w:hAnsi="Times New Roman" w:cs="Times New Roman"/>
                <w:sz w:val="24"/>
                <w:szCs w:val="24"/>
                <w:lang w:eastAsia="pl-PL"/>
              </w:rPr>
              <w:t>3. Uzasadnienie, o którym mowa w ust. 1, musi zawierać co najmniej następujące informacje:</w:t>
            </w:r>
          </w:p>
          <w:p w14:paraId="6EAD36E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3" w:name="mip65352724"/>
            <w:bookmarkEnd w:id="83"/>
            <w:r w:rsidRPr="00AC2F95">
              <w:rPr>
                <w:rFonts w:ascii="Times New Roman" w:eastAsia="Times New Roman" w:hAnsi="Times New Roman" w:cs="Times New Roman"/>
                <w:sz w:val="24"/>
                <w:szCs w:val="24"/>
                <w:lang w:eastAsia="pl-PL"/>
              </w:rPr>
              <w:lastRenderedPageBreak/>
              <w:t>a)</w:t>
            </w:r>
            <w:r w:rsidR="001A6BB0">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 xml:space="preserve">wskazanie, czy decyzja obejmuje usunięcie informacji, uniemożliwienie dostępu do nich, </w:t>
            </w:r>
            <w:proofErr w:type="spellStart"/>
            <w:r w:rsidRPr="00AC2F95">
              <w:rPr>
                <w:rFonts w:ascii="Times New Roman" w:eastAsia="Times New Roman" w:hAnsi="Times New Roman" w:cs="Times New Roman"/>
                <w:sz w:val="24"/>
                <w:szCs w:val="24"/>
                <w:lang w:eastAsia="pl-PL"/>
              </w:rPr>
              <w:t>depozycjonowanie</w:t>
            </w:r>
            <w:proofErr w:type="spellEnd"/>
            <w:r w:rsidRPr="00AC2F95">
              <w:rPr>
                <w:rFonts w:ascii="Times New Roman" w:eastAsia="Times New Roman" w:hAnsi="Times New Roman" w:cs="Times New Roman"/>
                <w:sz w:val="24"/>
                <w:szCs w:val="24"/>
                <w:lang w:eastAsia="pl-PL"/>
              </w:rPr>
              <w:t xml:space="preserve"> lub ograniczenie widoczności informacji lub zawieszenie lub zakończenie płatności pieniężnych odnoszących się do takich informacji albo nakłada inne środki, o których mowa w ust. 1, w odniesieniu do informacji, oraz, w stosownych przypadkach, zakres terytorialny decyzji i okres jej obowiązywania;</w:t>
            </w:r>
          </w:p>
          <w:p w14:paraId="061FD27A"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4" w:name="mip65352725"/>
            <w:bookmarkEnd w:id="84"/>
            <w:r>
              <w:rPr>
                <w:rFonts w:ascii="Times New Roman" w:eastAsia="Times New Roman" w:hAnsi="Times New Roman" w:cs="Times New Roman"/>
                <w:sz w:val="24"/>
                <w:szCs w:val="24"/>
                <w:lang w:eastAsia="pl-PL"/>
              </w:rPr>
              <w:t xml:space="preserve">b) </w:t>
            </w:r>
            <w:r w:rsidR="00AC2F95" w:rsidRPr="00AC2F95">
              <w:rPr>
                <w:rFonts w:ascii="Times New Roman" w:eastAsia="Times New Roman" w:hAnsi="Times New Roman" w:cs="Times New Roman"/>
                <w:sz w:val="24"/>
                <w:szCs w:val="24"/>
                <w:lang w:eastAsia="pl-PL"/>
              </w:rPr>
              <w:t>fakty i okoliczności, na podstawie których podjęto decyzję, w tym w stosownych przypadkach informację, czy decyzję podjęto na podstawie zgłoszenia dokonanego zgodnie z art. 16 czy na podstawie dobrowolnych czynności sprawdzających prowadzonych z własnej inicjatywy oraz, gdy jest absolutnie niezbędne, tożsamość zgłaszającego;</w:t>
            </w:r>
          </w:p>
          <w:p w14:paraId="0DDA395D"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5" w:name="mip65352726"/>
            <w:bookmarkEnd w:id="85"/>
            <w:r>
              <w:rPr>
                <w:rFonts w:ascii="Times New Roman" w:eastAsia="Times New Roman" w:hAnsi="Times New Roman" w:cs="Times New Roman"/>
                <w:sz w:val="24"/>
                <w:szCs w:val="24"/>
                <w:lang w:eastAsia="pl-PL"/>
              </w:rPr>
              <w:t xml:space="preserve">c) </w:t>
            </w:r>
            <w:r w:rsidR="00AC2F95" w:rsidRPr="00AC2F95">
              <w:rPr>
                <w:rFonts w:ascii="Times New Roman" w:eastAsia="Times New Roman" w:hAnsi="Times New Roman" w:cs="Times New Roman"/>
                <w:sz w:val="24"/>
                <w:szCs w:val="24"/>
                <w:lang w:eastAsia="pl-PL"/>
              </w:rPr>
              <w:t>w stosownych przypadkach informacje na temat wykorzystania zautomatyzowanych środków podczas podejmowania decyzji, w tym informację, czy decyzję podjęto w odniesieniu do treści wykrytych lub zidentyfikowanych z wykorzystaniem zautomatyzowanych środków;</w:t>
            </w:r>
          </w:p>
          <w:p w14:paraId="07D74A41"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6" w:name="mip65352727"/>
            <w:bookmarkEnd w:id="86"/>
            <w:r>
              <w:rPr>
                <w:rFonts w:ascii="Times New Roman" w:eastAsia="Times New Roman" w:hAnsi="Times New Roman" w:cs="Times New Roman"/>
                <w:sz w:val="24"/>
                <w:szCs w:val="24"/>
                <w:lang w:eastAsia="pl-PL"/>
              </w:rPr>
              <w:t xml:space="preserve">d) </w:t>
            </w:r>
            <w:r w:rsidR="00AC2F95" w:rsidRPr="00AC2F95">
              <w:rPr>
                <w:rFonts w:ascii="Times New Roman" w:eastAsia="Times New Roman" w:hAnsi="Times New Roman" w:cs="Times New Roman"/>
                <w:sz w:val="24"/>
                <w:szCs w:val="24"/>
                <w:lang w:eastAsia="pl-PL"/>
              </w:rPr>
              <w:t>jeżeli decyzja dotyczy potencjalnie nielegalnych treści, wskazanie podstawy prawnej, na której opiera się decyzja, oraz wyjaśnienia dotyczące powodów, dla których na tej podstawie uznaje się dane informacje za nielegalne treści;</w:t>
            </w:r>
          </w:p>
          <w:p w14:paraId="69484C32"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7" w:name="mip65352728"/>
            <w:bookmarkEnd w:id="87"/>
            <w:r>
              <w:rPr>
                <w:rFonts w:ascii="Times New Roman" w:eastAsia="Times New Roman" w:hAnsi="Times New Roman" w:cs="Times New Roman"/>
                <w:sz w:val="24"/>
                <w:szCs w:val="24"/>
                <w:lang w:eastAsia="pl-PL"/>
              </w:rPr>
              <w:t xml:space="preserve">e) </w:t>
            </w:r>
            <w:r w:rsidR="00AC2F95" w:rsidRPr="00AC2F95">
              <w:rPr>
                <w:rFonts w:ascii="Times New Roman" w:eastAsia="Times New Roman" w:hAnsi="Times New Roman" w:cs="Times New Roman"/>
                <w:sz w:val="24"/>
                <w:szCs w:val="24"/>
                <w:lang w:eastAsia="pl-PL"/>
              </w:rPr>
              <w:t xml:space="preserve">jeżeli decyzja opiera się na zarzucanej niezgodności informacji z warunkami korzystania z usług dostawcy usługi hostingu, wskazanie podstawy umownej, na której opiera się decyzja, oraz wyjaśnienia dotyczące </w:t>
            </w:r>
            <w:r w:rsidR="00AC2F95" w:rsidRPr="00AC2F95">
              <w:rPr>
                <w:rFonts w:ascii="Times New Roman" w:eastAsia="Times New Roman" w:hAnsi="Times New Roman" w:cs="Times New Roman"/>
                <w:sz w:val="24"/>
                <w:szCs w:val="24"/>
                <w:lang w:eastAsia="pl-PL"/>
              </w:rPr>
              <w:lastRenderedPageBreak/>
              <w:t>powodów, dla których uznaje się dane informacje za niezgodne z tą podstawą;</w:t>
            </w:r>
          </w:p>
          <w:p w14:paraId="159FF6EE"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8" w:name="mip65352729"/>
            <w:bookmarkEnd w:id="88"/>
            <w:r>
              <w:rPr>
                <w:rFonts w:ascii="Times New Roman" w:eastAsia="Times New Roman" w:hAnsi="Times New Roman" w:cs="Times New Roman"/>
                <w:sz w:val="24"/>
                <w:szCs w:val="24"/>
                <w:lang w:eastAsia="pl-PL"/>
              </w:rPr>
              <w:t>f)</w:t>
            </w:r>
            <w:r w:rsidR="00AC2F95" w:rsidRPr="00AC2F95">
              <w:rPr>
                <w:rFonts w:ascii="Times New Roman" w:eastAsia="Times New Roman" w:hAnsi="Times New Roman" w:cs="Times New Roman"/>
                <w:sz w:val="24"/>
                <w:szCs w:val="24"/>
                <w:lang w:eastAsia="pl-PL"/>
              </w:rPr>
              <w:t> jasne i przyjazne dla użytkownika informacje na temat przysługujących odbiorcy usługi możliwości odwołania się od decyzji, w szczególności w stosownych przypadkach za pośrednictwem wewnętrznych mechanizmów rozpatrywania skarg, pozasądowego rozstrzygania sporów i sądowych środków odwoławczych.</w:t>
            </w:r>
          </w:p>
          <w:p w14:paraId="34D0B6F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9" w:name="mip65352730"/>
            <w:bookmarkEnd w:id="89"/>
            <w:r w:rsidRPr="00AC2F95">
              <w:rPr>
                <w:rFonts w:ascii="Times New Roman" w:eastAsia="Times New Roman" w:hAnsi="Times New Roman" w:cs="Times New Roman"/>
                <w:sz w:val="24"/>
                <w:szCs w:val="24"/>
                <w:lang w:eastAsia="pl-PL"/>
              </w:rPr>
              <w:t>4. Informacje przekazane przez dostawców usług hostingu zgodnie z niniejszym artykułem muszą być jasne i łatwo zrozumiałe oraz na tyle dokładne i szczegółowe, na ile można tego zasadnie oczekiwać w danych okolicznościach. Informacje muszą w szczególności w rozsądny sposób umożliwiać zainteresowanemu odbiorcy danej usługi skuteczne wykonywanie możliwości odwołania się, o których mowa w ust. 3 lit. f).</w:t>
            </w:r>
          </w:p>
          <w:p w14:paraId="4609006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0" w:name="mip65352731"/>
            <w:bookmarkEnd w:id="90"/>
            <w:r w:rsidRPr="00AC2F95">
              <w:rPr>
                <w:rFonts w:ascii="Times New Roman" w:eastAsia="Times New Roman" w:hAnsi="Times New Roman" w:cs="Times New Roman"/>
                <w:sz w:val="24"/>
                <w:szCs w:val="24"/>
                <w:lang w:eastAsia="pl-PL"/>
              </w:rPr>
              <w:t>5. Niniejszego artykułu nie stosuje się do nakazów, o których mowa w art. 9.</w:t>
            </w:r>
          </w:p>
          <w:p w14:paraId="6260FF87"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E37B9E8" w14:textId="77777777" w:rsidR="00AC159B"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AE3C747" w14:textId="77777777" w:rsidR="00AC159B" w:rsidRPr="001A6BB0" w:rsidRDefault="00AC159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F60F25F" w14:textId="77777777" w:rsidR="00AC159B" w:rsidRPr="001A6BB0" w:rsidRDefault="00AC159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53ED87E" w14:textId="77777777" w:rsidR="00AC159B"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359C8F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26037B4"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18</w:t>
            </w:r>
          </w:p>
        </w:tc>
        <w:tc>
          <w:tcPr>
            <w:tcW w:w="1650" w:type="pct"/>
            <w:tcBorders>
              <w:top w:val="outset" w:sz="6" w:space="0" w:color="auto"/>
              <w:left w:val="outset" w:sz="6" w:space="0" w:color="auto"/>
              <w:bottom w:val="outset" w:sz="6" w:space="0" w:color="auto"/>
              <w:right w:val="outset" w:sz="6" w:space="0" w:color="auto"/>
            </w:tcBorders>
            <w:vAlign w:val="center"/>
          </w:tcPr>
          <w:p w14:paraId="2045E17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W przypadku gdy dostawca usług hostingu poweźmie jakiekolwiek informacje dające podstawę do podejrzenia, że popełniono, popełnia się lub może dojść do popełnienia przestępstwa zagrażającego życiu lub bezpieczeństwu osoby lub osób, natychmiast informuje o swoim podejrzeniu organy ścigania lub organy sądowe zainteresowanego państwa członkowskiego lub zainteresowanych państw członkowskich i przekazuje wszystkie dostępne informacje na ten temat.</w:t>
            </w:r>
          </w:p>
          <w:p w14:paraId="33E83DD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1" w:name="mip65352734"/>
            <w:bookmarkEnd w:id="91"/>
            <w:r w:rsidRPr="00AC2F95">
              <w:rPr>
                <w:rFonts w:ascii="Times New Roman" w:eastAsia="Times New Roman" w:hAnsi="Times New Roman" w:cs="Times New Roman"/>
                <w:sz w:val="24"/>
                <w:szCs w:val="24"/>
                <w:lang w:eastAsia="pl-PL"/>
              </w:rPr>
              <w:lastRenderedPageBreak/>
              <w:t>2. W przypadku gdy dostawca usług hostingu nie może z dostateczną pewnością wskazać zainteresowanego państwa członkowskiego, informuje organy ścigania państwa członkowskiego, w którym znajduje się jego siedziba lub w którym jego przedstawiciel prawny ma miejsce zamieszkania lub siedzibę, lub informuje Europol.</w:t>
            </w:r>
          </w:p>
          <w:p w14:paraId="6F9A561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Do celów niniejszego artykułu zainteresowanym państwem członkowskim jest państwo członkowskie, w którym według podejrzeń popełniono, popełnia się lub może dojść do popełnienia przestępstwa, lub państwo członkowskie, w którym ma miejsce zamieszkania lub znajduje się osoba podejrzana o popełnienie przestępstwa, lub państwo członkowskie, w którym ma miejsce zamieszkania lub znajduje się ofiara takiego zarzucanego przestępstwa.</w:t>
            </w:r>
          </w:p>
          <w:p w14:paraId="0EE5DED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3A39FC6"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7354073"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0F66D98"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8D736AF"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DF8A28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67E98A5"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19</w:t>
            </w:r>
          </w:p>
        </w:tc>
        <w:tc>
          <w:tcPr>
            <w:tcW w:w="1650" w:type="pct"/>
            <w:tcBorders>
              <w:top w:val="outset" w:sz="6" w:space="0" w:color="auto"/>
              <w:left w:val="outset" w:sz="6" w:space="0" w:color="auto"/>
              <w:bottom w:val="outset" w:sz="6" w:space="0" w:color="auto"/>
              <w:right w:val="outset" w:sz="6" w:space="0" w:color="auto"/>
            </w:tcBorders>
            <w:vAlign w:val="center"/>
          </w:tcPr>
          <w:p w14:paraId="51B2DCB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Niniejsza sekcja, z wyjątkiem art. 24 ust. 3, nie ma zastosowania do dostawców platform internetowych, które kwalifikują się jako mikroprzedsiębiorstwa lub małe przedsiębiorstwa zgodnie z definicją w zaleceniu 2003/361/WE.</w:t>
            </w:r>
          </w:p>
          <w:p w14:paraId="55CA2C1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Niniejsza sekcja, z wyjątkiem art. 24 ust. 3, nie ma zastosowania do dostawców platform internetowych, którzy wcześniej kwalifikowali się do statusu mikroprzedsiębiorstwa lub małego przedsiębiorstwa zgodnie z definicją w zaleceniu 2003/361/WE, przez okres dwunastu miesięcy od utraty tego statusu zgodnie z art. 4 ust. 2 tego zalecenia, chyba że są oni bardzo dużymi platformami internetowymi zgodnie z art. 33.</w:t>
            </w:r>
          </w:p>
          <w:p w14:paraId="480AB03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p w14:paraId="5D16445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lastRenderedPageBreak/>
              <w:t>2. Na zasadzie odstępstwa od ust. 1 niniejszego artykułu niniejsza sekcja ma zastosowanie do dostawców platform internetowych, którzy zostali wskazani jako bardzo duże platformy internetowe zgodnie z art. 33, bez względu na to, czy kwalifikują się oni jako mikroprzedsiębiorstwa czy małe przedsiębiorstwa.</w:t>
            </w:r>
          </w:p>
        </w:tc>
        <w:tc>
          <w:tcPr>
            <w:tcW w:w="788" w:type="pct"/>
            <w:tcBorders>
              <w:top w:val="outset" w:sz="6" w:space="0" w:color="auto"/>
              <w:left w:val="outset" w:sz="6" w:space="0" w:color="auto"/>
              <w:bottom w:val="outset" w:sz="6" w:space="0" w:color="auto"/>
              <w:right w:val="outset" w:sz="6" w:space="0" w:color="auto"/>
            </w:tcBorders>
            <w:vAlign w:val="center"/>
          </w:tcPr>
          <w:p w14:paraId="3A48465F"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1C08E05"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31511AF"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A54456F"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15C6CED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67F9113"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20</w:t>
            </w:r>
          </w:p>
        </w:tc>
        <w:tc>
          <w:tcPr>
            <w:tcW w:w="1650" w:type="pct"/>
            <w:tcBorders>
              <w:top w:val="outset" w:sz="6" w:space="0" w:color="auto"/>
              <w:left w:val="outset" w:sz="6" w:space="0" w:color="auto"/>
              <w:bottom w:val="outset" w:sz="6" w:space="0" w:color="auto"/>
              <w:right w:val="outset" w:sz="6" w:space="0" w:color="auto"/>
            </w:tcBorders>
            <w:vAlign w:val="center"/>
          </w:tcPr>
          <w:p w14:paraId="66ED47B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zapewniają odbiorcom usługi, w tym osobom lub podmiotom, które dokonały zgłoszenia – przez okres co najmniej sześciu miesięcy od podjęcia decyzji, o której mowa w niniejszym ustępie – dostęp do skutecznego wewnętrznego systemu rozpatrywania skarg, który umożliwia im elektroniczne i bezpłatne wnoszenie skarg na decyzję podjętą przez dostawcę platformy internetowej po otrzymaniu zgłoszenia, lub na następujące decyzje podjęte przez dostawcę platformy internetowej ze względu na fakt, iż informacje przekazane przez odbiorców stanowią nielegalne treści lub są niezgodne z warunkami korzystania z usług dostawcy:</w:t>
            </w:r>
          </w:p>
          <w:p w14:paraId="37E41736"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92" w:name="mip65352742"/>
            <w:bookmarkEnd w:id="92"/>
            <w:r>
              <w:rPr>
                <w:rFonts w:ascii="Times New Roman" w:eastAsia="Times New Roman" w:hAnsi="Times New Roman" w:cs="Times New Roman"/>
                <w:sz w:val="24"/>
                <w:szCs w:val="24"/>
                <w:lang w:eastAsia="pl-PL"/>
              </w:rPr>
              <w:t xml:space="preserve">a) </w:t>
            </w:r>
            <w:r w:rsidR="00AC2F95" w:rsidRPr="00AC2F95">
              <w:rPr>
                <w:rFonts w:ascii="Times New Roman" w:eastAsia="Times New Roman" w:hAnsi="Times New Roman" w:cs="Times New Roman"/>
                <w:sz w:val="24"/>
                <w:szCs w:val="24"/>
                <w:lang w:eastAsia="pl-PL"/>
              </w:rPr>
              <w:t>decyzje w sprawie usunięcia informacji lub uniemożliwieniu do nich dostępu lub ograniczeniu widoczności informacji;</w:t>
            </w:r>
          </w:p>
          <w:p w14:paraId="445B3827"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93" w:name="mip65352743"/>
            <w:bookmarkEnd w:id="93"/>
            <w:r>
              <w:rPr>
                <w:rFonts w:ascii="Times New Roman" w:eastAsia="Times New Roman" w:hAnsi="Times New Roman" w:cs="Times New Roman"/>
                <w:sz w:val="24"/>
                <w:szCs w:val="24"/>
                <w:lang w:eastAsia="pl-PL"/>
              </w:rPr>
              <w:t xml:space="preserve">b) </w:t>
            </w:r>
            <w:r w:rsidR="00AC2F95" w:rsidRPr="00AC2F95">
              <w:rPr>
                <w:rFonts w:ascii="Times New Roman" w:eastAsia="Times New Roman" w:hAnsi="Times New Roman" w:cs="Times New Roman"/>
                <w:sz w:val="24"/>
                <w:szCs w:val="24"/>
                <w:lang w:eastAsia="pl-PL"/>
              </w:rPr>
              <w:t>decyzje w sprawie zawieszenia lub zakończenia świadczenia usługi, w pełni lub częściowo, na rzecz odbiorców;</w:t>
            </w:r>
          </w:p>
          <w:p w14:paraId="7A85F938"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94" w:name="mip65352744"/>
            <w:bookmarkEnd w:id="94"/>
            <w:r>
              <w:rPr>
                <w:rFonts w:ascii="Times New Roman" w:eastAsia="Times New Roman" w:hAnsi="Times New Roman" w:cs="Times New Roman"/>
                <w:sz w:val="24"/>
                <w:szCs w:val="24"/>
                <w:lang w:eastAsia="pl-PL"/>
              </w:rPr>
              <w:t xml:space="preserve">c) </w:t>
            </w:r>
            <w:r w:rsidR="00AC2F95" w:rsidRPr="00AC2F95">
              <w:rPr>
                <w:rFonts w:ascii="Times New Roman" w:eastAsia="Times New Roman" w:hAnsi="Times New Roman" w:cs="Times New Roman"/>
                <w:sz w:val="24"/>
                <w:szCs w:val="24"/>
                <w:lang w:eastAsia="pl-PL"/>
              </w:rPr>
              <w:t>decyzje w sprawie zawieszenia lub zamknięcia konta odbiorców;</w:t>
            </w:r>
          </w:p>
          <w:p w14:paraId="00B6DD5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5" w:name="mip65352745"/>
            <w:bookmarkEnd w:id="95"/>
            <w:r w:rsidRPr="00AC2F95">
              <w:rPr>
                <w:rFonts w:ascii="Times New Roman" w:eastAsia="Times New Roman" w:hAnsi="Times New Roman" w:cs="Times New Roman"/>
                <w:sz w:val="24"/>
                <w:szCs w:val="24"/>
                <w:lang w:eastAsia="pl-PL"/>
              </w:rPr>
              <w:t>d)</w:t>
            </w:r>
            <w:r w:rsidR="001A6BB0">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 xml:space="preserve">decyzje w sprawie zawieszenia, zakończenia lub ograniczenia w inny sposób możliwości </w:t>
            </w:r>
            <w:proofErr w:type="spellStart"/>
            <w:r w:rsidRPr="00AC2F95">
              <w:rPr>
                <w:rFonts w:ascii="Times New Roman" w:eastAsia="Times New Roman" w:hAnsi="Times New Roman" w:cs="Times New Roman"/>
                <w:sz w:val="24"/>
                <w:szCs w:val="24"/>
                <w:lang w:eastAsia="pl-PL"/>
              </w:rPr>
              <w:t>monetyzacji</w:t>
            </w:r>
            <w:proofErr w:type="spellEnd"/>
            <w:r w:rsidRPr="00AC2F95">
              <w:rPr>
                <w:rFonts w:ascii="Times New Roman" w:eastAsia="Times New Roman" w:hAnsi="Times New Roman" w:cs="Times New Roman"/>
                <w:sz w:val="24"/>
                <w:szCs w:val="24"/>
                <w:lang w:eastAsia="pl-PL"/>
              </w:rPr>
              <w:t xml:space="preserve"> informacji przekazanych przez odbiorców.</w:t>
            </w:r>
          </w:p>
          <w:p w14:paraId="02573B1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6" w:name="mip65352746"/>
            <w:bookmarkEnd w:id="96"/>
            <w:r w:rsidRPr="00AC2F95">
              <w:rPr>
                <w:rFonts w:ascii="Times New Roman" w:eastAsia="Times New Roman" w:hAnsi="Times New Roman" w:cs="Times New Roman"/>
                <w:sz w:val="24"/>
                <w:szCs w:val="24"/>
                <w:lang w:eastAsia="pl-PL"/>
              </w:rPr>
              <w:lastRenderedPageBreak/>
              <w:t>2. Okres co najmniej sześciu miesięcy, o którym mowa w ust. 1 niniejszego artykułu, rozpoczyna się w dniu, w którym odbiorca usługi został poinformowany o decyzji zgodnie z art. 16 ust. 5 lub art. 17.</w:t>
            </w:r>
          </w:p>
          <w:p w14:paraId="67828FF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7" w:name="mip65352747"/>
            <w:bookmarkEnd w:id="97"/>
            <w:r w:rsidRPr="00AC2F95">
              <w:rPr>
                <w:rFonts w:ascii="Times New Roman" w:eastAsia="Times New Roman" w:hAnsi="Times New Roman" w:cs="Times New Roman"/>
                <w:sz w:val="24"/>
                <w:szCs w:val="24"/>
                <w:lang w:eastAsia="pl-PL"/>
              </w:rPr>
              <w:t>3. Dostawcy platform internetowych zapewniają, aby ich wewnętrzne systemy rozpatrywania skarg były łatwo dostępne, przyjazne dla użytkowników oraz aby umożliwiały i ułatwiały przekazywanie wystarczająco precyzyjnych i odpowiednio uzasadnionych skarg.</w:t>
            </w:r>
          </w:p>
          <w:p w14:paraId="16D9B4F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8" w:name="mip65352748"/>
            <w:bookmarkEnd w:id="98"/>
            <w:r w:rsidRPr="00AC2F95">
              <w:rPr>
                <w:rFonts w:ascii="Times New Roman" w:eastAsia="Times New Roman" w:hAnsi="Times New Roman" w:cs="Times New Roman"/>
                <w:sz w:val="24"/>
                <w:szCs w:val="24"/>
                <w:lang w:eastAsia="pl-PL"/>
              </w:rPr>
              <w:t>4. Dostawcy platform internetowych rozpatrują skargi przekazane za pośrednictwem ich wewnętrznego systemu rozpatrywania skarg w sposób terminowy, niedyskryminujący, obiektywny i niearbitralny. Jeżeli skarga zawiera wystarczające powody, aby dostawca platformy internetowej uznał, że jego decyzja o niepodejmowania działań w odpowiedzi na zgłoszenie jest nieuzasadniona lub że informacje, których dotyczy skarga, nie są nielegalne i niezgodne z jego warunkami korzystania z usług, lub zawiera informacje wskazujące, że działanie skarżącego nie uzasadnia podjętego środka, dostawca platformy internetowej bez zbędnej zwłoki uchyla swoją decyzję, o której mowa w ust. 1.</w:t>
            </w:r>
          </w:p>
          <w:p w14:paraId="38FFEB6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9" w:name="mip65352749"/>
            <w:bookmarkEnd w:id="99"/>
            <w:r w:rsidRPr="00AC2F95">
              <w:rPr>
                <w:rFonts w:ascii="Times New Roman" w:eastAsia="Times New Roman" w:hAnsi="Times New Roman" w:cs="Times New Roman"/>
                <w:sz w:val="24"/>
                <w:szCs w:val="24"/>
                <w:lang w:eastAsia="pl-PL"/>
              </w:rPr>
              <w:t>5. Dostawcy platform internetowych bez zbędnej zwłoki informują skarżących o swojej decyzji z uzasadnieniem dotyczącej informacji, do których odnosi się skarga, oraz informują skarżących o możliwości pozasądowego rozstrzygania sporów przewidzianego w art. 21 oraz o innych dostępnych możliwościach odwołania.</w:t>
            </w:r>
          </w:p>
          <w:p w14:paraId="4CF6A46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0" w:name="mip65352750"/>
            <w:bookmarkEnd w:id="100"/>
            <w:r w:rsidRPr="00AC2F95">
              <w:rPr>
                <w:rFonts w:ascii="Times New Roman" w:eastAsia="Times New Roman" w:hAnsi="Times New Roman" w:cs="Times New Roman"/>
                <w:sz w:val="24"/>
                <w:szCs w:val="24"/>
                <w:lang w:eastAsia="pl-PL"/>
              </w:rPr>
              <w:t>6. Dostawcy platform internetowych zapewniają, aby decyzje, o których mowa w ust. 5, podejmowano pod nadzorem odpowiednio wykwalifikowanego personelu a nie tylko na podstawie zautomatyzowanych środków.</w:t>
            </w:r>
          </w:p>
          <w:p w14:paraId="2D0F243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8EE4A45"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8A41A8D"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A9B52C3"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3C2DDE0"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A75731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6F8E5E5"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21</w:t>
            </w:r>
          </w:p>
        </w:tc>
        <w:tc>
          <w:tcPr>
            <w:tcW w:w="1650" w:type="pct"/>
            <w:tcBorders>
              <w:top w:val="outset" w:sz="6" w:space="0" w:color="auto"/>
              <w:left w:val="outset" w:sz="6" w:space="0" w:color="auto"/>
              <w:bottom w:val="outset" w:sz="6" w:space="0" w:color="auto"/>
              <w:right w:val="outset" w:sz="6" w:space="0" w:color="auto"/>
            </w:tcBorders>
            <w:vAlign w:val="center"/>
          </w:tcPr>
          <w:p w14:paraId="15983DF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Odbiorcy usługi, w tym osoby lub podmioty, które dokonały zgłoszenia, do których skierowane są decyzje, o których mowa w art. 20 ust. 1, mają prawo wyboru dowolnego organu pozasądowego rozstrzygania sporów certyfikowanego zgodnie z ust. 3 niniejszego artykułu w celu rozstrzygnięcia sporów dotyczących tych decyzji, w tym w odniesieniu do skarg, które nie zostały rozstrzygnięte w ramach wewnętrznego systemu rozpatrywania skarg, o którym mowa w tym artykule.</w:t>
            </w:r>
          </w:p>
          <w:p w14:paraId="0C8EC47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Dostawcy platform internetowych zapewniają, aby informacje na temat możliwości korzystania przez odbiorców usługi z pozasądowego rozstrzygania sporów, o którym mowa w akapicie pierwszym, były łatwo dostępne na ich interfejsie internetowym, jasne i przyjazne dla użytkownika.</w:t>
            </w:r>
          </w:p>
          <w:p w14:paraId="5C12D8F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Akapit pierwszy pozostaje bez uszczerbku dla prawa zainteresowanego odbiorcy usługi do wszczęcia na każdym etapie postępowania w celu zaskarżenia tych decyzji przez dostawców platform internetowych przed sądem zgodnie z mającym zastosowanie prawem.</w:t>
            </w:r>
          </w:p>
          <w:p w14:paraId="5A1BA67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1" w:name="mip65352753"/>
            <w:bookmarkEnd w:id="101"/>
            <w:r w:rsidRPr="00AC2F95">
              <w:rPr>
                <w:rFonts w:ascii="Times New Roman" w:eastAsia="Times New Roman" w:hAnsi="Times New Roman" w:cs="Times New Roman"/>
                <w:sz w:val="24"/>
                <w:szCs w:val="24"/>
                <w:lang w:eastAsia="pl-PL"/>
              </w:rPr>
              <w:t>2. W celu rozstrzygnięcia sporu obie strony współpracują, w dobrej wierze, z wybranym certyfikowanym organem pozasądowego rozstrzygania sporów.</w:t>
            </w:r>
          </w:p>
          <w:p w14:paraId="71CD4E4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Dostawcy platform internetowych mogą odmówić współpracy z takim organem pozasądowego rozstrzygania sporów, jeżeli spór dotyczący tych samych informacji i tych samych podstaw zarzucanej nielegalności lub niezgodności treści został już rozstrzygnięty.</w:t>
            </w:r>
          </w:p>
          <w:p w14:paraId="6C403AE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lastRenderedPageBreak/>
              <w:t>Certyfikowany organ pozasądowego rozstrzygania sporów nie może narzucać stronom wiążącego rozstrzygnięcia sporu.</w:t>
            </w:r>
          </w:p>
          <w:p w14:paraId="7721872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2" w:name="mip65352754"/>
            <w:bookmarkEnd w:id="102"/>
            <w:r w:rsidRPr="00AC2F95">
              <w:rPr>
                <w:rFonts w:ascii="Times New Roman" w:eastAsia="Times New Roman" w:hAnsi="Times New Roman" w:cs="Times New Roman"/>
                <w:sz w:val="24"/>
                <w:szCs w:val="24"/>
                <w:lang w:eastAsia="pl-PL"/>
              </w:rPr>
              <w:t>3. Koordynator ds. usług cyfrowych państwa członkowskiego, w którym znajduje się siedziba organu pozasądowego rozstrzygania sporów, dokonuje jego certyfikacji na okres nieprzekraczający pięciu lat, który można przedłużyć, na jego wniosek, jeżeli organ ten wykazał, że spełnia wszystkie następujące warunki:</w:t>
            </w:r>
          </w:p>
          <w:p w14:paraId="5C4B33D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3" w:name="mip65352756"/>
            <w:bookmarkEnd w:id="103"/>
            <w:r w:rsidRPr="00AC2F95">
              <w:rPr>
                <w:rFonts w:ascii="Times New Roman" w:eastAsia="Times New Roman" w:hAnsi="Times New Roman" w:cs="Times New Roman"/>
                <w:sz w:val="24"/>
                <w:szCs w:val="24"/>
                <w:lang w:eastAsia="pl-PL"/>
              </w:rPr>
              <w:t>a)</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jest bezstronny i niezależny, w tym niezależny finansowo, od dostawców platform internetowych i od odbiorców usługi świadczonej przez dostawców platform internetowych, w tym od osób lub podmiotów, które dokonały zgłoszenia;</w:t>
            </w:r>
          </w:p>
          <w:p w14:paraId="4C10BA5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4" w:name="mip65352757"/>
            <w:bookmarkEnd w:id="104"/>
            <w:r w:rsidRPr="00AC2F95">
              <w:rPr>
                <w:rFonts w:ascii="Times New Roman" w:eastAsia="Times New Roman" w:hAnsi="Times New Roman" w:cs="Times New Roman"/>
                <w:sz w:val="24"/>
                <w:szCs w:val="24"/>
                <w:lang w:eastAsia="pl-PL"/>
              </w:rPr>
              <w:t>b)</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dysponuje niezbędną wiedzą ekspercką na temat problemów występujących w co najmniej jednym konkretnym obszarze nielegalnych treści lub w odniesieniu do stosowania i egzekwowania warunków korzystania z usług co najmniej jednego rodzaju platformy internetowej, która to wiedza pozwala organowi na skuteczne rozstrzyganie sporów;</w:t>
            </w:r>
          </w:p>
          <w:p w14:paraId="38CA53E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5" w:name="mip65352758"/>
            <w:bookmarkEnd w:id="105"/>
            <w:r w:rsidRPr="00AC2F95">
              <w:rPr>
                <w:rFonts w:ascii="Times New Roman" w:eastAsia="Times New Roman" w:hAnsi="Times New Roman" w:cs="Times New Roman"/>
                <w:sz w:val="24"/>
                <w:szCs w:val="24"/>
                <w:lang w:eastAsia="pl-PL"/>
              </w:rPr>
              <w:t>c)</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jego członkowie otrzymują wynagrodzenie niepowiązane z wynikiem postępowania;</w:t>
            </w:r>
          </w:p>
          <w:p w14:paraId="4501C81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6" w:name="mip65352759"/>
            <w:bookmarkEnd w:id="106"/>
            <w:r w:rsidRPr="00AC2F95">
              <w:rPr>
                <w:rFonts w:ascii="Times New Roman" w:eastAsia="Times New Roman" w:hAnsi="Times New Roman" w:cs="Times New Roman"/>
                <w:sz w:val="24"/>
                <w:szCs w:val="24"/>
                <w:lang w:eastAsia="pl-PL"/>
              </w:rPr>
              <w:t>d)</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 xml:space="preserve">oferowane przez niego pozasądowe rozstrzyganie sporów jest łatwo dostępne za pośrednictwem technologii łączności elektronicznej oraz istnieje możliwość wszczęcia rozstrzygania sporów oraz złożenia wymaganych dokumentów potwierdzających przez </w:t>
            </w:r>
            <w:proofErr w:type="spellStart"/>
            <w:r w:rsidRPr="00AC2F95">
              <w:rPr>
                <w:rFonts w:ascii="Times New Roman" w:eastAsia="Times New Roman" w:hAnsi="Times New Roman" w:cs="Times New Roman"/>
                <w:sz w:val="24"/>
                <w:szCs w:val="24"/>
                <w:lang w:eastAsia="pl-PL"/>
              </w:rPr>
              <w:t>internet</w:t>
            </w:r>
            <w:proofErr w:type="spellEnd"/>
            <w:r w:rsidRPr="00AC2F95">
              <w:rPr>
                <w:rFonts w:ascii="Times New Roman" w:eastAsia="Times New Roman" w:hAnsi="Times New Roman" w:cs="Times New Roman"/>
                <w:sz w:val="24"/>
                <w:szCs w:val="24"/>
                <w:lang w:eastAsia="pl-PL"/>
              </w:rPr>
              <w:t>;</w:t>
            </w:r>
          </w:p>
          <w:p w14:paraId="706702C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7" w:name="mip65352760"/>
            <w:bookmarkEnd w:id="107"/>
            <w:r w:rsidRPr="00AC2F95">
              <w:rPr>
                <w:rFonts w:ascii="Times New Roman" w:eastAsia="Times New Roman" w:hAnsi="Times New Roman" w:cs="Times New Roman"/>
                <w:sz w:val="24"/>
                <w:szCs w:val="24"/>
                <w:lang w:eastAsia="pl-PL"/>
              </w:rPr>
              <w:t>e)</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ma możliwość rozstrzygania sporów w sposób szybki, skuteczny i oszczędny oraz w co najmniej jednym języku urzędowym instytucji Unii;</w:t>
            </w:r>
          </w:p>
          <w:p w14:paraId="3AE1C0D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8" w:name="mip65352761"/>
            <w:bookmarkEnd w:id="108"/>
            <w:r w:rsidRPr="00AC2F95">
              <w:rPr>
                <w:rFonts w:ascii="Times New Roman" w:eastAsia="Times New Roman" w:hAnsi="Times New Roman" w:cs="Times New Roman"/>
                <w:sz w:val="24"/>
                <w:szCs w:val="24"/>
                <w:lang w:eastAsia="pl-PL"/>
              </w:rPr>
              <w:lastRenderedPageBreak/>
              <w:t>f)</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oferowane przez niego pozasądowe rozstrzyganie sporów odbywa się zgodnie z jasnym i sprawiedliwym regulaminem wewnętrznym, który jest łatwo i publicznie dostępny, oraz jest zgodne z obowiązującym prawem, w tym z niniejszym artykułem.</w:t>
            </w:r>
          </w:p>
          <w:p w14:paraId="01AFD56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9" w:name="mip65352762"/>
            <w:bookmarkEnd w:id="109"/>
            <w:r w:rsidRPr="00AC2F95">
              <w:rPr>
                <w:rFonts w:ascii="Times New Roman" w:eastAsia="Times New Roman" w:hAnsi="Times New Roman" w:cs="Times New Roman"/>
                <w:sz w:val="24"/>
                <w:szCs w:val="24"/>
                <w:lang w:eastAsia="pl-PL"/>
              </w:rPr>
              <w:t>Koordynator ds. usług cyfrowych w stosownych przypadkach wskazuje w certyfikacie:</w:t>
            </w:r>
          </w:p>
          <w:p w14:paraId="519A3CA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0" w:name="mip65352763"/>
            <w:bookmarkEnd w:id="110"/>
            <w:r w:rsidRPr="00AC2F95">
              <w:rPr>
                <w:rFonts w:ascii="Times New Roman" w:eastAsia="Times New Roman" w:hAnsi="Times New Roman" w:cs="Times New Roman"/>
                <w:sz w:val="24"/>
                <w:szCs w:val="24"/>
                <w:lang w:eastAsia="pl-PL"/>
              </w:rPr>
              <w:t>a)</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konkretne sprawy, w zakresie których dany organ dysponuje wiedzą ekspercką, o czym mowa w akapicie pierwszym lit. b); oraz</w:t>
            </w:r>
          </w:p>
          <w:p w14:paraId="251514D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1" w:name="mip65352764"/>
            <w:bookmarkEnd w:id="111"/>
            <w:r w:rsidRPr="00AC2F95">
              <w:rPr>
                <w:rFonts w:ascii="Times New Roman" w:eastAsia="Times New Roman" w:hAnsi="Times New Roman" w:cs="Times New Roman"/>
                <w:sz w:val="24"/>
                <w:szCs w:val="24"/>
                <w:lang w:eastAsia="pl-PL"/>
              </w:rPr>
              <w:t>b) język urzędowy lub języki urzędowe instytucji Unii, w których dany organ może rozstrzygać spory, o czym mowa w akapicie pierwszym lit. e).</w:t>
            </w:r>
          </w:p>
          <w:p w14:paraId="34CDE5A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2" w:name="mip65352765"/>
            <w:bookmarkEnd w:id="112"/>
            <w:r w:rsidRPr="00AC2F95">
              <w:rPr>
                <w:rFonts w:ascii="Times New Roman" w:eastAsia="Times New Roman" w:hAnsi="Times New Roman" w:cs="Times New Roman"/>
                <w:sz w:val="24"/>
                <w:szCs w:val="24"/>
                <w:lang w:eastAsia="pl-PL"/>
              </w:rPr>
              <w:t>4. Co roku certyfikowane organy pozasądowego rozstrzygania sporów składają koordynatorowi ds. usług cyfrowych, który je certyfikował, sprawozdanie z działalności, określając co najmniej liczbę otrzymanych sporów, informacje na temat wyników tych sporów, średni czas potrzebny do ich rozstrzygnięcia oraz wszelkie napotkane niedociągnięcia lub trudności. Na wniosek tego koordynatora ds. usług cyfrowych przekazują one dodatkowe informacje.</w:t>
            </w:r>
          </w:p>
          <w:p w14:paraId="59F03E8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Co dwa lata koordynatorzy ds. usług cyfrowych sporządzają sprawozdanie z działalności certyfikowanych przez nich organów pozasądowego rozstrzygania sporów. W sprawozdaniu tym należy w szczególności:</w:t>
            </w:r>
          </w:p>
          <w:p w14:paraId="709C0C2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3" w:name="mip65352767"/>
            <w:bookmarkEnd w:id="113"/>
            <w:r w:rsidRPr="00AC2F95">
              <w:rPr>
                <w:rFonts w:ascii="Times New Roman" w:eastAsia="Times New Roman" w:hAnsi="Times New Roman" w:cs="Times New Roman"/>
                <w:sz w:val="24"/>
                <w:szCs w:val="24"/>
                <w:lang w:eastAsia="pl-PL"/>
              </w:rPr>
              <w:t>a)</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podać liczbę sporów, które każdy certyfikowany organ pozasądowego rozstrzygania sporów otrzymał rocznie;</w:t>
            </w:r>
          </w:p>
          <w:p w14:paraId="2D8BDE3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4" w:name="mip65352768"/>
            <w:bookmarkEnd w:id="114"/>
            <w:r w:rsidRPr="00AC2F95">
              <w:rPr>
                <w:rFonts w:ascii="Times New Roman" w:eastAsia="Times New Roman" w:hAnsi="Times New Roman" w:cs="Times New Roman"/>
                <w:sz w:val="24"/>
                <w:szCs w:val="24"/>
                <w:lang w:eastAsia="pl-PL"/>
              </w:rPr>
              <w:lastRenderedPageBreak/>
              <w:t>b)</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wskazać wyniki postępowań wniesionych do tych organów oraz średni czas potrzebny na rozstrzygnięcie sporów;</w:t>
            </w:r>
          </w:p>
          <w:p w14:paraId="69D96D2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5" w:name="mip65352769"/>
            <w:bookmarkEnd w:id="115"/>
            <w:r w:rsidRPr="00AC2F95">
              <w:rPr>
                <w:rFonts w:ascii="Times New Roman" w:eastAsia="Times New Roman" w:hAnsi="Times New Roman" w:cs="Times New Roman"/>
                <w:sz w:val="24"/>
                <w:szCs w:val="24"/>
                <w:lang w:eastAsia="pl-PL"/>
              </w:rPr>
              <w:t>c)</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określić i wyjaśnić wszelkie systematyczne lub sektorowe niedociągnięcia lub trudności napotkane w związku z działalnością tych organów;</w:t>
            </w:r>
          </w:p>
          <w:p w14:paraId="553D445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6" w:name="mip65352770"/>
            <w:bookmarkEnd w:id="116"/>
            <w:r w:rsidRPr="00AC2F95">
              <w:rPr>
                <w:rFonts w:ascii="Times New Roman" w:eastAsia="Times New Roman" w:hAnsi="Times New Roman" w:cs="Times New Roman"/>
                <w:sz w:val="24"/>
                <w:szCs w:val="24"/>
                <w:lang w:eastAsia="pl-PL"/>
              </w:rPr>
              <w:t>d)</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określić najlepsze praktyki dotyczące takiej działalności;</w:t>
            </w:r>
          </w:p>
          <w:p w14:paraId="2A7388E9" w14:textId="77777777" w:rsidR="00AC2F95" w:rsidRPr="00AC2F95" w:rsidRDefault="001335C6" w:rsidP="00AC2F95">
            <w:pPr>
              <w:spacing w:after="0" w:line="240" w:lineRule="auto"/>
              <w:rPr>
                <w:rFonts w:ascii="Times New Roman" w:eastAsia="Times New Roman" w:hAnsi="Times New Roman" w:cs="Times New Roman"/>
                <w:sz w:val="24"/>
                <w:szCs w:val="24"/>
                <w:lang w:eastAsia="pl-PL"/>
              </w:rPr>
            </w:pPr>
            <w:bookmarkStart w:id="117" w:name="mip65352771"/>
            <w:bookmarkEnd w:id="117"/>
            <w:r>
              <w:rPr>
                <w:rFonts w:ascii="Times New Roman" w:eastAsia="Times New Roman" w:hAnsi="Times New Roman" w:cs="Times New Roman"/>
                <w:sz w:val="24"/>
                <w:szCs w:val="24"/>
                <w:lang w:eastAsia="pl-PL"/>
              </w:rPr>
              <w:t xml:space="preserve">e) </w:t>
            </w:r>
            <w:r w:rsidR="00AC2F95" w:rsidRPr="00AC2F95">
              <w:rPr>
                <w:rFonts w:ascii="Times New Roman" w:eastAsia="Times New Roman" w:hAnsi="Times New Roman" w:cs="Times New Roman"/>
                <w:sz w:val="24"/>
                <w:szCs w:val="24"/>
                <w:lang w:eastAsia="pl-PL"/>
              </w:rPr>
              <w:t>wydać zalecenia dotyczące sposobów poprawy takiej działalności.</w:t>
            </w:r>
          </w:p>
          <w:p w14:paraId="2D581B2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8" w:name="mip65352772"/>
            <w:bookmarkEnd w:id="118"/>
            <w:r w:rsidRPr="00AC2F95">
              <w:rPr>
                <w:rFonts w:ascii="Times New Roman" w:eastAsia="Times New Roman" w:hAnsi="Times New Roman" w:cs="Times New Roman"/>
                <w:sz w:val="24"/>
                <w:szCs w:val="24"/>
                <w:lang w:eastAsia="pl-PL"/>
              </w:rPr>
              <w:t>Certyfikowane organy pozasądowego rozstrzygania sporów udostępniają stronom swoje decyzję w rozsądnym terminie, nie później niż 90 dni kalendarzowych od dnia otrzymania skargi. W przypadku bardzo złożonych sporów certyfikowany pozasądowego rozstrzygania sporów może według własnego uznania przedłużyć termin 90 dni kalendarzowych o kolejny okres nieprzekraczający 90 dni, skutkujący maksymalnym łącznym terminem wynoszącym 180 dni.</w:t>
            </w:r>
          </w:p>
          <w:p w14:paraId="2817609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9" w:name="mip65352773"/>
            <w:bookmarkEnd w:id="119"/>
            <w:r w:rsidRPr="00AC2F95">
              <w:rPr>
                <w:rFonts w:ascii="Times New Roman" w:eastAsia="Times New Roman" w:hAnsi="Times New Roman" w:cs="Times New Roman"/>
                <w:sz w:val="24"/>
                <w:szCs w:val="24"/>
                <w:lang w:eastAsia="pl-PL"/>
              </w:rPr>
              <w:t xml:space="preserve">5. Jeżeli organ pozasądowego rozstrzygania sporów rozstrzygnie spór na korzyść odbiorcy usługi, w tym osoby lub podmiotu, które dokonały zgłoszenia, dostawca platformy internetowej ponosi wszystkie opłaty pobrane przez organ pozasądowego rozstrzygania sporów i zwraca temu odbiorcy, w tym osobie lub podmiotowi, wszelkie inne zasadne wydatki, które poniósł on w związku z rozstrzygnięciem sporu. Jeżeli organ pozasądowego rozstrzygania sporów rozstrzygnie spór na korzyść dostawcy platformy internetowej, nie można zobowiązać odbiorcy usługi, w tym osoby lub podmiotu, do zwrócenia jakichkolwiek </w:t>
            </w:r>
            <w:r w:rsidRPr="00AC2F95">
              <w:rPr>
                <w:rFonts w:ascii="Times New Roman" w:eastAsia="Times New Roman" w:hAnsi="Times New Roman" w:cs="Times New Roman"/>
                <w:sz w:val="24"/>
                <w:szCs w:val="24"/>
                <w:lang w:eastAsia="pl-PL"/>
              </w:rPr>
              <w:lastRenderedPageBreak/>
              <w:t>opłat ani innych wydatków, które dostawca platformy internetowej poniósł lub ma ponieść w związku z rozstrzygnięciem sporu, chyba że organ pozasądowego rozstrzygania sporów uzna, że odbiorca ten działał w sposób oczywisty w złej wierze.</w:t>
            </w:r>
          </w:p>
          <w:p w14:paraId="23E1797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Pobierane przez organ pozasądowego rozstrzygania sporów od dostawców platform internetowych opłaty za rozstrzygnięcie sporu muszą być rozsądne i w żadnym wypadku nie mogą być wyższe niż koszty poniesione przez ten organ. Rozstrzyganie sporów musi być dostępne dla odbiorców usługi bezpłatnie lub za nieznaczną opłatą.</w:t>
            </w:r>
          </w:p>
          <w:p w14:paraId="1BFE9B2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Przed przystąpieniem do rozstrzygania sporu certyfikowane organy pozasądowego rozstrzygania sporów informują odbiorcę usługi, w tym osoby i podmioty, które dokonały zgłoszenia, i dostawcę platformy internetowej o wysokości opłat lub o mechanizmach stosowanych do ustalenia wysokości opłat.</w:t>
            </w:r>
          </w:p>
          <w:p w14:paraId="11942DB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0" w:name="mip65352774"/>
            <w:bookmarkEnd w:id="120"/>
            <w:r w:rsidRPr="00AC2F95">
              <w:rPr>
                <w:rFonts w:ascii="Times New Roman" w:eastAsia="Times New Roman" w:hAnsi="Times New Roman" w:cs="Times New Roman"/>
                <w:sz w:val="24"/>
                <w:szCs w:val="24"/>
                <w:lang w:eastAsia="pl-PL"/>
              </w:rPr>
              <w:t>6. Państwa członkowskie mogą ustanowić organy pozasądowego rozstrzygania sporów do celów określonych w ust. 1 lub mogą wspierać działania niektórych lub wszystkich organów pozasądowego rozstrzygania sporów, które państwa te certyfikowały zgodnie z ust. 3.</w:t>
            </w:r>
          </w:p>
          <w:p w14:paraId="7CA9D46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Państwa członkowskie zapewniają, aby ich działania podejmowane na podstawie akapitu pierwszego nie wpływały na możliwość certyfikowania zainteresowanych organów zgodnie z ust. 3 przez ich koordynatorów ds. usług cyfrowych.</w:t>
            </w:r>
          </w:p>
          <w:p w14:paraId="1A46BCA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1" w:name="mip65352775"/>
            <w:bookmarkEnd w:id="121"/>
            <w:r w:rsidRPr="00AC2F95">
              <w:rPr>
                <w:rFonts w:ascii="Times New Roman" w:eastAsia="Times New Roman" w:hAnsi="Times New Roman" w:cs="Times New Roman"/>
                <w:sz w:val="24"/>
                <w:szCs w:val="24"/>
                <w:lang w:eastAsia="pl-PL"/>
              </w:rPr>
              <w:t xml:space="preserve">7. Koordynator ds. usług cyfrowych, który certyfikował organ pozasądowego rozstrzygania sporów, cofa tę </w:t>
            </w:r>
            <w:r w:rsidRPr="00AC2F95">
              <w:rPr>
                <w:rFonts w:ascii="Times New Roman" w:eastAsia="Times New Roman" w:hAnsi="Times New Roman" w:cs="Times New Roman"/>
                <w:sz w:val="24"/>
                <w:szCs w:val="24"/>
                <w:lang w:eastAsia="pl-PL"/>
              </w:rPr>
              <w:lastRenderedPageBreak/>
              <w:t>certyfikację, jeżeli w wyniku czynności sprawdzających prowadzonych z własnej inicjatywy albo na podstawie informacji otrzymanych przez osoby trzecie ustali, że organ pozasądowego rozstrzygania sporów nie spełnia już warunków określonych w ust. 3. Przed cofnięciem tej certyfikacji koordynator ds. usług cyfrowych zapewnia temu organowi możliwość ustosunkowania się do ustaleń dokonanych w toku czynności sprawdzających oraz do zamiaru cofnięcia certyfikacji tego organu pozasądowego rozstrzygania sporów.</w:t>
            </w:r>
          </w:p>
          <w:p w14:paraId="26C10E7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2" w:name="mip65352776"/>
            <w:bookmarkEnd w:id="122"/>
            <w:r w:rsidRPr="00AC2F95">
              <w:rPr>
                <w:rFonts w:ascii="Times New Roman" w:eastAsia="Times New Roman" w:hAnsi="Times New Roman" w:cs="Times New Roman"/>
                <w:sz w:val="24"/>
                <w:szCs w:val="24"/>
                <w:lang w:eastAsia="pl-PL"/>
              </w:rPr>
              <w:t>8. Koordynatorzy ds. usług cyfrowych zgłaszają Komisji organy pozasądowego rozstrzygania sporów, które certyfikowali zgodnie z ust. 3, w tym w stosownych przypadkach przekazują informacje, o których mowa w akapicie drugim tego ustępu, a także organy pozasądowego rozstrzygania sporów, których certyfikację cofnęli. Komisja publikuje wykaz tych organów wraz z tymi informacjami na specjalnej stronie internetowej, która jest łatwo dostępna, i aktualizuje go.</w:t>
            </w:r>
          </w:p>
          <w:p w14:paraId="5755C2D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3" w:name="mip65352777"/>
            <w:bookmarkEnd w:id="123"/>
            <w:r w:rsidRPr="00AC2F95">
              <w:rPr>
                <w:rFonts w:ascii="Times New Roman" w:eastAsia="Times New Roman" w:hAnsi="Times New Roman" w:cs="Times New Roman"/>
                <w:sz w:val="24"/>
                <w:szCs w:val="24"/>
                <w:lang w:eastAsia="pl-PL"/>
              </w:rPr>
              <w:t>9. Niniejszy artykuł pozostaje bez uszczerbku dla dyrektywy 2013/11/UE oraz dla postępowań i podmiotów alternatywnych metod rozstrzygania sporów konsumenckich ustanowionych na mocy tej dyrektywy.</w:t>
            </w:r>
          </w:p>
          <w:p w14:paraId="1020FF3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CEA8DAE" w14:textId="77777777" w:rsidR="00AC2F95" w:rsidRPr="00D5383D" w:rsidRDefault="00A36E48" w:rsidP="00B03963">
            <w:pPr>
              <w:spacing w:after="0" w:line="240" w:lineRule="auto"/>
              <w:rPr>
                <w:rFonts w:ascii="Times New Roman" w:eastAsia="Times New Roman" w:hAnsi="Times New Roman" w:cs="Times New Roman"/>
                <w:sz w:val="24"/>
                <w:szCs w:val="24"/>
                <w:lang w:eastAsia="pl-PL"/>
              </w:rPr>
            </w:pPr>
            <w:r w:rsidRPr="00D5383D">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D4A43B9" w14:textId="0726620E" w:rsidR="00AC2F95" w:rsidRPr="00D5383D" w:rsidRDefault="00A36E48" w:rsidP="00B03963">
            <w:pPr>
              <w:spacing w:after="0" w:line="240" w:lineRule="auto"/>
              <w:rPr>
                <w:rFonts w:ascii="Times New Roman" w:eastAsia="Times New Roman" w:hAnsi="Times New Roman" w:cs="Times New Roman"/>
                <w:sz w:val="24"/>
                <w:szCs w:val="24"/>
                <w:lang w:eastAsia="pl-PL"/>
              </w:rPr>
            </w:pPr>
            <w:r w:rsidRPr="00D5383D">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34484A9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22g. Certyfikacji, o której mowa w art. 21 ust. 3 rozporządzenia 2022/2065, dokonuje Prezes UKE.</w:t>
            </w:r>
          </w:p>
          <w:p w14:paraId="54616DAC"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22h. 1. Podmiot ubiegający się o certyfikację składa do Prezesa UKE wniosek w postaci elektronicznej.</w:t>
            </w:r>
          </w:p>
          <w:p w14:paraId="38B946E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Wniosek, o którym mowa w ust. 1, opatruje się kwalifikowanym podpisem elektronicznym, podpisem osobistym albo podpisem zaufanym.</w:t>
            </w:r>
          </w:p>
          <w:p w14:paraId="36E13F6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3. Wniosek, o którym mowa w ust. 1, wnosi się na adres do doręczeń elektronicznych, o którym mowa w art. 2 pkt 1 ustawy z dnia 18 listopada 2020 r. o doręczeniach </w:t>
            </w:r>
            <w:r w:rsidRPr="00B000EF">
              <w:rPr>
                <w:rFonts w:ascii="Times New Roman" w:eastAsia="Times New Roman" w:hAnsi="Times New Roman" w:cs="Times New Roman"/>
                <w:sz w:val="24"/>
                <w:szCs w:val="24"/>
                <w:lang w:eastAsia="pl-PL"/>
              </w:rPr>
              <w:lastRenderedPageBreak/>
              <w:t>elektronicznych (Dz. U. z 2023 r. poz. 285, 1860 i 2699), Prezesa UKE.</w:t>
            </w:r>
          </w:p>
          <w:p w14:paraId="7A4AB440"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 Wniosek, o którym mowa w ust. 1, zawiera:</w:t>
            </w:r>
          </w:p>
          <w:p w14:paraId="1EF1E6ED" w14:textId="6FF90F3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nazwę albo imię i nazwisko podmiotu ubiegającego się o certyfikację;</w:t>
            </w:r>
          </w:p>
          <w:p w14:paraId="4134C653" w14:textId="120447D4"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siedziby, adres miejsca prowadzenia działalności gospodarczej albo adres zamieszkania podmiotu ubiegającego się o certyfikację;</w:t>
            </w:r>
          </w:p>
          <w:p w14:paraId="20A928C8" w14:textId="5B65245E"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poczty elektronicznej podmiotu ubiegającego się o certyfikację;</w:t>
            </w:r>
          </w:p>
          <w:p w14:paraId="148E5734" w14:textId="3D19B69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informacje potwierdzające spełnianie warunków, o których mowa w art. 21 ust. 3 rozporządzenia 2022/2065;</w:t>
            </w:r>
          </w:p>
          <w:p w14:paraId="33B41180" w14:textId="7B894141"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lastRenderedPageBreak/>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wskazanie zakresu wnioskowanej certyfikacji.</w:t>
            </w:r>
          </w:p>
          <w:p w14:paraId="1E102A67"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 Do wniosku, o którym mowa w ust. 1, dołącza się dokumenty potwierdzające spełnianie warunków, o których mowa w art. 21 ust. 3 rozporządzenia 2022/2065.</w:t>
            </w:r>
          </w:p>
          <w:p w14:paraId="6D376F28"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 Przed dokonaniem certyfikacji Prezes UKE zasięga opinii organów administracji publicznej właściwych w sprawach zbieżnych z przedmiotem działalności podmiotu ubiegającego się o certyfikację.</w:t>
            </w:r>
          </w:p>
          <w:p w14:paraId="02B0452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7. Organ administracji publicznej przedstawia opinię, o której mowa w ust. 6, w terminie 14 dni od dnia doręczenia mu </w:t>
            </w:r>
            <w:r w:rsidRPr="00B000EF">
              <w:rPr>
                <w:rFonts w:ascii="Times New Roman" w:eastAsia="Times New Roman" w:hAnsi="Times New Roman" w:cs="Times New Roman"/>
                <w:sz w:val="24"/>
                <w:szCs w:val="24"/>
                <w:lang w:eastAsia="pl-PL"/>
              </w:rPr>
              <w:lastRenderedPageBreak/>
              <w:t>wniosku o jej wydanie.</w:t>
            </w:r>
          </w:p>
          <w:p w14:paraId="3F5980C5"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8. Brak przedstawienia opinii w terminie, o którym mowa w ust. 7, nie wstrzymuje postępowania w sprawie certyfikacji.</w:t>
            </w:r>
          </w:p>
          <w:p w14:paraId="67ADE7B9"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9. Prezes UKE rozpatruje wniosek, o którym mowa w ust. 1, w terminie 3 miesięcy od dnia jego złożenia.</w:t>
            </w:r>
          </w:p>
          <w:p w14:paraId="159F931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10. Wniosek, o którym mowa w ust. 1, niezawierający informacji, o których mowa w ust. 4 pkt 1, pozostawia się bez rozpoznania. Jeżeli wniosek nie zawiera informacji, o których mowa w ust. 4 pkt 2-5, lub nie spełnia wymagań, o których mowa w ust. 2 lub 5, Prezes UKE wzywa wnioskodawcę do uzupełnienia wniosku wraz z pouczeniem, </w:t>
            </w:r>
            <w:r w:rsidRPr="00B000EF">
              <w:rPr>
                <w:rFonts w:ascii="Times New Roman" w:eastAsia="Times New Roman" w:hAnsi="Times New Roman" w:cs="Times New Roman"/>
                <w:sz w:val="24"/>
                <w:szCs w:val="24"/>
                <w:lang w:eastAsia="pl-PL"/>
              </w:rPr>
              <w:lastRenderedPageBreak/>
              <w:t>że jego nieuzupełnienie w terminie 7 dni od dnia doręczenia wezwania powoduje pozostawienie wniosku bez rozpoznania.</w:t>
            </w:r>
          </w:p>
          <w:p w14:paraId="25DB1FB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11. Prezes UKE zawiadamia wnioskodawcę o dokonaniu certyfikacji.</w:t>
            </w:r>
          </w:p>
          <w:p w14:paraId="625B9B92"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12. Dokumentem potwierdzającym certyfikację jest certyfikat wydawany przez Prezesa UKE.</w:t>
            </w:r>
          </w:p>
          <w:p w14:paraId="6F6C1ACF"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13. Certyfikat, o którym mowa w ust. 12, zawiera:</w:t>
            </w:r>
          </w:p>
          <w:p w14:paraId="214D712F" w14:textId="223E5821"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oznaczenie podmiotu, który otrzymał certyfikat;</w:t>
            </w:r>
          </w:p>
          <w:p w14:paraId="32FBE6D3" w14:textId="24CAA38C"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nazwę podmiotu dokonującego certyfikacji oraz wskazanie adresu jego siedziby;</w:t>
            </w:r>
          </w:p>
          <w:p w14:paraId="04D302D3" w14:textId="116CBC7A"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numer lub oznaczenie certyfikatu;</w:t>
            </w:r>
          </w:p>
          <w:p w14:paraId="2E2007C9" w14:textId="48B1C515"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okres, na jaki została dokonana certyfikacja;</w:t>
            </w:r>
          </w:p>
          <w:p w14:paraId="1DD7672A" w14:textId="1C6881CB"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datę wydania i podpis podmiotu dokonującego certyfikacji albo osoby upoważnionej;</w:t>
            </w:r>
          </w:p>
          <w:p w14:paraId="6B9D7220" w14:textId="18F0D6DA"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informacje, o których mowa w art. 21 ust. 3 akapit 2 rozporządzenia 2022/2065.</w:t>
            </w:r>
          </w:p>
          <w:p w14:paraId="1230147D"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14. W okresie, na jaki została dokonana certyfikacja, podmiot, któremu udzielono certyfikacji, jest obowiązany spełniać warunki certyfikacji obowiązujące na dzień wydania certyfikatu.</w:t>
            </w:r>
          </w:p>
          <w:p w14:paraId="598EB16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22i. 1. Prezes UKE, w drodze decyzji, odmawia dokonania certyfikacji, jeżeli podmiot ubiegający się o certyfikację nie spełnia warunków, o których mowa w art. </w:t>
            </w:r>
            <w:r w:rsidRPr="00B000EF">
              <w:rPr>
                <w:rFonts w:ascii="Times New Roman" w:eastAsia="Times New Roman" w:hAnsi="Times New Roman" w:cs="Times New Roman"/>
                <w:sz w:val="24"/>
                <w:szCs w:val="24"/>
                <w:lang w:eastAsia="pl-PL"/>
              </w:rPr>
              <w:lastRenderedPageBreak/>
              <w:t xml:space="preserve">21 ust. 3 rozporządzenia 2022/2065. </w:t>
            </w:r>
          </w:p>
          <w:p w14:paraId="523802B9"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22j. 1. Prezes UKE po dokonaniu certyfikacji jest uprawniony, w celu oceny spełniania warunków certyfikacji, do przeprowadzenia czynności sprawdzających u podmiotu, któremu udzielono certyfikacji.</w:t>
            </w:r>
          </w:p>
          <w:p w14:paraId="49CD524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Prezes UKE zawiadamia podmiot, o którym mowa w ust. 1, o zamiarze przeprowadzenia czynności sprawdzających.</w:t>
            </w:r>
          </w:p>
          <w:p w14:paraId="64DACDF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3. Czynności sprawdzające przeprowadza się nie wcześniej niż po upływie 7 dni i nie później niż przed upływem 30 dni od dnia doręczenia podmiotowi, o </w:t>
            </w:r>
            <w:r w:rsidRPr="00B000EF">
              <w:rPr>
                <w:rFonts w:ascii="Times New Roman" w:eastAsia="Times New Roman" w:hAnsi="Times New Roman" w:cs="Times New Roman"/>
                <w:sz w:val="24"/>
                <w:szCs w:val="24"/>
                <w:lang w:eastAsia="pl-PL"/>
              </w:rPr>
              <w:lastRenderedPageBreak/>
              <w:t>którym mowa w ust. 1, zawiadomienia o zamiarze ich przeprowadzenia. Jeżeli czynności sprawdzające nie zostaną przeprowadzone w terminie 30 dni od dnia doręczenia zawiadomienia, ich przeprowadzenie wymaga ponownego zawiadomienia.</w:t>
            </w:r>
          </w:p>
          <w:p w14:paraId="391CDBA5"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 Czynności sprawdzające przeprowadza się na podstawie wydanego przez Prezesa UKE imiennego upoważnienia, które zawiera:</w:t>
            </w:r>
          </w:p>
          <w:p w14:paraId="23230B08" w14:textId="42CB8E3E"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imię i nazwisko osoby przeprowadzającej czynności sprawdzające;</w:t>
            </w:r>
          </w:p>
          <w:p w14:paraId="126AED54" w14:textId="6942BB24"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oznaczenie podmiotu, o którym mowa w ust. 1;</w:t>
            </w:r>
          </w:p>
          <w:p w14:paraId="2B1F6491" w14:textId="19076D8A"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 xml:space="preserve">wskazanie podstawy prawnej </w:t>
            </w:r>
            <w:r w:rsidRPr="00B000EF">
              <w:rPr>
                <w:rFonts w:ascii="Times New Roman" w:eastAsia="Times New Roman" w:hAnsi="Times New Roman" w:cs="Times New Roman"/>
                <w:sz w:val="24"/>
                <w:szCs w:val="24"/>
                <w:lang w:eastAsia="pl-PL"/>
              </w:rPr>
              <w:lastRenderedPageBreak/>
              <w:t>przeprowadzenia czynności sprawdzających;</w:t>
            </w:r>
          </w:p>
          <w:p w14:paraId="6E61D93A" w14:textId="621FEB83"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zakres czynności sprawdzających;</w:t>
            </w:r>
          </w:p>
          <w:p w14:paraId="3AD77C02" w14:textId="3AD12794"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datę i miejsce jego wystawienia;</w:t>
            </w:r>
          </w:p>
          <w:p w14:paraId="77BD2EF7" w14:textId="5AF5B576"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podpis Prezesa UKE lub osoby upoważnionej.</w:t>
            </w:r>
          </w:p>
          <w:p w14:paraId="2FBFBC8E"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 Osoba przeprowadzająca czynności sprawdzające jest uprawniona do:</w:t>
            </w:r>
          </w:p>
          <w:p w14:paraId="69B1731E" w14:textId="5D319170"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wstępu na grunt oraz do budynków, lokali lub innych pomieszczeń w dniach i godzinach pracy podmiotu, o którym mowa w ust. 1;</w:t>
            </w:r>
          </w:p>
          <w:p w14:paraId="579A3671" w14:textId="4F6FAE20"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wglądu do dokumentów i informacji mających bezpośredni związek z działalnością objętą certyfikacją;</w:t>
            </w:r>
          </w:p>
          <w:p w14:paraId="52276025" w14:textId="3558DCD0"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 xml:space="preserve">żądania ustnych lub pisemnych wyjaśnień w </w:t>
            </w:r>
            <w:r w:rsidRPr="00B000EF">
              <w:rPr>
                <w:rFonts w:ascii="Times New Roman" w:eastAsia="Times New Roman" w:hAnsi="Times New Roman" w:cs="Times New Roman"/>
                <w:sz w:val="24"/>
                <w:szCs w:val="24"/>
                <w:lang w:eastAsia="pl-PL"/>
              </w:rPr>
              <w:lastRenderedPageBreak/>
              <w:t>sprawach związanych z działalnością objętą certyfikacją.</w:t>
            </w:r>
          </w:p>
          <w:p w14:paraId="4BA05624"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 Czynności sprawdzających dokonuje się w obecności podmiotu, o którym mowa w ust. 1, lub osoby przez niego upoważnionej.</w:t>
            </w:r>
          </w:p>
          <w:p w14:paraId="61156FB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7. Z czynności sprawdzających sporządza się protokół i przedstawia go podmiotowi, o którym mowa w ust. 1. Przepisy art. 22zd ust. 12-18 stosuje się odpowiednio.</w:t>
            </w:r>
          </w:p>
          <w:p w14:paraId="0E6C2BCF"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22k. 1. Prezes UKE, w drodze decyzji, cofa certyfikację w przypadku stwierdzenia, że podmiot, któremu udzielono certyfikacji, nie spełnia już warunków, których </w:t>
            </w:r>
            <w:r w:rsidRPr="00B000EF">
              <w:rPr>
                <w:rFonts w:ascii="Times New Roman" w:eastAsia="Times New Roman" w:hAnsi="Times New Roman" w:cs="Times New Roman"/>
                <w:sz w:val="24"/>
                <w:szCs w:val="24"/>
                <w:lang w:eastAsia="pl-PL"/>
              </w:rPr>
              <w:lastRenderedPageBreak/>
              <w:t>mowa w art. 21 ust. 3 rozporządzenia 2022/2065.</w:t>
            </w:r>
          </w:p>
          <w:p w14:paraId="66D953A0"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Prezes UKE, przed cofnięciem certyfikacji, umożliwia podmiotowi, któremu udzielono certyfikacji, ustosunkowanie się do ustaleń dokonanych w toku czynności sprawdzających, o których mowa w 22j ust. 1, oraz do zamiaru cofnięcia certyfikacji, w terminie 14 dni od dnia doręczenia temu podmiotowi informacji o wynikach czynności sprawdzających i zamiarze cofnięcia certyfikacji.</w:t>
            </w:r>
          </w:p>
          <w:p w14:paraId="3A6A208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22l. Od decyzji Prezesa UKE, o których mowa. w art. 22i ust. 1 i art. 22k ust. 1, przysługuje </w:t>
            </w:r>
            <w:r w:rsidRPr="00B000EF">
              <w:rPr>
                <w:rFonts w:ascii="Times New Roman" w:eastAsia="Times New Roman" w:hAnsi="Times New Roman" w:cs="Times New Roman"/>
                <w:sz w:val="24"/>
                <w:szCs w:val="24"/>
                <w:lang w:eastAsia="pl-PL"/>
              </w:rPr>
              <w:lastRenderedPageBreak/>
              <w:t>skarga do sądu administracyjnego.</w:t>
            </w:r>
          </w:p>
          <w:p w14:paraId="146DC69D"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22m. 1. Certyfikowane organy pozasądowego rozstrzygania sporów przekazują Prezesowi UKE sprawozdanie, o którym mowa w art. 21 ust. 4 zdanie pierwsze rozporządzenia 2022/2065, w terminie do dnia 31 marca roku następującego po roku, którego dotyczy sprawozdanie. </w:t>
            </w:r>
          </w:p>
          <w:p w14:paraId="2C430BDC" w14:textId="1AEDE2F1" w:rsidR="00AC2F95" w:rsidRPr="00D5383D" w:rsidRDefault="00B000EF" w:rsidP="006B0170">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Do przekazania sprawozdania stosuje się odpowiednio przepisy art. 22h ust. 1-3.</w:t>
            </w:r>
            <w:bookmarkStart w:id="124" w:name="mip69442895"/>
            <w:bookmarkStart w:id="125" w:name="mip69442898"/>
            <w:bookmarkStart w:id="126" w:name="mip69442900"/>
            <w:bookmarkEnd w:id="124"/>
            <w:bookmarkEnd w:id="125"/>
            <w:bookmarkEnd w:id="126"/>
          </w:p>
        </w:tc>
        <w:tc>
          <w:tcPr>
            <w:tcW w:w="817" w:type="pct"/>
            <w:tcBorders>
              <w:top w:val="outset" w:sz="6" w:space="0" w:color="auto"/>
              <w:left w:val="outset" w:sz="6" w:space="0" w:color="auto"/>
              <w:bottom w:val="outset" w:sz="6" w:space="0" w:color="auto"/>
              <w:right w:val="outset" w:sz="6" w:space="0" w:color="auto"/>
            </w:tcBorders>
            <w:vAlign w:val="center"/>
          </w:tcPr>
          <w:p w14:paraId="232AC287" w14:textId="77777777" w:rsidR="00AC2F95" w:rsidRPr="00B03963" w:rsidRDefault="00AC2F95" w:rsidP="00B03963">
            <w:pPr>
              <w:spacing w:after="0" w:line="240" w:lineRule="auto"/>
              <w:rPr>
                <w:rFonts w:ascii="Times New Roman" w:eastAsia="Times New Roman" w:hAnsi="Times New Roman" w:cs="Times New Roman"/>
                <w:sz w:val="20"/>
                <w:szCs w:val="20"/>
                <w:lang w:eastAsia="pl-PL"/>
              </w:rPr>
            </w:pPr>
          </w:p>
        </w:tc>
      </w:tr>
      <w:tr w:rsidR="00AC2F95" w:rsidRPr="00B03963" w14:paraId="310FBD8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6CCD5C1"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22</w:t>
            </w:r>
          </w:p>
        </w:tc>
        <w:tc>
          <w:tcPr>
            <w:tcW w:w="1650" w:type="pct"/>
            <w:tcBorders>
              <w:top w:val="outset" w:sz="6" w:space="0" w:color="auto"/>
              <w:left w:val="outset" w:sz="6" w:space="0" w:color="auto"/>
              <w:bottom w:val="outset" w:sz="6" w:space="0" w:color="auto"/>
              <w:right w:val="outset" w:sz="6" w:space="0" w:color="auto"/>
            </w:tcBorders>
            <w:vAlign w:val="center"/>
          </w:tcPr>
          <w:p w14:paraId="3B3120E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xml:space="preserve">1. Dostawcy platform internetowych wprowadzają niezbędne środki techniczne i organizacyjne w celu zapewnienia priorytetowego traktowania zgłoszeń dokonywanych przez zaufane podmioty sygnalizujące, działające w wyznaczonych dziedzinach, w których dysponują wiedzą ekspercką, za pośrednictwem mechanizmów, o których mowa w art. 16, a także </w:t>
            </w:r>
            <w:r w:rsidRPr="00AC2F95">
              <w:rPr>
                <w:rFonts w:ascii="Times New Roman" w:eastAsia="Times New Roman" w:hAnsi="Times New Roman" w:cs="Times New Roman"/>
                <w:sz w:val="24"/>
                <w:szCs w:val="24"/>
                <w:lang w:eastAsia="pl-PL"/>
              </w:rPr>
              <w:lastRenderedPageBreak/>
              <w:t>rozpatrywania takich zgłoszeń oraz podejmowania decyzji w ich sprawie bez zbędnej zwłoki.</w:t>
            </w:r>
          </w:p>
          <w:p w14:paraId="66C75AC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7" w:name="mip65352780"/>
            <w:bookmarkEnd w:id="127"/>
            <w:r w:rsidRPr="00AC2F95">
              <w:rPr>
                <w:rFonts w:ascii="Times New Roman" w:eastAsia="Times New Roman" w:hAnsi="Times New Roman" w:cs="Times New Roman"/>
                <w:sz w:val="24"/>
                <w:szCs w:val="24"/>
                <w:lang w:eastAsia="pl-PL"/>
              </w:rPr>
              <w:t>2. Status „zaufanego podmiotu sygnalizującego” na podstawie niniejszego rozporządzenia jest przyznawany, na wniosek dowolnego podmiotu, przez koordynatora ds. usług cyfrowych państwa członkowskiego, w którym wnioskodawca ma siedzibę, wnioskodawcy, który wykaże, że spełnia wszystkie następujące warunki:</w:t>
            </w:r>
          </w:p>
          <w:p w14:paraId="08F2C55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8" w:name="mip65352782"/>
            <w:bookmarkEnd w:id="128"/>
            <w:r w:rsidRPr="00AC2F95">
              <w:rPr>
                <w:rFonts w:ascii="Times New Roman" w:eastAsia="Times New Roman" w:hAnsi="Times New Roman" w:cs="Times New Roman"/>
                <w:sz w:val="24"/>
                <w:szCs w:val="24"/>
                <w:lang w:eastAsia="pl-PL"/>
              </w:rPr>
              <w:t>a)</w:t>
            </w:r>
          </w:p>
          <w:p w14:paraId="64883DF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dysponuje szczególną wiedzą ekspercką i kompetencjami do celów wykrywania, identyfikowania i zgłaszania nielegalnych treści;</w:t>
            </w:r>
          </w:p>
          <w:p w14:paraId="59BD230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9" w:name="mip65352783"/>
            <w:bookmarkEnd w:id="129"/>
            <w:r w:rsidRPr="00AC2F95">
              <w:rPr>
                <w:rFonts w:ascii="Times New Roman" w:eastAsia="Times New Roman" w:hAnsi="Times New Roman" w:cs="Times New Roman"/>
                <w:sz w:val="24"/>
                <w:szCs w:val="24"/>
                <w:lang w:eastAsia="pl-PL"/>
              </w:rPr>
              <w:t>b)</w:t>
            </w:r>
          </w:p>
          <w:p w14:paraId="47F5097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jest niezależny od dostawców platform internetowych;</w:t>
            </w:r>
          </w:p>
          <w:p w14:paraId="1E79499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0" w:name="mip65352784"/>
            <w:bookmarkEnd w:id="130"/>
            <w:r w:rsidRPr="00AC2F95">
              <w:rPr>
                <w:rFonts w:ascii="Times New Roman" w:eastAsia="Times New Roman" w:hAnsi="Times New Roman" w:cs="Times New Roman"/>
                <w:sz w:val="24"/>
                <w:szCs w:val="24"/>
                <w:lang w:eastAsia="pl-PL"/>
              </w:rPr>
              <w:t>c)</w:t>
            </w:r>
          </w:p>
          <w:p w14:paraId="2E07F4A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podejmuje działania mające na celu dokonywanie zgłoszeń w sposób dokładny i obiektywny oraz z zachowaniem należytej staranności.</w:t>
            </w:r>
          </w:p>
          <w:p w14:paraId="02416E4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1" w:name="mip65352785"/>
            <w:bookmarkEnd w:id="131"/>
            <w:r w:rsidRPr="00AC2F95">
              <w:rPr>
                <w:rFonts w:ascii="Times New Roman" w:eastAsia="Times New Roman" w:hAnsi="Times New Roman" w:cs="Times New Roman"/>
                <w:sz w:val="24"/>
                <w:szCs w:val="24"/>
                <w:lang w:eastAsia="pl-PL"/>
              </w:rPr>
              <w:t>3. Zaufane podmioty sygnalizujące publikują co najmniej raz w roku łatwo zrozumiałe i szczegółowe sprawozdanie dotyczące zgłoszeń dokonanych zgodnie z art. 16 w danym okresie. W sprawozdaniu podaje się co najmniej liczbę zgłoszeń pogrupowanych według:</w:t>
            </w:r>
          </w:p>
          <w:p w14:paraId="232F874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2" w:name="mip65352787"/>
            <w:bookmarkEnd w:id="132"/>
            <w:r w:rsidRPr="00AC2F95">
              <w:rPr>
                <w:rFonts w:ascii="Times New Roman" w:eastAsia="Times New Roman" w:hAnsi="Times New Roman" w:cs="Times New Roman"/>
                <w:sz w:val="24"/>
                <w:szCs w:val="24"/>
                <w:lang w:eastAsia="pl-PL"/>
              </w:rPr>
              <w:t>a)</w:t>
            </w:r>
          </w:p>
          <w:p w14:paraId="7166B76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tożsamości dostawcy usług hostingu;</w:t>
            </w:r>
          </w:p>
          <w:p w14:paraId="0C976CE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3" w:name="mip65352788"/>
            <w:bookmarkEnd w:id="133"/>
            <w:r w:rsidRPr="00AC2F95">
              <w:rPr>
                <w:rFonts w:ascii="Times New Roman" w:eastAsia="Times New Roman" w:hAnsi="Times New Roman" w:cs="Times New Roman"/>
                <w:sz w:val="24"/>
                <w:szCs w:val="24"/>
                <w:lang w:eastAsia="pl-PL"/>
              </w:rPr>
              <w:t>b)</w:t>
            </w:r>
          </w:p>
          <w:p w14:paraId="283A66B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rodzaju potencjalnie nielegalnych treści będących przedmiotem zgłoszenia;</w:t>
            </w:r>
          </w:p>
          <w:p w14:paraId="6382365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4" w:name="mip65352789"/>
            <w:bookmarkEnd w:id="134"/>
            <w:r w:rsidRPr="00AC2F95">
              <w:rPr>
                <w:rFonts w:ascii="Times New Roman" w:eastAsia="Times New Roman" w:hAnsi="Times New Roman" w:cs="Times New Roman"/>
                <w:sz w:val="24"/>
                <w:szCs w:val="24"/>
                <w:lang w:eastAsia="pl-PL"/>
              </w:rPr>
              <w:t>c)</w:t>
            </w:r>
          </w:p>
          <w:p w14:paraId="156AAD1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działań podjętych przez dostawcę usług.</w:t>
            </w:r>
          </w:p>
          <w:p w14:paraId="387F729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5" w:name="mip65352790"/>
            <w:bookmarkEnd w:id="135"/>
            <w:r w:rsidRPr="00AC2F95">
              <w:rPr>
                <w:rFonts w:ascii="Times New Roman" w:eastAsia="Times New Roman" w:hAnsi="Times New Roman" w:cs="Times New Roman"/>
                <w:sz w:val="24"/>
                <w:szCs w:val="24"/>
                <w:lang w:eastAsia="pl-PL"/>
              </w:rPr>
              <w:lastRenderedPageBreak/>
              <w:t>Sprawozdania te zawierają wyjaśnienie obowiązujących procedur zapewniających zachowanie niezależności zaufanego podmiotu sygnalizującego.</w:t>
            </w:r>
          </w:p>
          <w:p w14:paraId="0C5C1B3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Zaufane podmioty sygnalizujące przesyłają te sprawozdania koordynatorowi ds. usług cyfrowych przyznającemu status i podają je do wiadomości publicznej. Informacje podane w sprawozdaniach nie mogą zawierać danych osobowych.</w:t>
            </w:r>
          </w:p>
          <w:p w14:paraId="448DF43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6" w:name="mip65352791"/>
            <w:bookmarkEnd w:id="136"/>
            <w:r w:rsidRPr="00AC2F95">
              <w:rPr>
                <w:rFonts w:ascii="Times New Roman" w:eastAsia="Times New Roman" w:hAnsi="Times New Roman" w:cs="Times New Roman"/>
                <w:sz w:val="24"/>
                <w:szCs w:val="24"/>
                <w:lang w:eastAsia="pl-PL"/>
              </w:rPr>
              <w:t>4. Koordynatorzy ds. usług cyfrowych przekazują Komisji i Radzie Usług Cyfrowych nazwy, adresy oraz adresy poczty elektronicznej podmiotów, którym przyznali status zaufanego podmiotu sygnalizującego zgodnie z ust. 2 lub którym zawiesili status zaufanego podmiotu sygnalizującego zgodnie z ust. 6, lub którym cofnęli taki status zgodnie z ust. 7.</w:t>
            </w:r>
          </w:p>
          <w:p w14:paraId="14DDA70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7" w:name="mip65352792"/>
            <w:bookmarkEnd w:id="137"/>
            <w:r w:rsidRPr="00AC2F95">
              <w:rPr>
                <w:rFonts w:ascii="Times New Roman" w:eastAsia="Times New Roman" w:hAnsi="Times New Roman" w:cs="Times New Roman"/>
                <w:sz w:val="24"/>
                <w:szCs w:val="24"/>
                <w:lang w:eastAsia="pl-PL"/>
              </w:rPr>
              <w:t>5. Komisja publikuje informacje, o których mowa w ust. 4, w publicznie dostępnej bazie danych w łatwo dostępnym formacie nadającym się do odczytu maszynowego i aktualizuje tę bazę danych.</w:t>
            </w:r>
          </w:p>
          <w:p w14:paraId="165DD6B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8" w:name="mip65352793"/>
            <w:bookmarkEnd w:id="138"/>
            <w:r w:rsidRPr="00AC2F95">
              <w:rPr>
                <w:rFonts w:ascii="Times New Roman" w:eastAsia="Times New Roman" w:hAnsi="Times New Roman" w:cs="Times New Roman"/>
                <w:sz w:val="24"/>
                <w:szCs w:val="24"/>
                <w:lang w:eastAsia="pl-PL"/>
              </w:rPr>
              <w:t xml:space="preserve">6. W przypadku gdy dostawca platform internetowych dysponuje informacjami wskazującymi, że zaufany podmiot sygnalizujący dokonał za pośrednictwem mechanizmów, o których mowa w art. 16, znacznej liczby niewystarczająco precyzyjnych, niedokładnych lub nieodpowiednio uzasadnionych zgłoszeń, w tym informacji pozyskanych w związku z rozpatrywaniem skarg w ramach wewnętrznego systemu rozpatrywania skarg, o którym mowa w art. 20 ust. 4, przekazuje te informacje koordynatorowi ds. usług cyfrowych, który przyznał danemu podmiotowi status zaufanego podmiotu sygnalizującego, wraz z niezbędnymi wyjaśnieniami i dokumentami potwierdzającymi. Po </w:t>
            </w:r>
            <w:r w:rsidRPr="00AC2F95">
              <w:rPr>
                <w:rFonts w:ascii="Times New Roman" w:eastAsia="Times New Roman" w:hAnsi="Times New Roman" w:cs="Times New Roman"/>
                <w:sz w:val="24"/>
                <w:szCs w:val="24"/>
                <w:lang w:eastAsia="pl-PL"/>
              </w:rPr>
              <w:lastRenderedPageBreak/>
              <w:t>otrzymaniu informacji od dostawcy platform internetowych, jeżeli koordynator ds. usług cyfrowych uzna, że istnieją uzasadnione powody, by podjąć czynności sprawdzające, status zaufanego podmiotu sygnalizującego zawiesza się na czas trwania tych czynności sprawdzających. Czynności sprawdzające należy przeprowadzić bez zbędnej zwłoki.</w:t>
            </w:r>
          </w:p>
          <w:p w14:paraId="290216A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9" w:name="mip65352794"/>
            <w:bookmarkEnd w:id="139"/>
            <w:r w:rsidRPr="00AC2F95">
              <w:rPr>
                <w:rFonts w:ascii="Times New Roman" w:eastAsia="Times New Roman" w:hAnsi="Times New Roman" w:cs="Times New Roman"/>
                <w:sz w:val="24"/>
                <w:szCs w:val="24"/>
                <w:lang w:eastAsia="pl-PL"/>
              </w:rPr>
              <w:t>7. Koordynator ds. usług cyfrowych, który przyznał danemu podmiotowi status zaufanego podmiotu sygnalizującego, cofa taki status, jeżeli w wyniku czynności sprawdzających prowadzonych z własnej inicjatywy albo na podstawie informacji otrzymanych od osób trzecich, w tym informacji udzielonych przez dostawcę platform internetowych na podstawie ust. 6, ustali, że dany podmiot nie spełnia już warunków określonych w ust. 2. Przed cofnięciem tego statusu koordynator ds. usług cyfrowych zapewnia podmiotowi możliwość ustosunkowania się do ustaleń dokonanych w toku czynności sprawdzających oraz do zamiaru cofnięcia jego statusu zaufanego podmiotu sygnalizującego.</w:t>
            </w:r>
          </w:p>
          <w:p w14:paraId="502BA9A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0" w:name="mip65352795"/>
            <w:bookmarkEnd w:id="140"/>
            <w:r w:rsidRPr="00AC2F95">
              <w:rPr>
                <w:rFonts w:ascii="Times New Roman" w:eastAsia="Times New Roman" w:hAnsi="Times New Roman" w:cs="Times New Roman"/>
                <w:sz w:val="24"/>
                <w:szCs w:val="24"/>
                <w:lang w:eastAsia="pl-PL"/>
              </w:rPr>
              <w:t>8. Po konsultacji z Radą Usług Cyfrowych Komisja wydaje, jeżeli zachodzi taka potrzeba, wytyczne w celu wsparcia dostawców platform internetowych i koordynatorów ds. usług cyfrowych w stosowaniu ust. 2, 6 i 7.</w:t>
            </w:r>
          </w:p>
          <w:p w14:paraId="36196E1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8A09E08" w14:textId="77777777" w:rsidR="00AC2F95" w:rsidRPr="00B03963" w:rsidRDefault="00773A19" w:rsidP="00B0396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14DB4531" w14:textId="4F215F41" w:rsidR="00AC2F95" w:rsidRPr="00B000EF" w:rsidRDefault="00773A19" w:rsidP="00B03963">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1753923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22n. Prezes UKE przyznaje status zaufanego podmiotu sygnalizującego, o którym mowa w art. 22 ust. 2 </w:t>
            </w:r>
            <w:r w:rsidRPr="00B000EF">
              <w:rPr>
                <w:rFonts w:ascii="Times New Roman" w:eastAsia="Times New Roman" w:hAnsi="Times New Roman" w:cs="Times New Roman"/>
                <w:sz w:val="24"/>
                <w:szCs w:val="24"/>
                <w:lang w:eastAsia="pl-PL"/>
              </w:rPr>
              <w:lastRenderedPageBreak/>
              <w:t>rozporządzenia 2022/2065.</w:t>
            </w:r>
          </w:p>
          <w:p w14:paraId="7C1D814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22o. 1. Podmiot ubiegający się o przyznanie statusu zaufanego podmiotu sygnalizującego składa wniosek. Do złożenia wniosku stosuje się odpowiednio przepisy art. 22h ust. 1-3.</w:t>
            </w:r>
          </w:p>
          <w:p w14:paraId="12F56234"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Wniosek, o którym mowa w ust. 1, zawiera:</w:t>
            </w:r>
          </w:p>
          <w:p w14:paraId="6AC51D76" w14:textId="7E6BA6AF"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nazwę podmiotu ubiegającego się o przyznanie statusu zaufanego podmiotu sygnalizującego albo jego imię i nazwisko;</w:t>
            </w:r>
          </w:p>
          <w:p w14:paraId="27081707" w14:textId="5FF3DA9F"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siedziby albo zamieszkania podmiotu ubiegającego się o przyznanie statusu zaufanego podmiotu sygnalizującego;</w:t>
            </w:r>
          </w:p>
          <w:p w14:paraId="7C683564" w14:textId="72CB6339"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 xml:space="preserve">adres miejsca prowadzenia działalności gospodarczej albo </w:t>
            </w:r>
            <w:r w:rsidRPr="00B000EF">
              <w:rPr>
                <w:rFonts w:ascii="Times New Roman" w:eastAsia="Times New Roman" w:hAnsi="Times New Roman" w:cs="Times New Roman"/>
                <w:sz w:val="24"/>
                <w:szCs w:val="24"/>
                <w:lang w:eastAsia="pl-PL"/>
              </w:rPr>
              <w:lastRenderedPageBreak/>
              <w:t>siedziby podmiotu ubiegającego się o przyznanie statusu zaufanego podmiotu sygnalizującego;</w:t>
            </w:r>
          </w:p>
          <w:p w14:paraId="44D532F7" w14:textId="48E534CF"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poczty elektronicznej podmiotu ubiegającego się o przyznanie statusu zaufanego podmiotu sygnalizującego;</w:t>
            </w:r>
          </w:p>
          <w:p w14:paraId="42110E77" w14:textId="3C21ABED"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informacje potwierdzające spełnianie warunków, o których mowa w art. 22 ust. 2 rozporządzenia 2022/2065.</w:t>
            </w:r>
          </w:p>
          <w:p w14:paraId="2364B1D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 Do wniosku, o którym mowa w ust. 1, dołącza się dokumenty potwierdzające spełnianie warunków, o których mowa w art. 22 ust. 2 rozporządzenia 2022/2065.</w:t>
            </w:r>
          </w:p>
          <w:p w14:paraId="69065672"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4. Prezes UKE przed przyznaniem statusu zaufanego podmiotu </w:t>
            </w:r>
            <w:r w:rsidRPr="00B000EF">
              <w:rPr>
                <w:rFonts w:ascii="Times New Roman" w:eastAsia="Times New Roman" w:hAnsi="Times New Roman" w:cs="Times New Roman"/>
                <w:sz w:val="24"/>
                <w:szCs w:val="24"/>
                <w:lang w:eastAsia="pl-PL"/>
              </w:rPr>
              <w:lastRenderedPageBreak/>
              <w:t>sygnalizującego może zasięgnąć opinii Prezesa Urzędu Ochrony Danych Osobowych lub innych organów administracji publicznej właściwych w sprawach zbieżnych z przedmiotem działalności podmiotu ubiegającego się o przyznanie statusu zaufanego podmiotu sygnalizującego.</w:t>
            </w:r>
          </w:p>
          <w:p w14:paraId="332F441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 Organ, o którym mowa w ust. 4, przedstawia opinię, w terminie 14 dni od dnia doręczenia mu wniosku o jej wydanie.</w:t>
            </w:r>
          </w:p>
          <w:p w14:paraId="3754A0D7"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6. Brak przedstawienia opinii w terminie, o którym mowa w ust. 5, nie wstrzymuje postępowania w sprawie nadania statusu zaufanego </w:t>
            </w:r>
            <w:r w:rsidRPr="00B000EF">
              <w:rPr>
                <w:rFonts w:ascii="Times New Roman" w:eastAsia="Times New Roman" w:hAnsi="Times New Roman" w:cs="Times New Roman"/>
                <w:sz w:val="24"/>
                <w:szCs w:val="24"/>
                <w:lang w:eastAsia="pl-PL"/>
              </w:rPr>
              <w:lastRenderedPageBreak/>
              <w:t xml:space="preserve">podmiotu sygnalizującego. </w:t>
            </w:r>
          </w:p>
          <w:p w14:paraId="44AB3A90"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7. Prezes UKE rozpatruje wniosek, o którym mowa w ust. 1, w terminie nie dłuższym niż 30 dni od dnia jego złożenia.</w:t>
            </w:r>
          </w:p>
          <w:p w14:paraId="77F273B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8. Wniosek, o którym mowa w ust. 1, złożony do Prezesa UKE, niezawierający informacji, o których mowa w ust. 2 pkt 1, pozostawia się bez rozpoznania. Jeżeli wniosek nie zawiera informacji, o których mowa w ust. 2 pkt 2-5, lub nie spełnia wymagań, o których mowa w ust. 1 lub 3, Prezes UKE wzywa wnioskodawcę do uzupełnienia wniosku wraz z pouczeniem, że nieuzupełnienie wniosku w terminie 7 dni od dnia doręczenia wezwania spowoduje pozostawienie </w:t>
            </w:r>
            <w:r w:rsidRPr="00B000EF">
              <w:rPr>
                <w:rFonts w:ascii="Times New Roman" w:eastAsia="Times New Roman" w:hAnsi="Times New Roman" w:cs="Times New Roman"/>
                <w:sz w:val="24"/>
                <w:szCs w:val="24"/>
                <w:lang w:eastAsia="pl-PL"/>
              </w:rPr>
              <w:lastRenderedPageBreak/>
              <w:t>wniosku bez rozpoznania.</w:t>
            </w:r>
          </w:p>
          <w:p w14:paraId="2B4DFF4F"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9. Prezes UKE zawiadamia wnioskodawcę o przyznaniu statusu zaufanego podmiotu sygnalizującego.</w:t>
            </w:r>
          </w:p>
          <w:p w14:paraId="6A484CA5"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10. Dokumentem potwierdzającym przyznanie statusu zaufanego podmiotu sygnalizującego jest zaświadczenie wydawane przez Prezesa UKE.</w:t>
            </w:r>
          </w:p>
          <w:p w14:paraId="72B132B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22p. Prezes UKE, w drodze decyzji, odmawia przyznania statusu zaufanego podmiotu sygnalizującego, jeżeli podmiot ubiegający się przyznanie statusu zaufanego podmiotu sygnalizującego nie spełnia warunków, o których mowa w art. 22 ust. 2 rozporządzenia 2022/2046.</w:t>
            </w:r>
          </w:p>
          <w:p w14:paraId="12F2F84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lastRenderedPageBreak/>
              <w:t>Art. 22r. 1. Prezes UKE, w drodze decyzji, cofa status zaufanego podmiotu sygnalizującego w przypadku stwierdzenia, że podmiot, któremu przyznano status podmiotu zaufanego, przestał spełniać warunki, o których mowa w art. 22 ust. 2 rozporządzenia 2022/2046.</w:t>
            </w:r>
          </w:p>
          <w:p w14:paraId="0E2BDAB8"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2. Prezes UKE po przyznaniu statusu zaufanego podmiotu sygnalizującego jest uprawniony, w celu oceny spełniania warunków, o których mowa w art. 22 ust. 2 rozporządzenia 2022/2046, do przeprowadzenia czynności sprawdzających u podmiotu, któremu przyznano status zaufanego podmiotu sygnalizującego. </w:t>
            </w:r>
            <w:r w:rsidRPr="00B000EF">
              <w:rPr>
                <w:rFonts w:ascii="Times New Roman" w:eastAsia="Times New Roman" w:hAnsi="Times New Roman" w:cs="Times New Roman"/>
                <w:sz w:val="24"/>
                <w:szCs w:val="24"/>
                <w:lang w:eastAsia="pl-PL"/>
              </w:rPr>
              <w:lastRenderedPageBreak/>
              <w:t>Przepisy art. 22j ust. 2 7 stosuje się odpowiednio.</w:t>
            </w:r>
          </w:p>
          <w:p w14:paraId="43728249"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 Prezes UKE przed wydaniem decyzji o cofnięciu statusu zaufanego podmiotu sygnalizującego umożliwia podmiotowi, któremu przyznano status zaufanego podmiotu sygnalizującego, ustosunkowanie się do ustaleń dokonanych w toku czynności sprawdzających i zamiaru cofnięcia tego statusu, w terminie 14 dni od dnia doręczenia temu podmiotowi informacji o wynikach czynności sprawdzających i zamiarze cofnięcia statusu zaufanego podmiotu sygnalizującego.</w:t>
            </w:r>
          </w:p>
          <w:p w14:paraId="1AFD024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4. Prezes UKE zawiesza status </w:t>
            </w:r>
            <w:r w:rsidRPr="00B000EF">
              <w:rPr>
                <w:rFonts w:ascii="Times New Roman" w:eastAsia="Times New Roman" w:hAnsi="Times New Roman" w:cs="Times New Roman"/>
                <w:sz w:val="24"/>
                <w:szCs w:val="24"/>
                <w:lang w:eastAsia="pl-PL"/>
              </w:rPr>
              <w:lastRenderedPageBreak/>
              <w:t>zaufanego podmiotu sygnalizującego na okres trwania czynności sprawdzających, o których mowa w ust. 2, w przypadku, o którym mowa w art. 22 ust. 6 rozporządzenia 2022/2046.</w:t>
            </w:r>
          </w:p>
          <w:p w14:paraId="774C92B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22s. Od decyzji Prezesa UKE, o których mowa w art. 22p i art. 22r ust. 1, przysługuje skarga do sądu administracyjnego.</w:t>
            </w:r>
          </w:p>
          <w:p w14:paraId="4FA5502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22t. 1. Zaufane podmioty sygnalizujące przekazują Prezesowi UKE coroczne sprawozdanie dotyczące zgłoszeń dokonanych zgodnie z art. 16 rozporządzenia 2022/2065, w terminie do dnia 31 marca roku następującego po </w:t>
            </w:r>
            <w:r w:rsidRPr="00B000EF">
              <w:rPr>
                <w:rFonts w:ascii="Times New Roman" w:eastAsia="Times New Roman" w:hAnsi="Times New Roman" w:cs="Times New Roman"/>
                <w:sz w:val="24"/>
                <w:szCs w:val="24"/>
                <w:lang w:eastAsia="pl-PL"/>
              </w:rPr>
              <w:lastRenderedPageBreak/>
              <w:t>roku, którego dotyczy sprawozdanie.</w:t>
            </w:r>
          </w:p>
          <w:p w14:paraId="1687DBC8" w14:textId="46F176A6" w:rsidR="00AC2F95" w:rsidRPr="00651CD4" w:rsidRDefault="00B000EF" w:rsidP="00B03963">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Do złożenia sprawozdania stosuje się odpowiednio przepisy art. 22h ust. 1-3.</w:t>
            </w:r>
          </w:p>
        </w:tc>
        <w:tc>
          <w:tcPr>
            <w:tcW w:w="817" w:type="pct"/>
            <w:tcBorders>
              <w:top w:val="outset" w:sz="6" w:space="0" w:color="auto"/>
              <w:left w:val="outset" w:sz="6" w:space="0" w:color="auto"/>
              <w:bottom w:val="outset" w:sz="6" w:space="0" w:color="auto"/>
              <w:right w:val="outset" w:sz="6" w:space="0" w:color="auto"/>
            </w:tcBorders>
            <w:vAlign w:val="center"/>
          </w:tcPr>
          <w:p w14:paraId="75073882" w14:textId="77777777" w:rsidR="00AC2F95" w:rsidRPr="00B03963" w:rsidRDefault="00AC2F95" w:rsidP="00B03963">
            <w:pPr>
              <w:spacing w:after="0" w:line="240" w:lineRule="auto"/>
              <w:rPr>
                <w:rFonts w:ascii="Times New Roman" w:eastAsia="Times New Roman" w:hAnsi="Times New Roman" w:cs="Times New Roman"/>
                <w:sz w:val="20"/>
                <w:szCs w:val="20"/>
                <w:lang w:eastAsia="pl-PL"/>
              </w:rPr>
            </w:pPr>
          </w:p>
        </w:tc>
      </w:tr>
      <w:tr w:rsidR="00AC2F95" w:rsidRPr="00B03963" w14:paraId="68DA549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3E79A79"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23</w:t>
            </w:r>
          </w:p>
        </w:tc>
        <w:tc>
          <w:tcPr>
            <w:tcW w:w="1650" w:type="pct"/>
            <w:tcBorders>
              <w:top w:val="outset" w:sz="6" w:space="0" w:color="auto"/>
              <w:left w:val="outset" w:sz="6" w:space="0" w:color="auto"/>
              <w:bottom w:val="outset" w:sz="6" w:space="0" w:color="auto"/>
              <w:right w:val="outset" w:sz="6" w:space="0" w:color="auto"/>
            </w:tcBorders>
            <w:vAlign w:val="center"/>
          </w:tcPr>
          <w:p w14:paraId="271DDC0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zawieszają na rozsądny okres i po wydaniu uprzedniego ostrzeżenia świadczenie usług na rzecz odbiorców usługi często przekazujących oczywiście nielegalne treści.</w:t>
            </w:r>
          </w:p>
          <w:p w14:paraId="3F8F3B6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1" w:name="mip65352798"/>
            <w:bookmarkEnd w:id="141"/>
            <w:r w:rsidRPr="00AC2F95">
              <w:rPr>
                <w:rFonts w:ascii="Times New Roman" w:eastAsia="Times New Roman" w:hAnsi="Times New Roman" w:cs="Times New Roman"/>
                <w:sz w:val="24"/>
                <w:szCs w:val="24"/>
                <w:lang w:eastAsia="pl-PL"/>
              </w:rPr>
              <w:t>2. Dostawcy platform internetowych zawieszają na rozsądny okres i po wydaniu uprzedniego ostrzeżenia rozpatrywanie zgłoszeń dokonanych za pośrednictwem mechanizmów zgłaszania i działania oraz skarg wnoszonych za pośrednictwem wewnętrznych systemów rozpatrywania skarg, o których mowa w, odpowiednio, art. 16 i 20, przez osoby lub podmioty dokonujące często oczywiście bezzasadnych zgłoszeń lub przez skarżących wnoszących często oczywiście bezzasadne skargi.</w:t>
            </w:r>
          </w:p>
          <w:p w14:paraId="74E7D5F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2" w:name="mip65352799"/>
            <w:bookmarkEnd w:id="142"/>
            <w:r w:rsidRPr="00AC2F95">
              <w:rPr>
                <w:rFonts w:ascii="Times New Roman" w:eastAsia="Times New Roman" w:hAnsi="Times New Roman" w:cs="Times New Roman"/>
                <w:sz w:val="24"/>
                <w:szCs w:val="24"/>
                <w:lang w:eastAsia="pl-PL"/>
              </w:rPr>
              <w:t>3. Przy podejmowaniu decyzji o zawieszeniu dostawcy platform internetowych oceniają w poszczególnym przypadku oraz w sposób terminowy i obiektywny, z zachowaniem należytej staranności, czy odbiorca usługi, osoba, podmiot lub skarżący dopuszcza się nadużywania, o którym mowa w ust. 1 i 2, z uwzględnieniem wszystkich istotnych faktów i okoliczności wynikających z informacji dostępnych dla dostawcy platform internetowych. Okoliczności takie obejmują co najmniej:</w:t>
            </w:r>
          </w:p>
          <w:p w14:paraId="7D08008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3" w:name="mip65352801"/>
            <w:bookmarkEnd w:id="143"/>
            <w:r w:rsidRPr="00AC2F95">
              <w:rPr>
                <w:rFonts w:ascii="Times New Roman" w:eastAsia="Times New Roman" w:hAnsi="Times New Roman" w:cs="Times New Roman"/>
                <w:sz w:val="24"/>
                <w:szCs w:val="24"/>
                <w:lang w:eastAsia="pl-PL"/>
              </w:rPr>
              <w:lastRenderedPageBreak/>
              <w:t>a) liczbę bezwzględną oczywiście nielegalnych treści lub oczywiście bezzasadnych zgłoszeń lub skarg, które zostały odpowiednio przekazane, dokonane lub wniesione w danym okresie;</w:t>
            </w:r>
          </w:p>
          <w:p w14:paraId="370923D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4" w:name="mip65352802"/>
            <w:bookmarkEnd w:id="144"/>
            <w:r w:rsidRPr="00AC2F95">
              <w:rPr>
                <w:rFonts w:ascii="Times New Roman" w:eastAsia="Times New Roman" w:hAnsi="Times New Roman" w:cs="Times New Roman"/>
                <w:sz w:val="24"/>
                <w:szCs w:val="24"/>
                <w:lang w:eastAsia="pl-PL"/>
              </w:rPr>
              <w:t>b) względny stosunek takiej liczby do całkowitej liczby informacji lub zgłoszeń odpowiednio przekazanych lub dokonanych w danym okresie;</w:t>
            </w:r>
          </w:p>
          <w:p w14:paraId="74B1D9F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5" w:name="mip65352803"/>
            <w:bookmarkEnd w:id="145"/>
            <w:r w:rsidRPr="00AC2F95">
              <w:rPr>
                <w:rFonts w:ascii="Times New Roman" w:eastAsia="Times New Roman" w:hAnsi="Times New Roman" w:cs="Times New Roman"/>
                <w:sz w:val="24"/>
                <w:szCs w:val="24"/>
                <w:lang w:eastAsia="pl-PL"/>
              </w:rPr>
              <w:t>c)</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ciężar nadużywania, w tym charakter nielegalnych treści, i jego konsekwencje;</w:t>
            </w:r>
          </w:p>
          <w:p w14:paraId="6604665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6" w:name="mip65352804"/>
            <w:bookmarkEnd w:id="146"/>
            <w:r w:rsidRPr="00AC2F95">
              <w:rPr>
                <w:rFonts w:ascii="Times New Roman" w:eastAsia="Times New Roman" w:hAnsi="Times New Roman" w:cs="Times New Roman"/>
                <w:sz w:val="24"/>
                <w:szCs w:val="24"/>
                <w:lang w:eastAsia="pl-PL"/>
              </w:rPr>
              <w:t>d)</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zamiar odbiorcy usługi, osoby, podmiotu lub skarżącego, jeżeli można go określić.</w:t>
            </w:r>
          </w:p>
          <w:p w14:paraId="51D6469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7" w:name="mip65352805"/>
            <w:bookmarkEnd w:id="147"/>
            <w:r w:rsidRPr="00AC2F95">
              <w:rPr>
                <w:rFonts w:ascii="Times New Roman" w:eastAsia="Times New Roman" w:hAnsi="Times New Roman" w:cs="Times New Roman"/>
                <w:sz w:val="24"/>
                <w:szCs w:val="24"/>
                <w:lang w:eastAsia="pl-PL"/>
              </w:rPr>
              <w:t>4. Dostawcy platform internetowych jasno i szczegółowo określają w warunkach korzystania z usług swoją politykę dotyczącą nadużywania, o którym mowa w ust. 1 i 2, oraz podają przykłady faktów i okoliczności, które uwzględniają przy ocenie tego, czy dane zachowanie stanowi nadużywanie, oraz przy ocenie długości okresu zawieszenia.</w:t>
            </w:r>
          </w:p>
          <w:p w14:paraId="245F9AF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2C832AC"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54CB485" w14:textId="77777777" w:rsidR="00AC2F95" w:rsidRPr="00B03963" w:rsidRDefault="00AC2F95"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AB62975"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96167DD"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875768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AEBED63"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24</w:t>
            </w:r>
          </w:p>
        </w:tc>
        <w:tc>
          <w:tcPr>
            <w:tcW w:w="1650" w:type="pct"/>
            <w:tcBorders>
              <w:top w:val="outset" w:sz="6" w:space="0" w:color="auto"/>
              <w:left w:val="outset" w:sz="6" w:space="0" w:color="auto"/>
              <w:bottom w:val="outset" w:sz="6" w:space="0" w:color="auto"/>
              <w:right w:val="outset" w:sz="6" w:space="0" w:color="auto"/>
            </w:tcBorders>
            <w:vAlign w:val="center"/>
          </w:tcPr>
          <w:p w14:paraId="67FEC23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Oprócz informacji, o których mowa w art. 15, dostawcy platform internetowych zawierają w sprawozdaniach, o których mowa w tym artykule, następujące informacje:</w:t>
            </w:r>
          </w:p>
          <w:p w14:paraId="336D63E4"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8" w:name="mip65352809"/>
            <w:bookmarkEnd w:id="148"/>
            <w:r w:rsidRPr="00AC2F95">
              <w:rPr>
                <w:rFonts w:ascii="Times New Roman" w:eastAsia="Times New Roman" w:hAnsi="Times New Roman" w:cs="Times New Roman"/>
                <w:sz w:val="24"/>
                <w:szCs w:val="24"/>
                <w:lang w:eastAsia="pl-PL"/>
              </w:rPr>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liczbę sporów przekazanych do organów pozasądowego rozstrzygania sporów, o których mowa w art. 21, wyniki rozstrzygania tych sporów oraz medianę czasu potrzebnego na przeprowadzenie postępowania w sprawie rozstrzygania sporów, a także udział sporów, w których dostawca platformy internetowej wdrożył decyzje tego organu;</w:t>
            </w:r>
          </w:p>
          <w:p w14:paraId="069DE63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9" w:name="mip65352810"/>
            <w:bookmarkEnd w:id="149"/>
            <w:r w:rsidRPr="00AC2F95">
              <w:rPr>
                <w:rFonts w:ascii="Times New Roman" w:eastAsia="Times New Roman" w:hAnsi="Times New Roman" w:cs="Times New Roman"/>
                <w:sz w:val="24"/>
                <w:szCs w:val="24"/>
                <w:lang w:eastAsia="pl-PL"/>
              </w:rPr>
              <w:lastRenderedPageBreak/>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liczbę przypadków zawieszenia świadczenia usług na podstawie art. 23 z podziałem na zawieszenia dokonane w związku z przekazywaniem oczywiście nielegalnych treści, dokonywaniem oczywiście bezzasadnych zgłoszeń oraz wnoszeniem oczywiście bezzasadnych skarg.</w:t>
            </w:r>
          </w:p>
          <w:p w14:paraId="729685C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0" w:name="mip65352811"/>
            <w:bookmarkEnd w:id="150"/>
            <w:r w:rsidRPr="00AC2F95">
              <w:rPr>
                <w:rFonts w:ascii="Times New Roman" w:eastAsia="Times New Roman" w:hAnsi="Times New Roman" w:cs="Times New Roman"/>
                <w:sz w:val="24"/>
                <w:szCs w:val="24"/>
                <w:lang w:eastAsia="pl-PL"/>
              </w:rPr>
              <w:t>2. Do dnia 17 lutego 2023 r., a następnie co najmniej raz na sześć miesięcy dostawcy, w odniesieniu do każdej platformy internetowej lub wyszukiwarki internetowej, publikują w publicznie dostępnej sekcji swojego interfejsu internetowego informacje na temat średniej liczby aktywnych miesięcznie odbiorców usługi w Unii, obliczonej jako średnia liczba w okresie poprzednich sześciu miesięcy oraz zgodnie z metodyką ustanowioną w aktach delegowanych, o których mowa w art. 33 ust. 2, jeżeli te akty delegowane zostały przyjęte.</w:t>
            </w:r>
          </w:p>
          <w:p w14:paraId="1397186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1" w:name="mip65352812"/>
            <w:bookmarkEnd w:id="151"/>
            <w:r w:rsidRPr="00AC2F95">
              <w:rPr>
                <w:rFonts w:ascii="Times New Roman" w:eastAsia="Times New Roman" w:hAnsi="Times New Roman" w:cs="Times New Roman"/>
                <w:sz w:val="24"/>
                <w:szCs w:val="24"/>
                <w:lang w:eastAsia="pl-PL"/>
              </w:rPr>
              <w:t>3. Dostawcy platform internetowych lub wyszukiwarek internetowych przekazują koordynatorowi ds. usług cyfrowych właściwemu dla miejsca siedziby i Komisji – na ich wniosek i bez zbędnej zwłoki – informacje, o których mowa w ust. 2, zaktualizowane na moment złożenia takiego wniosku. Koordynator ds. usług cyfrowych lub Komisja mogą zażądać, aby dostawca platformy internetowej lub wyszukiwarki internetowej przekazał dodatkowe informacje dotyczące obliczenia, o którym mowa w tym ustępie, w tym wyjaśnienia i uzasadnienie odnośnie do wykorzystanych danych. Informacje te nie mogą zawierać danych osobowych.</w:t>
            </w:r>
          </w:p>
          <w:p w14:paraId="2690240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2" w:name="mip65352813"/>
            <w:bookmarkEnd w:id="152"/>
            <w:r w:rsidRPr="00AC2F95">
              <w:rPr>
                <w:rFonts w:ascii="Times New Roman" w:eastAsia="Times New Roman" w:hAnsi="Times New Roman" w:cs="Times New Roman"/>
                <w:sz w:val="24"/>
                <w:szCs w:val="24"/>
                <w:lang w:eastAsia="pl-PL"/>
              </w:rPr>
              <w:t xml:space="preserve">4. Gdy w oparciu o informacje otrzymane na podstawie ust. 2 i 3 niniejszego artykułu koordynator ds. usług cyfrowych właściwy dla miejsca siedziby ma powody, aby uważać, że dostawca platform internetowych lub </w:t>
            </w:r>
            <w:r w:rsidRPr="00AC2F95">
              <w:rPr>
                <w:rFonts w:ascii="Times New Roman" w:eastAsia="Times New Roman" w:hAnsi="Times New Roman" w:cs="Times New Roman"/>
                <w:sz w:val="24"/>
                <w:szCs w:val="24"/>
                <w:lang w:eastAsia="pl-PL"/>
              </w:rPr>
              <w:lastRenderedPageBreak/>
              <w:t>wyszukiwarek internetowych osiągnął określony w art. 33 ust. 1 próg średniej liczby aktywnych miesięcznie odbiorców usługi w Unii, informuje o tym Komisję.</w:t>
            </w:r>
          </w:p>
          <w:p w14:paraId="02C2D6A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3" w:name="mip65352814"/>
            <w:bookmarkEnd w:id="153"/>
            <w:r w:rsidRPr="00AC2F95">
              <w:rPr>
                <w:rFonts w:ascii="Times New Roman" w:eastAsia="Times New Roman" w:hAnsi="Times New Roman" w:cs="Times New Roman"/>
                <w:sz w:val="24"/>
                <w:szCs w:val="24"/>
                <w:lang w:eastAsia="pl-PL"/>
              </w:rPr>
              <w:t>5. Dostawcy platform internetowych bez zbędnej zwłoki przekazują Komisji decyzje i uzasadnienia, o których mowa w art. 17 ust. 1, w celu umieszczenia ich w dostępnej publicznie bazie danych nadającej się do odczytu maszynowego zarządzanej przez Komisję. Dostawcy platform internetowych zapewniają, aby przekazywane informacje nie zawierały danych osobowych.</w:t>
            </w:r>
          </w:p>
          <w:p w14:paraId="07B130F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4" w:name="mip65352815"/>
            <w:bookmarkEnd w:id="154"/>
            <w:r w:rsidRPr="00AC2F95">
              <w:rPr>
                <w:rFonts w:ascii="Times New Roman" w:eastAsia="Times New Roman" w:hAnsi="Times New Roman" w:cs="Times New Roman"/>
                <w:sz w:val="24"/>
                <w:szCs w:val="24"/>
                <w:lang w:eastAsia="pl-PL"/>
              </w:rPr>
              <w:t>6. Komisja może przyjmować akty wykonawcze w celu ustanowienia wzorów określających formę, treść i inne szczegóły sprawozdań na podstawie ust. 1 niniejszego artykułu. Te akty wykonawcze przyjmuje się zgodnie z procedurą doradczą, o której mowa w art. 88.</w:t>
            </w:r>
          </w:p>
          <w:p w14:paraId="33B02FF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92D55CB"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B40F805"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6779A89"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5708399"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0FB6517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D51BD44"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25</w:t>
            </w:r>
          </w:p>
        </w:tc>
        <w:tc>
          <w:tcPr>
            <w:tcW w:w="1650" w:type="pct"/>
            <w:tcBorders>
              <w:top w:val="outset" w:sz="6" w:space="0" w:color="auto"/>
              <w:left w:val="outset" w:sz="6" w:space="0" w:color="auto"/>
              <w:bottom w:val="outset" w:sz="6" w:space="0" w:color="auto"/>
              <w:right w:val="outset" w:sz="6" w:space="0" w:color="auto"/>
            </w:tcBorders>
            <w:vAlign w:val="center"/>
          </w:tcPr>
          <w:p w14:paraId="03D69C7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nie mogą projektować, organizować ani obsługiwać swoich interfejsów internetowych w sposób, który wprowadza w błąd odbiorców usługi lub nimi manipuluje lub w inny istotny sposób zakłóca lub ogranicza zdolność odbiorców ich usługi do podejmowania wolnych i świadomych decyzji.</w:t>
            </w:r>
          </w:p>
          <w:p w14:paraId="5B3D550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5" w:name="mip65352818"/>
            <w:bookmarkEnd w:id="155"/>
            <w:r w:rsidRPr="00AC2F95">
              <w:rPr>
                <w:rFonts w:ascii="Times New Roman" w:eastAsia="Times New Roman" w:hAnsi="Times New Roman" w:cs="Times New Roman"/>
                <w:sz w:val="24"/>
                <w:szCs w:val="24"/>
                <w:lang w:eastAsia="pl-PL"/>
              </w:rPr>
              <w:t>2. Zakaz przewidziany w ust. 1 nie ma zastosowania do praktyk objętych dyrektywą 2005/29/WE lub rozporządzeniem (UE) 2016/679.</w:t>
            </w:r>
          </w:p>
          <w:p w14:paraId="5AF2BDA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6" w:name="mip65352819"/>
            <w:bookmarkEnd w:id="156"/>
            <w:r w:rsidRPr="00AC2F95">
              <w:rPr>
                <w:rFonts w:ascii="Times New Roman" w:eastAsia="Times New Roman" w:hAnsi="Times New Roman" w:cs="Times New Roman"/>
                <w:sz w:val="24"/>
                <w:szCs w:val="24"/>
                <w:lang w:eastAsia="pl-PL"/>
              </w:rPr>
              <w:t>3. Komisja może wydać wytyczne dotyczące stosowania ust. 1 do konkretnych praktyk, w szczególności:</w:t>
            </w:r>
          </w:p>
          <w:p w14:paraId="2D63D6D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7" w:name="mip65352821"/>
            <w:bookmarkEnd w:id="157"/>
            <w:r w:rsidRPr="00AC2F95">
              <w:rPr>
                <w:rFonts w:ascii="Times New Roman" w:eastAsia="Times New Roman" w:hAnsi="Times New Roman" w:cs="Times New Roman"/>
                <w:sz w:val="24"/>
                <w:szCs w:val="24"/>
                <w:lang w:eastAsia="pl-PL"/>
              </w:rPr>
              <w:lastRenderedPageBreak/>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większego eksponowania niektórych wyborów, gdy odbiorca usługi jest proszony o podjęcie decyzji;</w:t>
            </w:r>
          </w:p>
          <w:p w14:paraId="6A36B28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8" w:name="mip65352822"/>
            <w:bookmarkEnd w:id="158"/>
            <w:r w:rsidRPr="00AC2F95">
              <w:rPr>
                <w:rFonts w:ascii="Times New Roman" w:eastAsia="Times New Roman" w:hAnsi="Times New Roman" w:cs="Times New Roman"/>
                <w:sz w:val="24"/>
                <w:szCs w:val="24"/>
                <w:lang w:eastAsia="pl-PL"/>
              </w:rPr>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wielokrotnego żądania od odbiorcy usługi dokonania wyboru, gdy wyboru takiego już dokonał, w szczególności przez pokazywanie wyskakujących okienek, które zakłócają środowisko użytkownika;</w:t>
            </w:r>
          </w:p>
          <w:p w14:paraId="4F6BC18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9" w:name="mip65352823"/>
            <w:bookmarkEnd w:id="159"/>
            <w:r w:rsidRPr="00AC2F95">
              <w:rPr>
                <w:rFonts w:ascii="Times New Roman" w:eastAsia="Times New Roman" w:hAnsi="Times New Roman" w:cs="Times New Roman"/>
                <w:sz w:val="24"/>
                <w:szCs w:val="24"/>
                <w:lang w:eastAsia="pl-PL"/>
              </w:rPr>
              <w:t>c)</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sprawiania, że procedura zrezygnowania z usługi jest trudniejsza niż procedura jej subskrypcji.</w:t>
            </w:r>
          </w:p>
          <w:p w14:paraId="73EB513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598C07F"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1D7D1C"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655851F"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9E0CA1C"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CA2559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0600C08"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26</w:t>
            </w:r>
          </w:p>
        </w:tc>
        <w:tc>
          <w:tcPr>
            <w:tcW w:w="1650" w:type="pct"/>
            <w:tcBorders>
              <w:top w:val="outset" w:sz="6" w:space="0" w:color="auto"/>
              <w:left w:val="outset" w:sz="6" w:space="0" w:color="auto"/>
              <w:bottom w:val="outset" w:sz="6" w:space="0" w:color="auto"/>
              <w:right w:val="outset" w:sz="6" w:space="0" w:color="auto"/>
            </w:tcBorders>
            <w:vAlign w:val="center"/>
          </w:tcPr>
          <w:p w14:paraId="5FBA8BE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którzy prezentują reklamy na swoich interfejsach internetowych, zapewniają, aby – w odniesieniu do każdej konkretnej reklamy prezentowanej każdemu indywidualnemu odbiorcy – odbiorcy usługi byli w stanie w sposób jasny, wyraźny, zwięzły i jednoznaczny oraz w czasie rzeczywistym:</w:t>
            </w:r>
          </w:p>
          <w:p w14:paraId="12955C6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0" w:name="mip65352827"/>
            <w:bookmarkEnd w:id="160"/>
            <w:r w:rsidRPr="00AC2F95">
              <w:rPr>
                <w:rFonts w:ascii="Times New Roman" w:eastAsia="Times New Roman" w:hAnsi="Times New Roman" w:cs="Times New Roman"/>
                <w:sz w:val="24"/>
                <w:szCs w:val="24"/>
                <w:lang w:eastAsia="pl-PL"/>
              </w:rPr>
              <w:t>a) stwierdzić, że informacje są reklamą, w tym za pomocą widocznych oznaczeń, które mogą być zgodne z normami na podstawie art. 44;</w:t>
            </w:r>
          </w:p>
          <w:p w14:paraId="0706CC9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1" w:name="mip65352828"/>
            <w:bookmarkEnd w:id="161"/>
            <w:r w:rsidRPr="00AC2F95">
              <w:rPr>
                <w:rFonts w:ascii="Times New Roman" w:eastAsia="Times New Roman" w:hAnsi="Times New Roman" w:cs="Times New Roman"/>
                <w:sz w:val="24"/>
                <w:szCs w:val="24"/>
                <w:lang w:eastAsia="pl-PL"/>
              </w:rPr>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stwierdzić, w imieniu jakiej osoby fizycznej lub prawnej jest prezentowana reklama;</w:t>
            </w:r>
          </w:p>
          <w:p w14:paraId="2AE26E6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2" w:name="mip65352829"/>
            <w:bookmarkEnd w:id="162"/>
            <w:r w:rsidRPr="00AC2F95">
              <w:rPr>
                <w:rFonts w:ascii="Times New Roman" w:eastAsia="Times New Roman" w:hAnsi="Times New Roman" w:cs="Times New Roman"/>
                <w:sz w:val="24"/>
                <w:szCs w:val="24"/>
                <w:lang w:eastAsia="pl-PL"/>
              </w:rPr>
              <w:t>c) stwierdzić, jaka osoba fizyczna lub prawna zapłaciła za reklamę, jeżeli osobą tą nie jest osoba fizyczna lub prawna, o której mowa w lit. b);</w:t>
            </w:r>
          </w:p>
          <w:p w14:paraId="4BB33BB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3" w:name="mip65352830"/>
            <w:bookmarkEnd w:id="163"/>
            <w:r w:rsidRPr="00AC2F95">
              <w:rPr>
                <w:rFonts w:ascii="Times New Roman" w:eastAsia="Times New Roman" w:hAnsi="Times New Roman" w:cs="Times New Roman"/>
                <w:sz w:val="24"/>
                <w:szCs w:val="24"/>
                <w:lang w:eastAsia="pl-PL"/>
              </w:rPr>
              <w:t>d)</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znaleźć istotne informacje, pozyskane bezpośrednio i łatwo z reklamy, na temat głównych parametrów wykorzystanych do określenia odbiorcy, któremu reklama jest prezentowana i, w stosownych przypadkach, sposobu zmiany tych parametrów.</w:t>
            </w:r>
          </w:p>
          <w:p w14:paraId="3605C4F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4" w:name="mip65352831"/>
            <w:bookmarkEnd w:id="164"/>
            <w:r w:rsidRPr="00AC2F95">
              <w:rPr>
                <w:rFonts w:ascii="Times New Roman" w:eastAsia="Times New Roman" w:hAnsi="Times New Roman" w:cs="Times New Roman"/>
                <w:sz w:val="24"/>
                <w:szCs w:val="24"/>
                <w:lang w:eastAsia="pl-PL"/>
              </w:rPr>
              <w:t xml:space="preserve">2. Dostawcy platform internetowych zapewniają odbiorcom usługi funkcję umożliwiającą składanie </w:t>
            </w:r>
            <w:r w:rsidRPr="00AC2F95">
              <w:rPr>
                <w:rFonts w:ascii="Times New Roman" w:eastAsia="Times New Roman" w:hAnsi="Times New Roman" w:cs="Times New Roman"/>
                <w:sz w:val="24"/>
                <w:szCs w:val="24"/>
                <w:lang w:eastAsia="pl-PL"/>
              </w:rPr>
              <w:lastRenderedPageBreak/>
              <w:t>oświadczenia, czy przekazywane przez nich treści są informacjami handlowym lub zawierają informacje handlowe.</w:t>
            </w:r>
          </w:p>
          <w:p w14:paraId="16617B5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Gdy odbiorca usługi składa oświadczenie na podstawie niniejszego ustępu, dostawca platform internetowych zapewnia, aby inni odbiorcy usługi mogli w sposób jasny i jednoznaczny oraz w czasie rzeczywistym, w tym za pomocą widocznych oznaczeń, które mogą być zgodne z normami na podstawie art. 44, stwierdzić, że treści przekazane przez odbiorcę usługi są informacjami handlowymi lub zawierają informacje handlowe zgodnie z tym oświadczeniem.</w:t>
            </w:r>
          </w:p>
          <w:p w14:paraId="34C5830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5" w:name="mip65352832"/>
            <w:bookmarkEnd w:id="165"/>
            <w:r w:rsidRPr="00AC2F95">
              <w:rPr>
                <w:rFonts w:ascii="Times New Roman" w:eastAsia="Times New Roman" w:hAnsi="Times New Roman" w:cs="Times New Roman"/>
                <w:sz w:val="24"/>
                <w:szCs w:val="24"/>
                <w:lang w:eastAsia="pl-PL"/>
              </w:rPr>
              <w:t>3. Dostawcy platform internetowych nie mogą prezentować odbiorcom usługi reklam opartych na profilowaniu zgodnie z definicją w art. 4 pkt 4 rozporządzenia (UE) 2016/679 z wykorzystaniem szczególnych kategorii danych osobowych, o których mowa w art. 9 ust. 1 rozporządzenia (UE) 2016/679.</w:t>
            </w:r>
          </w:p>
          <w:p w14:paraId="183FCBB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2777CE7"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CFF9E0F"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55F6DC2"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90269D2"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FF3401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AB93899"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27</w:t>
            </w:r>
          </w:p>
        </w:tc>
        <w:tc>
          <w:tcPr>
            <w:tcW w:w="1650" w:type="pct"/>
            <w:tcBorders>
              <w:top w:val="outset" w:sz="6" w:space="0" w:color="auto"/>
              <w:left w:val="outset" w:sz="6" w:space="0" w:color="auto"/>
              <w:bottom w:val="outset" w:sz="6" w:space="0" w:color="auto"/>
              <w:right w:val="outset" w:sz="6" w:space="0" w:color="auto"/>
            </w:tcBorders>
            <w:vAlign w:val="center"/>
          </w:tcPr>
          <w:p w14:paraId="6EBD23C4"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w:t>
            </w:r>
            <w:r w:rsidR="00651CD4">
              <w:rPr>
                <w:rFonts w:ascii="Times New Roman" w:eastAsia="Times New Roman" w:hAnsi="Times New Roman" w:cs="Times New Roman"/>
                <w:sz w:val="24"/>
                <w:szCs w:val="24"/>
                <w:vertAlign w:val="superscript"/>
                <w:lang w:eastAsia="pl-PL"/>
              </w:rPr>
              <w:t xml:space="preserve"> </w:t>
            </w:r>
            <w:r w:rsidRPr="00AC2F95">
              <w:rPr>
                <w:rFonts w:ascii="Times New Roman" w:eastAsia="Times New Roman" w:hAnsi="Times New Roman" w:cs="Times New Roman"/>
                <w:sz w:val="24"/>
                <w:szCs w:val="24"/>
                <w:lang w:eastAsia="pl-PL"/>
              </w:rPr>
              <w:t>Dostawcy platform internetowych, którzy korzystają z systemów rekomendacji, w prostym i przystępnym języku określają w swoich warunkach korzystania z usług główne parametry stosowane w ich systemach rekomendacji, a także wszelkie opcje zmieniania tych parametrów przez odbiorców usługi lub wpływania na nie.</w:t>
            </w:r>
          </w:p>
          <w:p w14:paraId="6911FC6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6" w:name="mip65352835"/>
            <w:bookmarkEnd w:id="166"/>
            <w:r w:rsidRPr="00AC2F95">
              <w:rPr>
                <w:rFonts w:ascii="Times New Roman" w:eastAsia="Times New Roman" w:hAnsi="Times New Roman" w:cs="Times New Roman"/>
                <w:sz w:val="24"/>
                <w:szCs w:val="24"/>
                <w:lang w:eastAsia="pl-PL"/>
              </w:rPr>
              <w:t>2. W głównych parametrach, o których mowa w ust. 1, wyjaśnia się, dlaczego niektóre informacje są sugerowane odbiorcy usługi. Obejmują one co najmniej:</w:t>
            </w:r>
          </w:p>
          <w:p w14:paraId="720CF254"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7" w:name="mip65352837"/>
            <w:bookmarkEnd w:id="167"/>
            <w:r w:rsidRPr="00AC2F95">
              <w:rPr>
                <w:rFonts w:ascii="Times New Roman" w:eastAsia="Times New Roman" w:hAnsi="Times New Roman" w:cs="Times New Roman"/>
                <w:sz w:val="24"/>
                <w:szCs w:val="24"/>
                <w:lang w:eastAsia="pl-PL"/>
              </w:rPr>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kryteria, które są najistotniejsze przy określaniu informacji sugerowanych odbiorcy usługi;</w:t>
            </w:r>
          </w:p>
          <w:p w14:paraId="75B9647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8" w:name="mip65352838"/>
            <w:bookmarkEnd w:id="168"/>
            <w:r w:rsidRPr="00AC2F95">
              <w:rPr>
                <w:rFonts w:ascii="Times New Roman" w:eastAsia="Times New Roman" w:hAnsi="Times New Roman" w:cs="Times New Roman"/>
                <w:sz w:val="24"/>
                <w:szCs w:val="24"/>
                <w:lang w:eastAsia="pl-PL"/>
              </w:rPr>
              <w:lastRenderedPageBreak/>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powody względnego znaczenia tych parametrów.</w:t>
            </w:r>
          </w:p>
          <w:p w14:paraId="6450356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9" w:name="mip65352839"/>
            <w:bookmarkEnd w:id="169"/>
            <w:r w:rsidRPr="00AC2F95">
              <w:rPr>
                <w:rFonts w:ascii="Times New Roman" w:eastAsia="Times New Roman" w:hAnsi="Times New Roman" w:cs="Times New Roman"/>
                <w:sz w:val="24"/>
                <w:szCs w:val="24"/>
                <w:lang w:eastAsia="pl-PL"/>
              </w:rPr>
              <w:t>3. Jeżeli na podstawie ust. 1 dostępnych jest kilka opcji dla systemów rekomendacji, które określają względną kolejność informacji przedstawianych odbiorcom usługi, dostawcy platform internetowych udostępniają również funkcję umożliwiającą odbiorcy usługi wybór i zmianę w dowolnym momencie preferowanej opcji. Ta funkcja musi być bezpośrednio i łatwo dostępna w określonej sekcji interfejsu internetowego platformy internetowej, w której informacje są szeregowane.</w:t>
            </w:r>
          </w:p>
          <w:p w14:paraId="741E446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8321667"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4924D40"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BAA764E"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58950F3"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00B4162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1EF571A"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28</w:t>
            </w:r>
          </w:p>
        </w:tc>
        <w:tc>
          <w:tcPr>
            <w:tcW w:w="1650" w:type="pct"/>
            <w:tcBorders>
              <w:top w:val="outset" w:sz="6" w:space="0" w:color="auto"/>
              <w:left w:val="outset" w:sz="6" w:space="0" w:color="auto"/>
              <w:bottom w:val="outset" w:sz="6" w:space="0" w:color="auto"/>
              <w:right w:val="outset" w:sz="6" w:space="0" w:color="auto"/>
            </w:tcBorders>
            <w:vAlign w:val="center"/>
          </w:tcPr>
          <w:p w14:paraId="15ED4DA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dostępnych dla małoletnich wprowadzają odpowiednie i proporcjonalne środki, aby zapewnić wysoki poziom prywatności, bezpieczeństwa i ochrony małoletnich w ramach świadczonych przez siebie usług.</w:t>
            </w:r>
          </w:p>
          <w:p w14:paraId="4BC7AA0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0" w:name="mip65352842"/>
            <w:bookmarkEnd w:id="170"/>
            <w:r w:rsidRPr="00AC2F95">
              <w:rPr>
                <w:rFonts w:ascii="Times New Roman" w:eastAsia="Times New Roman" w:hAnsi="Times New Roman" w:cs="Times New Roman"/>
                <w:sz w:val="24"/>
                <w:szCs w:val="24"/>
                <w:lang w:eastAsia="pl-PL"/>
              </w:rPr>
              <w:t>2. Dostawcy platform internetowych nie mogą prezentować na swoim interfejsie reklam opartych na profilowaniu zgodnie z definicją w art. 4 pkt 4 rozporządzenia (UE) 2016/679 z wykorzystaniem danych osobowych odbiorcy usługi, jeżeli wiedzą z wystarczającą pewnością, że odbiorca usługi jest małoletni.</w:t>
            </w:r>
          </w:p>
          <w:p w14:paraId="45D36DA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1" w:name="mip65352843"/>
            <w:bookmarkEnd w:id="171"/>
            <w:r w:rsidRPr="00AC2F95">
              <w:rPr>
                <w:rFonts w:ascii="Times New Roman" w:eastAsia="Times New Roman" w:hAnsi="Times New Roman" w:cs="Times New Roman"/>
                <w:sz w:val="24"/>
                <w:szCs w:val="24"/>
                <w:lang w:eastAsia="pl-PL"/>
              </w:rPr>
              <w:t>3. Wypełnianie obowiązków określonych w niniejszym artykule nie zobowiązuje dostawców platform internetowych do przetwarzania dodatkowych danych osobowych w celu oceny, czy odbiorca usługi jest małoletni.</w:t>
            </w:r>
          </w:p>
          <w:p w14:paraId="5B2314C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2" w:name="mip65352844"/>
            <w:bookmarkEnd w:id="172"/>
            <w:r w:rsidRPr="00AC2F95">
              <w:rPr>
                <w:rFonts w:ascii="Times New Roman" w:eastAsia="Times New Roman" w:hAnsi="Times New Roman" w:cs="Times New Roman"/>
                <w:sz w:val="24"/>
                <w:szCs w:val="24"/>
                <w:lang w:eastAsia="pl-PL"/>
              </w:rPr>
              <w:t>4. Po konsultacji z Radą Usług Cyfrowych Komisja może wydać wytyczne w celu wsparcia dostawców platform internetowych w stosowaniu ust. 1.</w:t>
            </w:r>
          </w:p>
          <w:p w14:paraId="6BE035E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381FB67"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C964F58"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D6ED443"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FD1DA65"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2BBC92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7C3B31D"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29</w:t>
            </w:r>
          </w:p>
        </w:tc>
        <w:tc>
          <w:tcPr>
            <w:tcW w:w="1650" w:type="pct"/>
            <w:tcBorders>
              <w:top w:val="outset" w:sz="6" w:space="0" w:color="auto"/>
              <w:left w:val="outset" w:sz="6" w:space="0" w:color="auto"/>
              <w:bottom w:val="outset" w:sz="6" w:space="0" w:color="auto"/>
              <w:right w:val="outset" w:sz="6" w:space="0" w:color="auto"/>
            </w:tcBorders>
            <w:vAlign w:val="center"/>
          </w:tcPr>
          <w:p w14:paraId="49BB0F3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Niniejsza sekcja nie ma zastosowania do dostawców platform internetowych umożliwiających konsumentom zawieranie z przedsiębiorcami umów zawieranych na odległość, którzy kwalifikują się jako mikroprzedsiębiorstwa lub małe przedsiębiorstwa zgodnie z definicją w zaleceniu 2003/361/WE.</w:t>
            </w:r>
          </w:p>
          <w:p w14:paraId="28429DD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Niniejsza sekcja nie ma zastosowania do dostawców platform internetowych umożliwiających konsumentom zawieranie z przedsiębiorcami umów zawieranych na odległość, którzy wcześniej kwalifikowali się do statusu mikroprzedsiębiorstwa lub małego przedsiębiorstwa zgodnie z definicją w zaleceniu 2003/361/WE, przez okres dwunastu miesięcy od utraty tego statusu zgodnie z art. 4 ust. 2 tego zalecenia, chyba że są oni bardzo dużymi platformami internetowymi zgodnie z art. 33.</w:t>
            </w:r>
          </w:p>
          <w:p w14:paraId="1EAED4F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3" w:name="mip65352848"/>
            <w:bookmarkEnd w:id="173"/>
            <w:r w:rsidRPr="00AC2F95">
              <w:rPr>
                <w:rFonts w:ascii="Times New Roman" w:eastAsia="Times New Roman" w:hAnsi="Times New Roman" w:cs="Times New Roman"/>
                <w:sz w:val="24"/>
                <w:szCs w:val="24"/>
                <w:lang w:eastAsia="pl-PL"/>
              </w:rPr>
              <w:t>2. Na zasadzie odstępstwa od ust. 1 niniejszego artykułu niniejsza sekcja ma zastosowanie do dostawców platform internetowych umożliwiających konsumentom zawieranie z przedsiębiorcami umów zawieranych na odległość, którzy zostali wskazani jako bardzo duże platformy internetowe zgodnie z art. 33, bez względu na to, czy kwalifikują się oni jako mikroprzedsiębiorstwa czy małe przedsiębiorstwa.</w:t>
            </w:r>
          </w:p>
          <w:p w14:paraId="342DE67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FEF6D66"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F44B9CB"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A98957D"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AAB8FE3"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69AEC72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9201D1B"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30 </w:t>
            </w:r>
          </w:p>
        </w:tc>
        <w:tc>
          <w:tcPr>
            <w:tcW w:w="1650" w:type="pct"/>
            <w:tcBorders>
              <w:top w:val="outset" w:sz="6" w:space="0" w:color="auto"/>
              <w:left w:val="outset" w:sz="6" w:space="0" w:color="auto"/>
              <w:bottom w:val="outset" w:sz="6" w:space="0" w:color="auto"/>
              <w:right w:val="outset" w:sz="6" w:space="0" w:color="auto"/>
            </w:tcBorders>
            <w:vAlign w:val="center"/>
          </w:tcPr>
          <w:p w14:paraId="2009630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4" w:name="mip65352850"/>
            <w:bookmarkEnd w:id="174"/>
            <w:r w:rsidRPr="00AC2F95">
              <w:rPr>
                <w:rFonts w:ascii="Times New Roman" w:eastAsia="Times New Roman" w:hAnsi="Times New Roman" w:cs="Times New Roman"/>
                <w:sz w:val="24"/>
                <w:szCs w:val="24"/>
                <w:lang w:eastAsia="pl-PL"/>
              </w:rPr>
              <w:t xml:space="preserve">1. Dostawcy platform internetowych umożliwiających konsumentom zawieranie z przedsiębiorcami umów zawieranych na odległość zapewniają, aby przedsiębiorcy mogli korzystać z tych platformach internetowych jedynie w celu propagowania </w:t>
            </w:r>
            <w:r w:rsidRPr="00AC2F95">
              <w:rPr>
                <w:rFonts w:ascii="Times New Roman" w:eastAsia="Times New Roman" w:hAnsi="Times New Roman" w:cs="Times New Roman"/>
                <w:sz w:val="24"/>
                <w:szCs w:val="24"/>
                <w:lang w:eastAsia="pl-PL"/>
              </w:rPr>
              <w:lastRenderedPageBreak/>
              <w:t>wiadomości o produktach lub usługach lub oferowania usług lub produktów konsumentom znajdującym się w Unii, jeżeli przed takim skorzystaniem z ich usług do tych celów uzyskali – o ile dotyczy to danego przedsiębiorcy – następujące informacje:</w:t>
            </w:r>
          </w:p>
          <w:p w14:paraId="23291C0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5" w:name="mip65352852"/>
            <w:bookmarkEnd w:id="175"/>
            <w:r w:rsidRPr="00AC2F95">
              <w:rPr>
                <w:rFonts w:ascii="Times New Roman" w:eastAsia="Times New Roman" w:hAnsi="Times New Roman" w:cs="Times New Roman"/>
                <w:sz w:val="24"/>
                <w:szCs w:val="24"/>
                <w:lang w:eastAsia="pl-PL"/>
              </w:rPr>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 imię i nazwisko lub nazwę, adres, numer telefonu i adres poczty elektronicznej przedsiębiorcy;</w:t>
            </w:r>
          </w:p>
          <w:p w14:paraId="7B24DE2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6" w:name="mip65352853"/>
            <w:bookmarkEnd w:id="176"/>
            <w:r w:rsidRPr="00AC2F95">
              <w:rPr>
                <w:rFonts w:ascii="Times New Roman" w:eastAsia="Times New Roman" w:hAnsi="Times New Roman" w:cs="Times New Roman"/>
                <w:sz w:val="24"/>
                <w:szCs w:val="24"/>
                <w:lang w:eastAsia="pl-PL"/>
              </w:rPr>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kopię dokumentu tożsamości przedsiębiorcy lub jakąkolwiek inną identyfikację elektroniczną zgodnie z definicją w art. 3 rozporządzenia Parlamentu Europe</w:t>
            </w:r>
            <w:r w:rsidR="00651CD4">
              <w:rPr>
                <w:rFonts w:ascii="Times New Roman" w:eastAsia="Times New Roman" w:hAnsi="Times New Roman" w:cs="Times New Roman"/>
                <w:sz w:val="24"/>
                <w:szCs w:val="24"/>
                <w:lang w:eastAsia="pl-PL"/>
              </w:rPr>
              <w:t>jskiego i Rady (UE) nr 910/2014</w:t>
            </w:r>
            <w:r w:rsidRPr="00AC2F95">
              <w:rPr>
                <w:rFonts w:ascii="Times New Roman" w:eastAsia="Times New Roman" w:hAnsi="Times New Roman" w:cs="Times New Roman"/>
                <w:sz w:val="24"/>
                <w:szCs w:val="24"/>
                <w:lang w:eastAsia="pl-PL"/>
              </w:rPr>
              <w:t>;</w:t>
            </w:r>
          </w:p>
          <w:p w14:paraId="506B856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7" w:name="mip65352854"/>
            <w:bookmarkEnd w:id="177"/>
            <w:r w:rsidRPr="00AC2F95">
              <w:rPr>
                <w:rFonts w:ascii="Times New Roman" w:eastAsia="Times New Roman" w:hAnsi="Times New Roman" w:cs="Times New Roman"/>
                <w:sz w:val="24"/>
                <w:szCs w:val="24"/>
                <w:lang w:eastAsia="pl-PL"/>
              </w:rPr>
              <w:t>c)</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dane rachunku płatniczego przedsiębiorcy;</w:t>
            </w:r>
          </w:p>
          <w:p w14:paraId="47EA081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8" w:name="mip65352855"/>
            <w:bookmarkEnd w:id="178"/>
            <w:r w:rsidRPr="00AC2F95">
              <w:rPr>
                <w:rFonts w:ascii="Times New Roman" w:eastAsia="Times New Roman" w:hAnsi="Times New Roman" w:cs="Times New Roman"/>
                <w:sz w:val="24"/>
                <w:szCs w:val="24"/>
                <w:lang w:eastAsia="pl-PL"/>
              </w:rPr>
              <w:t>d)</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 przypadku gdy przedsiębiorca jest wpisany do rejestru handlowego lub podobnego rejestru publicznego – rejestr handlowy, do którego przedsiębiorca jest wpisany, oraz jego numer rejestracyjny lub równoważne środki pozwalające na ustalenie tożsamości znajdujące się w rejestrze;</w:t>
            </w:r>
          </w:p>
          <w:p w14:paraId="7845AA0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9" w:name="mip65352856"/>
            <w:bookmarkEnd w:id="179"/>
            <w:r w:rsidRPr="00AC2F95">
              <w:rPr>
                <w:rFonts w:ascii="Times New Roman" w:eastAsia="Times New Roman" w:hAnsi="Times New Roman" w:cs="Times New Roman"/>
                <w:sz w:val="24"/>
                <w:szCs w:val="24"/>
                <w:lang w:eastAsia="pl-PL"/>
              </w:rPr>
              <w:t>e)</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własne poświadczenie przedsiębiorcy, w którym zobowiązuje się do oferowania wyłącznie produktów lub usług zgodnych z mającymi zastosowanie przepisami prawa Unii.</w:t>
            </w:r>
          </w:p>
          <w:p w14:paraId="2399C86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0" w:name="mip65352857"/>
            <w:bookmarkEnd w:id="180"/>
            <w:r w:rsidRPr="00AC2F95">
              <w:rPr>
                <w:rFonts w:ascii="Times New Roman" w:eastAsia="Times New Roman" w:hAnsi="Times New Roman" w:cs="Times New Roman"/>
                <w:sz w:val="24"/>
                <w:szCs w:val="24"/>
                <w:lang w:eastAsia="pl-PL"/>
              </w:rPr>
              <w:t xml:space="preserve">2. Dostawca platformy internetowej umożliwiającej konsumentom zawieranie z przedsiębiorcami umów zawieranych na odległość, po otrzymaniu informacji, o których mowa w ust. 1, i przed umożliwieniem zainteresowanemu przedsiębiorcy korzystania z jego usług, dokłada wszelkich starań w celu oceny, czy informacje, o których mowa w ust. 1 lit. a)-e), są wiarygodne i pełne, korzystając z wszelkich ogólnodostępnych oficjalnych internetowych baz danych lub interfejsów internetowych udostępnianych </w:t>
            </w:r>
            <w:r w:rsidRPr="00AC2F95">
              <w:rPr>
                <w:rFonts w:ascii="Times New Roman" w:eastAsia="Times New Roman" w:hAnsi="Times New Roman" w:cs="Times New Roman"/>
                <w:sz w:val="24"/>
                <w:szCs w:val="24"/>
                <w:lang w:eastAsia="pl-PL"/>
              </w:rPr>
              <w:lastRenderedPageBreak/>
              <w:t>przez państwo członkowskie lub Unię lub zwracając się do przedsiębiorcy o przekazanie dokumentów potwierdzających pochodzących z wiarygodnych źródeł. Do celów niniejszego rozporządzenia przedsiębiorcy ponoszą odpowiedzialność za prawdziwość dostarczonych informacji.</w:t>
            </w:r>
          </w:p>
          <w:p w14:paraId="5DAA183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W odniesieniu do przedsiębiorców, którzy korzystają już z usług dostawców platform internetowych umożliwiających konsumentom zawieranie z przedsiębiorcami umów zawieranych na odległość do celów, o których mowa w ust. 1, w dniu 17 lutego 2024 r. dostawcy dokładają wszelkich starań, aby uzyskać wymienione informacje od zainteresowanych przedsiębiorców w terminie 12 miesięcy. Jeżeli zainteresowani przedsiębiorcy nie dostarczą informacji w tym terminie, dostawcy zawieszają świadczenie usług na ich rzecz do czasu dostarczenia przez przedsiębiorców wszystkich informacji.</w:t>
            </w:r>
          </w:p>
          <w:p w14:paraId="616FFF6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1" w:name="mip65352858"/>
            <w:bookmarkEnd w:id="181"/>
            <w:r w:rsidRPr="00AC2F95">
              <w:rPr>
                <w:rFonts w:ascii="Times New Roman" w:eastAsia="Times New Roman" w:hAnsi="Times New Roman" w:cs="Times New Roman"/>
                <w:sz w:val="24"/>
                <w:szCs w:val="24"/>
                <w:lang w:eastAsia="pl-PL"/>
              </w:rPr>
              <w:t>3. Jeżeli dostawca platformy internetowej umożliwiającej konsumentom zawieranie z przedsiębiorcami umów zawieranych na odległość uzyskał wystarczające wskazówki lub ma powody, by sądzić, że którakolwiek z informacji, o których mowa w ust. 1, uzyskanych od zainteresowanego przedsiębiorcy jest nieprawdziwa, niekompletna lub nieaktualna, dostawca taki żąda, aby przedsiębiorca niezwłocznie lub w terminie określonym w prawie Unii lub prawie krajowym usunął takie uchybienia.</w:t>
            </w:r>
          </w:p>
          <w:p w14:paraId="20A5CAD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xml:space="preserve">Jeżeli przedsiębiorca nie poprawi lub nie uzupełni takich informacji, dostawca platformy internetowej umożliwiającej konsumentom zawieranie z przedsiębiorcami umów zawieranych na odległość </w:t>
            </w:r>
            <w:r w:rsidRPr="00AC2F95">
              <w:rPr>
                <w:rFonts w:ascii="Times New Roman" w:eastAsia="Times New Roman" w:hAnsi="Times New Roman" w:cs="Times New Roman"/>
                <w:sz w:val="24"/>
                <w:szCs w:val="24"/>
                <w:lang w:eastAsia="pl-PL"/>
              </w:rPr>
              <w:lastRenderedPageBreak/>
              <w:t>szybko zawiesza świadczenie usług na rzecz tego przedsiębiorcy w zakresie oferowania produktów lub usług konsumentom znajdującym się w Unii do czasu spełnienia żądania w całości.</w:t>
            </w:r>
          </w:p>
          <w:p w14:paraId="13636B5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2" w:name="mip65352859"/>
            <w:bookmarkEnd w:id="182"/>
            <w:r w:rsidRPr="00AC2F95">
              <w:rPr>
                <w:rFonts w:ascii="Times New Roman" w:eastAsia="Times New Roman" w:hAnsi="Times New Roman" w:cs="Times New Roman"/>
                <w:sz w:val="24"/>
                <w:szCs w:val="24"/>
                <w:lang w:eastAsia="pl-PL"/>
              </w:rPr>
              <w:t>4. Bez uszczerbku dla art. 4 rozporządzenia (UE) 2019/1150, jeżeli dostawca platformy internetowej umożliwiającej konsumentom zawieranie z przedsiębiorcami umów zawieranych na odległość odmawia przedsiębiorcy zezwolenia na korzystanie z jego usługi zgodnie z ust. 1 i lub zawiesza jej świadczenie zgodnie z ust. 3 niniejszego artykułu, zainteresowany przedsiębiorca ma prawo do wniesienia skargi zgodnie z art. 20 i 21 niniejszego rozporządzenia.</w:t>
            </w:r>
          </w:p>
          <w:p w14:paraId="68194B7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3" w:name="mip65352860"/>
            <w:bookmarkEnd w:id="183"/>
            <w:r w:rsidRPr="00AC2F95">
              <w:rPr>
                <w:rFonts w:ascii="Times New Roman" w:eastAsia="Times New Roman" w:hAnsi="Times New Roman" w:cs="Times New Roman"/>
                <w:sz w:val="24"/>
                <w:szCs w:val="24"/>
                <w:lang w:eastAsia="pl-PL"/>
              </w:rPr>
              <w:t>5. Dostawcy platform internetowych umożliwiających konsumentom zawieranie z przedsiębiorcami umów zawieranych na odległość przechowują w sposób bezpieczny informacje uzyskane na podstawie ust. 1 i 2 przez okres sześciu miesięcy po zakończeniu stosunku umownego z zainteresowanym przedsiębiorcą. Po upływie tego okresu usuwają oni te informacje.</w:t>
            </w:r>
          </w:p>
          <w:p w14:paraId="2D70AE7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4" w:name="mip65352861"/>
            <w:bookmarkEnd w:id="184"/>
            <w:r w:rsidRPr="00AC2F95">
              <w:rPr>
                <w:rFonts w:ascii="Times New Roman" w:eastAsia="Times New Roman" w:hAnsi="Times New Roman" w:cs="Times New Roman"/>
                <w:sz w:val="24"/>
                <w:szCs w:val="24"/>
                <w:lang w:eastAsia="pl-PL"/>
              </w:rPr>
              <w:t>6. Z zastrzeżeniem ust. 2 niniejszego artykułu, dostawca platformy internetowej umożliwiającej konsumentom zawieranie z przedsiębiorcami umów zawieranych na odległość ujawnia informacje osobom trzecim jedynie wówczas, gdy jest to wymagane zgodnie z mającym zastosowanie prawem, w tym z nakazami, o których mowa w art. 10, a także wszelkimi nakazami wydanymi przez właściwe organy państw członkowskich lub Komisję do celów wykonywania ich zadań wynikających z niniejszego rozporządzenia.</w:t>
            </w:r>
          </w:p>
          <w:p w14:paraId="56E1880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5" w:name="mip65352862"/>
            <w:bookmarkEnd w:id="185"/>
            <w:r w:rsidRPr="00AC2F95">
              <w:rPr>
                <w:rFonts w:ascii="Times New Roman" w:eastAsia="Times New Roman" w:hAnsi="Times New Roman" w:cs="Times New Roman"/>
                <w:sz w:val="24"/>
                <w:szCs w:val="24"/>
                <w:lang w:eastAsia="pl-PL"/>
              </w:rPr>
              <w:t xml:space="preserve">7. Dostawca platformy internetowej umożliwiającej konsumentom zawieranie z przedsiębiorcami umów </w:t>
            </w:r>
            <w:r w:rsidRPr="00AC2F95">
              <w:rPr>
                <w:rFonts w:ascii="Times New Roman" w:eastAsia="Times New Roman" w:hAnsi="Times New Roman" w:cs="Times New Roman"/>
                <w:sz w:val="24"/>
                <w:szCs w:val="24"/>
                <w:lang w:eastAsia="pl-PL"/>
              </w:rPr>
              <w:lastRenderedPageBreak/>
              <w:t>zawieranych na odległość udostępnia odbiorcom usługi informacje, o których mowa w ust. 1 lit. a), d) i e) na swojej platformie internetowej w sposób jasny, łatwo dostępny i zrozumiały. Informacje te muszą być dostępne co najmniej na interfejsie internetowym platformy internetowej, gdzie przedstawione są informacje na temat produktu lub usługi.</w:t>
            </w:r>
          </w:p>
          <w:p w14:paraId="252B95D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41FF5CE" w14:textId="77777777" w:rsidR="00AC2F95" w:rsidRPr="00651CD4" w:rsidRDefault="00E323B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925A91E"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4D5B01A"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4D1A4DF" w14:textId="77777777" w:rsidR="00AC2F95" w:rsidRPr="00651CD4" w:rsidRDefault="00E323B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 xml:space="preserve">Przepis o charakterze ogólnym stosowany wprost </w:t>
            </w:r>
            <w:r w:rsidRPr="00651CD4">
              <w:rPr>
                <w:rFonts w:ascii="Times New Roman" w:eastAsia="Times New Roman" w:hAnsi="Times New Roman" w:cs="Times New Roman"/>
                <w:sz w:val="24"/>
                <w:szCs w:val="24"/>
                <w:lang w:eastAsia="pl-PL"/>
              </w:rPr>
              <w:lastRenderedPageBreak/>
              <w:t>nie wymaga wdrożenia</w:t>
            </w:r>
          </w:p>
        </w:tc>
      </w:tr>
      <w:tr w:rsidR="00AC2F95" w:rsidRPr="00E023A9" w14:paraId="206BFE7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11B9363"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lastRenderedPageBreak/>
              <w:t>Art. 31</w:t>
            </w:r>
          </w:p>
        </w:tc>
        <w:tc>
          <w:tcPr>
            <w:tcW w:w="1650" w:type="pct"/>
            <w:tcBorders>
              <w:top w:val="outset" w:sz="6" w:space="0" w:color="auto"/>
              <w:left w:val="outset" w:sz="6" w:space="0" w:color="auto"/>
              <w:bottom w:val="outset" w:sz="6" w:space="0" w:color="auto"/>
              <w:right w:val="outset" w:sz="6" w:space="0" w:color="auto"/>
            </w:tcBorders>
            <w:vAlign w:val="center"/>
          </w:tcPr>
          <w:p w14:paraId="49F223D7"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r w:rsidRPr="00E13A46">
              <w:rPr>
                <w:rFonts w:ascii="Times New Roman" w:eastAsia="Times New Roman" w:hAnsi="Times New Roman" w:cs="Times New Roman"/>
                <w:bCs/>
                <w:sz w:val="24"/>
                <w:szCs w:val="24"/>
                <w:lang w:eastAsia="pl-PL"/>
              </w:rPr>
              <w:t>1. Dostawcy platform internetowych umożliwiających konsumentom zawieranie z przedsiębiorcami umów zawieranych na odległość zapewniają zaprojektowanie i organizację swojego interfejsu internetowego w taki sposób, aby umożliwić przedsiębiorcom wypełnianie obowiązków dotyczących informacji przed zawarciem umowy, zgodności i informacji na temat bezpieczeństwa produktów, wynikających z mającego zastosowanie prawa Unii.</w:t>
            </w:r>
          </w:p>
          <w:p w14:paraId="6955D814"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r w:rsidRPr="00E13A46">
              <w:rPr>
                <w:rFonts w:ascii="Times New Roman" w:eastAsia="Times New Roman" w:hAnsi="Times New Roman" w:cs="Times New Roman"/>
                <w:bCs/>
                <w:sz w:val="24"/>
                <w:szCs w:val="24"/>
                <w:lang w:eastAsia="pl-PL"/>
              </w:rPr>
              <w:t>W szczególności zainteresowany dostawca zapewnia, aby jego interfejs internetowy umożliwiał przedsiębiorcom podanie informacji na temat nazwy, adresu, numeru telefonu i adresu poczty elektronicznej podmiotu gospodarczego, zgodnie z definicją w art. 3 pkt 13 rozporządzenia (UE) 2019/1020 i innych przepisach Unii.</w:t>
            </w:r>
          </w:p>
          <w:p w14:paraId="1D4F6377"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6" w:name="mip65352865"/>
            <w:bookmarkEnd w:id="186"/>
            <w:r w:rsidRPr="00E13A46">
              <w:rPr>
                <w:rFonts w:ascii="Times New Roman" w:eastAsia="Times New Roman" w:hAnsi="Times New Roman" w:cs="Times New Roman"/>
                <w:bCs/>
                <w:sz w:val="24"/>
                <w:szCs w:val="24"/>
                <w:lang w:eastAsia="pl-PL"/>
              </w:rPr>
              <w:t>2. Dostawcy platform internetowych umożliwiających konsumentom zawieranie z przedsiębiorcami umów zawieranych na odległość zapewniają zaprojektowanie i organizację swojego interfejsu internetowego w taki sposób, aby umożliwić przedsiębiorcom dostarczanie co najmniej:</w:t>
            </w:r>
          </w:p>
          <w:p w14:paraId="09A78ACD"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7" w:name="mip65352867"/>
            <w:bookmarkEnd w:id="187"/>
            <w:r w:rsidRPr="00E13A46">
              <w:rPr>
                <w:rFonts w:ascii="Times New Roman" w:eastAsia="Times New Roman" w:hAnsi="Times New Roman" w:cs="Times New Roman"/>
                <w:bCs/>
                <w:sz w:val="24"/>
                <w:szCs w:val="24"/>
                <w:lang w:eastAsia="pl-PL"/>
              </w:rPr>
              <w:lastRenderedPageBreak/>
              <w:t>a)</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informacji niezbędnych do jasnego i jednoznacznego stwierdzenia, które produkty lub usługi są promowane lub oferowane konsumentom znajdującym się w Unii za pośrednictwem usług świadczonych przez dostawców;</w:t>
            </w:r>
          </w:p>
          <w:p w14:paraId="7B848148"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8" w:name="mip65352868"/>
            <w:bookmarkEnd w:id="188"/>
            <w:r w:rsidRPr="00E13A46">
              <w:rPr>
                <w:rFonts w:ascii="Times New Roman" w:eastAsia="Times New Roman" w:hAnsi="Times New Roman" w:cs="Times New Roman"/>
                <w:bCs/>
                <w:sz w:val="24"/>
                <w:szCs w:val="24"/>
                <w:lang w:eastAsia="pl-PL"/>
              </w:rPr>
              <w:t>b)</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wszelkich znaków identyfikujących przedsiębiorcę, takich jak znak towarowy, symbol lub logo; oraz</w:t>
            </w:r>
          </w:p>
          <w:p w14:paraId="2560AACF"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9" w:name="mip65352869"/>
            <w:bookmarkEnd w:id="189"/>
            <w:r w:rsidRPr="00E13A46">
              <w:rPr>
                <w:rFonts w:ascii="Times New Roman" w:eastAsia="Times New Roman" w:hAnsi="Times New Roman" w:cs="Times New Roman"/>
                <w:bCs/>
                <w:sz w:val="24"/>
                <w:szCs w:val="24"/>
                <w:lang w:eastAsia="pl-PL"/>
              </w:rPr>
              <w:t>c)</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w stosownych przypadkach, informacji dotyczących etykietowania i oznakowania zgodnie z obowiązującymi przepisami prawa Unii dotyczącymi bezpieczeństwa produktów i zgodności produktów.</w:t>
            </w:r>
          </w:p>
          <w:p w14:paraId="08858039"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0" w:name="mip65352870"/>
            <w:bookmarkEnd w:id="190"/>
            <w:r w:rsidRPr="00E13A46">
              <w:rPr>
                <w:rFonts w:ascii="Times New Roman" w:eastAsia="Times New Roman" w:hAnsi="Times New Roman" w:cs="Times New Roman"/>
                <w:bCs/>
                <w:sz w:val="24"/>
                <w:szCs w:val="24"/>
                <w:lang w:eastAsia="pl-PL"/>
              </w:rPr>
              <w:t>3. Dostawcy platform internetowych umożliwiających konsumentom zawieranie z przedsiębiorcami umów zawieranych na odległość dokładają wszelkich starań, aby ocenić, czy tacy przedsiębiorcy dostarczyli informacje, o których mowa w ust. 1 i 2, przed umożliwieniem im oferowania produktów lub usług na tych platformach. Po umożliwieniu przedsiębiorcy oferowania produktów lub usług na swojej platformie internetowej umożliwiającej konsumentom zwieranie z przedsiębiorcami umów zawieranych na odległość, dostawca dokłada rozsądnych starań, aby losowo sprawdzić, w jakichkolwiek oficjalnych, ogólnodostępnych internetowych bazach danych lub interfejsach internetowych nadających się do odczytu maszynowego, czy oferowane produkty lub usługi zostały zidentyfikowane jako nielegalne.</w:t>
            </w:r>
          </w:p>
          <w:p w14:paraId="0494C6F4"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AA1339D"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545F7FB"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847523F"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32AEA52"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34BA49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A0D06CC"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t>Art. 32</w:t>
            </w:r>
          </w:p>
        </w:tc>
        <w:tc>
          <w:tcPr>
            <w:tcW w:w="1650" w:type="pct"/>
            <w:tcBorders>
              <w:top w:val="outset" w:sz="6" w:space="0" w:color="auto"/>
              <w:left w:val="outset" w:sz="6" w:space="0" w:color="auto"/>
              <w:bottom w:val="outset" w:sz="6" w:space="0" w:color="auto"/>
              <w:right w:val="outset" w:sz="6" w:space="0" w:color="auto"/>
            </w:tcBorders>
            <w:vAlign w:val="center"/>
          </w:tcPr>
          <w:p w14:paraId="10CAB779"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r w:rsidRPr="00E13A46">
              <w:rPr>
                <w:rFonts w:ascii="Times New Roman" w:eastAsia="Times New Roman" w:hAnsi="Times New Roman" w:cs="Times New Roman"/>
                <w:bCs/>
                <w:sz w:val="24"/>
                <w:szCs w:val="24"/>
                <w:lang w:eastAsia="pl-PL"/>
              </w:rPr>
              <w:t xml:space="preserve">1. Jeżeli dostawca platformy internetowej umożliwiającej konsumentom zawieranie z przedsiębiorcami umów zawieranych na odległość poweźmie wiadomość, niezależnie od wykorzystanych </w:t>
            </w:r>
            <w:r w:rsidRPr="00E13A46">
              <w:rPr>
                <w:rFonts w:ascii="Times New Roman" w:eastAsia="Times New Roman" w:hAnsi="Times New Roman" w:cs="Times New Roman"/>
                <w:bCs/>
                <w:sz w:val="24"/>
                <w:szCs w:val="24"/>
                <w:lang w:eastAsia="pl-PL"/>
              </w:rPr>
              <w:lastRenderedPageBreak/>
              <w:t>środków, o nielegalnym produkcie lub nielegalnej usłudze oferowanych przez przedsiębiorcę konsumentom znajdującym się w Unii za pośrednictwem jego usług, dostawca taki informuje konsumentów, którzy nabyli nielegalny produkt lub nielegalną usługę za pośrednictwem jego usług, o ile posiada ich dane kontaktowe, o:</w:t>
            </w:r>
          </w:p>
          <w:p w14:paraId="4BED5DFF"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1" w:name="mip65352874"/>
            <w:bookmarkEnd w:id="191"/>
            <w:r w:rsidRPr="00E13A46">
              <w:rPr>
                <w:rFonts w:ascii="Times New Roman" w:eastAsia="Times New Roman" w:hAnsi="Times New Roman" w:cs="Times New Roman"/>
                <w:bCs/>
                <w:sz w:val="24"/>
                <w:szCs w:val="24"/>
                <w:lang w:eastAsia="pl-PL"/>
              </w:rPr>
              <w:t>a)</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tym, że produkt lub usługa są nielegalne;</w:t>
            </w:r>
          </w:p>
          <w:p w14:paraId="6C3BCC96"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2" w:name="mip65352875"/>
            <w:bookmarkEnd w:id="192"/>
            <w:r w:rsidRPr="00E13A46">
              <w:rPr>
                <w:rFonts w:ascii="Times New Roman" w:eastAsia="Times New Roman" w:hAnsi="Times New Roman" w:cs="Times New Roman"/>
                <w:bCs/>
                <w:sz w:val="24"/>
                <w:szCs w:val="24"/>
                <w:lang w:eastAsia="pl-PL"/>
              </w:rPr>
              <w:t>b)</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tożsamości przedsiębiorcy; oraz</w:t>
            </w:r>
          </w:p>
          <w:p w14:paraId="4D24853C"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3" w:name="mip65352876"/>
            <w:bookmarkEnd w:id="193"/>
            <w:r w:rsidRPr="00E13A46">
              <w:rPr>
                <w:rFonts w:ascii="Times New Roman" w:eastAsia="Times New Roman" w:hAnsi="Times New Roman" w:cs="Times New Roman"/>
                <w:bCs/>
                <w:sz w:val="24"/>
                <w:szCs w:val="24"/>
                <w:lang w:eastAsia="pl-PL"/>
              </w:rPr>
              <w:t>c)</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wszelkich odpowiednich środkach odwoławczych.</w:t>
            </w:r>
          </w:p>
          <w:p w14:paraId="0D183A9F"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4" w:name="mip65352877"/>
            <w:bookmarkEnd w:id="194"/>
            <w:r w:rsidRPr="00E13A46">
              <w:rPr>
                <w:rFonts w:ascii="Times New Roman" w:eastAsia="Times New Roman" w:hAnsi="Times New Roman" w:cs="Times New Roman"/>
                <w:bCs/>
                <w:sz w:val="24"/>
                <w:szCs w:val="24"/>
                <w:lang w:eastAsia="pl-PL"/>
              </w:rPr>
              <w:t>Obowiązek ustanowiony w akapicie pierwszym jest ograniczony do przypadków nabycia nielegalnych produktów lub usług w ciągu sześciu miesięcy poprzedzających moment, w którym dostawca powziął wiadomość o ich nielegalnym charakterze.</w:t>
            </w:r>
          </w:p>
          <w:p w14:paraId="758DA7D8"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5" w:name="mip65352878"/>
            <w:bookmarkEnd w:id="195"/>
            <w:r w:rsidRPr="00E13A46">
              <w:rPr>
                <w:rFonts w:ascii="Times New Roman" w:eastAsia="Times New Roman" w:hAnsi="Times New Roman" w:cs="Times New Roman"/>
                <w:bCs/>
                <w:sz w:val="24"/>
                <w:szCs w:val="24"/>
                <w:lang w:eastAsia="pl-PL"/>
              </w:rPr>
              <w:t>2. Jeżeli w sytuacji, o której mowa w ust. 1, dostawca platform internetowych umożliwiających konsumentom zawieranie z przedsiębiorcami umów zawieranych na odległość nie posiada danych kontaktowych wszystkich zainteresowanych konsumentów, dostawca ten podaje do wiadomości publicznej i w łatwo dostępny sposób na swoim interfejsie internetowym informacje dotyczące nielegalnego produktu lub nielegalnej usługi, tożsamości przedsiębiorcy oraz wszelkich odpowiednich środków odwoławczych.</w:t>
            </w:r>
          </w:p>
          <w:p w14:paraId="566D119D"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1498F86"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E13D933"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A806B59"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BA2E582"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t xml:space="preserve">Przepis o charakterze ogólnym stosowany wprost </w:t>
            </w:r>
            <w:r w:rsidRPr="00E13A46">
              <w:rPr>
                <w:rFonts w:ascii="Times New Roman" w:eastAsia="Times New Roman" w:hAnsi="Times New Roman" w:cs="Times New Roman"/>
                <w:sz w:val="24"/>
                <w:szCs w:val="24"/>
                <w:lang w:eastAsia="pl-PL"/>
              </w:rPr>
              <w:lastRenderedPageBreak/>
              <w:t>nie wymaga wdrożenia</w:t>
            </w:r>
          </w:p>
        </w:tc>
      </w:tr>
      <w:tr w:rsidR="00AC2F95" w:rsidRPr="00B03963" w14:paraId="2462211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7F4F75C"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33</w:t>
            </w:r>
          </w:p>
        </w:tc>
        <w:tc>
          <w:tcPr>
            <w:tcW w:w="1650" w:type="pct"/>
            <w:tcBorders>
              <w:top w:val="outset" w:sz="6" w:space="0" w:color="auto"/>
              <w:left w:val="outset" w:sz="6" w:space="0" w:color="auto"/>
              <w:bottom w:val="outset" w:sz="6" w:space="0" w:color="auto"/>
              <w:right w:val="outset" w:sz="6" w:space="0" w:color="auto"/>
            </w:tcBorders>
            <w:vAlign w:val="center"/>
          </w:tcPr>
          <w:p w14:paraId="0BC2767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 xml:space="preserve">1. Niniejsza sekcja ma zastosowanie do platform internetowych i wyszukiwarek internetowych, które mają średnią liczbę miesięcznie aktywnych odbiorców usługi w Unii wynoszącą co najmniej 45 mln i które zostały wskazane jako bardzo duże platformy </w:t>
            </w:r>
            <w:r w:rsidRPr="00AC2F95">
              <w:rPr>
                <w:rFonts w:ascii="Times New Roman" w:eastAsia="Times New Roman" w:hAnsi="Times New Roman" w:cs="Times New Roman"/>
                <w:bCs/>
                <w:sz w:val="24"/>
                <w:szCs w:val="24"/>
                <w:lang w:eastAsia="pl-PL"/>
              </w:rPr>
              <w:lastRenderedPageBreak/>
              <w:t>internetowe lub bardzo duże wyszukiwarki internetowe na podstawie ust. 4.</w:t>
            </w:r>
          </w:p>
          <w:p w14:paraId="3E47786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196" w:name="mip65352882"/>
            <w:bookmarkEnd w:id="196"/>
            <w:r w:rsidRPr="00AC2F95">
              <w:rPr>
                <w:rFonts w:ascii="Times New Roman" w:eastAsia="Times New Roman" w:hAnsi="Times New Roman" w:cs="Times New Roman"/>
                <w:bCs/>
                <w:sz w:val="24"/>
                <w:szCs w:val="24"/>
                <w:lang w:eastAsia="pl-PL"/>
              </w:rPr>
              <w:t>2. Komisja przyjmuje akty delegowane zgodnie z art. 87 w celu dostosowania średniej liczby aktywnych miesięcznie odbiorców usługi w Unii, o której mowa w ust. 1, w przypadku gdy liczba ludności Unii zmaleje lub wzrośnie </w:t>
            </w:r>
            <w:bookmarkStart w:id="197" w:name="highlightHit_5"/>
            <w:bookmarkEnd w:id="197"/>
            <w:r w:rsidRPr="00AC2F95">
              <w:rPr>
                <w:rFonts w:ascii="Times New Roman" w:eastAsia="Times New Roman" w:hAnsi="Times New Roman" w:cs="Times New Roman"/>
                <w:bCs/>
                <w:sz w:val="24"/>
                <w:szCs w:val="24"/>
                <w:lang w:eastAsia="pl-PL"/>
              </w:rPr>
              <w:t>o co najmniej 5 % w porównaniu z liczbą ludności w 2020 r. lub z liczbą ludności po jej dostosowaniu na mocy </w:t>
            </w:r>
            <w:bookmarkStart w:id="198" w:name="highlightHit_6"/>
            <w:bookmarkEnd w:id="198"/>
            <w:r w:rsidRPr="00AC2F95">
              <w:rPr>
                <w:rFonts w:ascii="Times New Roman" w:eastAsia="Times New Roman" w:hAnsi="Times New Roman" w:cs="Times New Roman"/>
                <w:bCs/>
                <w:sz w:val="24"/>
                <w:szCs w:val="24"/>
                <w:lang w:eastAsia="pl-PL"/>
              </w:rPr>
              <w:t>aktu delegowanego w roku, w którym przyjęto najnowszy </w:t>
            </w:r>
            <w:bookmarkStart w:id="199" w:name="highlightHit_7"/>
            <w:bookmarkEnd w:id="199"/>
            <w:r w:rsidRPr="00AC2F95">
              <w:rPr>
                <w:rFonts w:ascii="Times New Roman" w:eastAsia="Times New Roman" w:hAnsi="Times New Roman" w:cs="Times New Roman"/>
                <w:bCs/>
                <w:sz w:val="24"/>
                <w:szCs w:val="24"/>
                <w:lang w:eastAsia="pl-PL"/>
              </w:rPr>
              <w:t>akt delegowany. W takim przypadku Komisja dostosowuje taką średnią liczbę aktywnych miesięcznie odbiorców </w:t>
            </w:r>
            <w:bookmarkStart w:id="200" w:name="highlightHit_8"/>
            <w:bookmarkEnd w:id="200"/>
            <w:r w:rsidRPr="00AC2F95">
              <w:rPr>
                <w:rFonts w:ascii="Times New Roman" w:eastAsia="Times New Roman" w:hAnsi="Times New Roman" w:cs="Times New Roman"/>
                <w:bCs/>
                <w:sz w:val="24"/>
                <w:szCs w:val="24"/>
                <w:lang w:eastAsia="pl-PL"/>
              </w:rPr>
              <w:t>usługi w Unii, aby odpowiadała ona 10 % liczby ludności Unii w roku, w którym Komisja przyjęła </w:t>
            </w:r>
            <w:bookmarkStart w:id="201" w:name="highlightHit_9"/>
            <w:bookmarkEnd w:id="201"/>
            <w:r w:rsidRPr="00AC2F95">
              <w:rPr>
                <w:rFonts w:ascii="Times New Roman" w:eastAsia="Times New Roman" w:hAnsi="Times New Roman" w:cs="Times New Roman"/>
                <w:bCs/>
                <w:sz w:val="24"/>
                <w:szCs w:val="24"/>
                <w:lang w:eastAsia="pl-PL"/>
              </w:rPr>
              <w:t>akt delegowany, w zaokrągleniu w górę lub w dół, tak aby liczba ta była wyrażona w milionach.</w:t>
            </w:r>
          </w:p>
          <w:p w14:paraId="56E260E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2" w:name="mip65352883"/>
            <w:bookmarkEnd w:id="202"/>
            <w:r w:rsidRPr="00AC2F95">
              <w:rPr>
                <w:rFonts w:ascii="Times New Roman" w:eastAsia="Times New Roman" w:hAnsi="Times New Roman" w:cs="Times New Roman"/>
                <w:bCs/>
                <w:sz w:val="24"/>
                <w:szCs w:val="24"/>
                <w:lang w:eastAsia="pl-PL"/>
              </w:rPr>
              <w:t>3. Komisja może przyjmować </w:t>
            </w:r>
            <w:bookmarkStart w:id="203" w:name="highlightHit_10"/>
            <w:bookmarkEnd w:id="203"/>
            <w:r w:rsidRPr="00AC2F95">
              <w:rPr>
                <w:rFonts w:ascii="Times New Roman" w:eastAsia="Times New Roman" w:hAnsi="Times New Roman" w:cs="Times New Roman"/>
                <w:bCs/>
                <w:sz w:val="24"/>
                <w:szCs w:val="24"/>
                <w:lang w:eastAsia="pl-PL"/>
              </w:rPr>
              <w:t>akty delegowane zgodnie z art. 87 po konsultacji z Radą </w:t>
            </w:r>
            <w:bookmarkStart w:id="204" w:name="highlightHit_11"/>
            <w:bookmarkEnd w:id="204"/>
            <w:r w:rsidRPr="00AC2F95">
              <w:rPr>
                <w:rFonts w:ascii="Times New Roman" w:eastAsia="Times New Roman" w:hAnsi="Times New Roman" w:cs="Times New Roman"/>
                <w:bCs/>
                <w:sz w:val="24"/>
                <w:szCs w:val="24"/>
                <w:lang w:eastAsia="pl-PL"/>
              </w:rPr>
              <w:t>Usług </w:t>
            </w:r>
            <w:bookmarkStart w:id="205" w:name="highlightHit_12"/>
            <w:bookmarkEnd w:id="205"/>
            <w:r w:rsidRPr="00AC2F95">
              <w:rPr>
                <w:rFonts w:ascii="Times New Roman" w:eastAsia="Times New Roman" w:hAnsi="Times New Roman" w:cs="Times New Roman"/>
                <w:bCs/>
                <w:sz w:val="24"/>
                <w:szCs w:val="24"/>
                <w:lang w:eastAsia="pl-PL"/>
              </w:rPr>
              <w:t>Cyfrowych, aby uzupełnić przepisy niniejszego </w:t>
            </w:r>
            <w:bookmarkStart w:id="206" w:name="highlightHit_13"/>
            <w:bookmarkEnd w:id="206"/>
            <w:r w:rsidRPr="00AC2F95">
              <w:rPr>
                <w:rFonts w:ascii="Times New Roman" w:eastAsia="Times New Roman" w:hAnsi="Times New Roman" w:cs="Times New Roman"/>
                <w:bCs/>
                <w:sz w:val="24"/>
                <w:szCs w:val="24"/>
                <w:lang w:eastAsia="pl-PL"/>
              </w:rPr>
              <w:t>rozporządzenia poprzez ustanowienie metodyki obliczania średniej liczby aktywnych miesięcznie odbiorców usługi w Unii do celów ust. 1 niniejszego artykułu i art. 24 ust. 2, zapewniając, aby w metodyce tej uwzględniono zmiany rynkowe i technologiczne.</w:t>
            </w:r>
          </w:p>
          <w:p w14:paraId="45AC702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7" w:name="mip65352884"/>
            <w:bookmarkEnd w:id="207"/>
            <w:r w:rsidRPr="00AC2F95">
              <w:rPr>
                <w:rFonts w:ascii="Times New Roman" w:eastAsia="Times New Roman" w:hAnsi="Times New Roman" w:cs="Times New Roman"/>
                <w:bCs/>
                <w:sz w:val="24"/>
                <w:szCs w:val="24"/>
                <w:lang w:eastAsia="pl-PL"/>
              </w:rPr>
              <w:t xml:space="preserve">4. Po konsultacji z państwem członkowskim siedziby lub po uwzględnieniu informacji przekazanych przez koordynatora ds. usług cyfrowych właściwego dla miejsca siedziby na podstawie art. 24 ust. 4 Komisja przyjmuje decyzję wskazującą jako bardzo dużą platformę internetową lub bardzo dużą wyszukiwarkę internetową do celów niniejszego rozporządzenia platformę internetową lub wyszukiwarkę internetową, </w:t>
            </w:r>
            <w:r w:rsidRPr="00AC2F95">
              <w:rPr>
                <w:rFonts w:ascii="Times New Roman" w:eastAsia="Times New Roman" w:hAnsi="Times New Roman" w:cs="Times New Roman"/>
                <w:bCs/>
                <w:sz w:val="24"/>
                <w:szCs w:val="24"/>
                <w:lang w:eastAsia="pl-PL"/>
              </w:rPr>
              <w:lastRenderedPageBreak/>
              <w:t>w przypadku której średnia liczba aktywnych miesięcznie odbiorców usługi jest równa liczbie, o której mowa w ust. 1 niniejszego artykułu, lub wyższa od tej liczby. Komisja podejmuje decyzję na podstawie danych przekazanych przez dostawcę platformy internetowej lub wyszukiwarki internetowej na podstawie art. 24 ust. 2 lub informacji żądanych na podstawie art. 24 ust. 3 lub wszelkich innych informacji dostępnych Komisji.</w:t>
            </w:r>
          </w:p>
          <w:p w14:paraId="035894F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Nieprzestrzeganie przez dostawcę platformy internetowej lub wyszukiwarki internetowej art. 24 ust. 2 lub niezastosowanie się do wniosku koordynatora ds. usług cyfrowych właściwego dla miejsca siedziby lub Komisji na podstawie art. 24 ust. 3 nie uniemożliwia Komisji wskazania tego dostawcy jako dostawcy bardzo dużej platformy internetowej lub bardzo dużej wyszukiwarki internetowej zgodnie z niniejszym ustępem.</w:t>
            </w:r>
          </w:p>
          <w:p w14:paraId="7858868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W przypadku gdy Komisja opiera swoją decyzję na innych informacjach dostępnych Komisji zgodnie z akapitem pierwszym niniejszego ustępu lub na podstawie dodatkowych informacji żądanych na podstawie art. 24 ust. 3, Komisja wyznacza dostawcy platformy internetowej lub wyszukiwarki internetowej termin 10 dni roboczych na przedstawienie stanowiska odnośnie do wstępnych ustaleń Komisji oraz zamiaru wskazania tej platformy internetowej lub wyszukiwarki internetowej jako odpowiednio bardzo dużej platformy internetowej lub bardzo dużej wyszukiwarki internetowej. Komisja należycie uwzględnia stanowisko przedstawione przez danego dostawcę.</w:t>
            </w:r>
          </w:p>
          <w:p w14:paraId="772EA47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lastRenderedPageBreak/>
              <w:t>Nieprzedstawienie przez dostawcę platformy internetowej lub wyszukiwarki internetowej stanowiska na podstawie akapitu trzeciego nie uniemożliwia Komisji wskazania tej platformy internetowej lub wyszukiwarki internetowej jako bardzo dużej platformy internetowej lub bardzo dużej wyszukiwarki internetowej w oparciu o inne informacje dostępne Komisji.</w:t>
            </w:r>
          </w:p>
          <w:p w14:paraId="5369448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8" w:name="mip65352885"/>
            <w:bookmarkEnd w:id="208"/>
            <w:r w:rsidRPr="00AC2F95">
              <w:rPr>
                <w:rFonts w:ascii="Times New Roman" w:eastAsia="Times New Roman" w:hAnsi="Times New Roman" w:cs="Times New Roman"/>
                <w:bCs/>
                <w:sz w:val="24"/>
                <w:szCs w:val="24"/>
                <w:lang w:eastAsia="pl-PL"/>
              </w:rPr>
              <w:t>5. Komisja znosi to wskazanie, jeżeli w nieprzerwanym okresie jednego roku platforma internetowa lub wyszukiwarka internetowa nie ma średniej liczby aktywnych miesięcznie odbiorców usługi równej liczbie, o której mowa w ust. 1, lub wyższej od tej liczby.</w:t>
            </w:r>
          </w:p>
          <w:p w14:paraId="08769EE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9" w:name="mip65352886"/>
            <w:bookmarkEnd w:id="209"/>
            <w:r w:rsidRPr="00AC2F95">
              <w:rPr>
                <w:rFonts w:ascii="Times New Roman" w:eastAsia="Times New Roman" w:hAnsi="Times New Roman" w:cs="Times New Roman"/>
                <w:bCs/>
                <w:sz w:val="24"/>
                <w:szCs w:val="24"/>
                <w:lang w:eastAsia="pl-PL"/>
              </w:rPr>
              <w:t>6. Komisja bez zbędnej zwłoki powiadamia o swoich decyzjach na podstawie ust. 4 i 5 dostawcę platformy internetowej lub wyszukiwarki internetowej, Radę Usług Cyfrowych i koordynatora ds. usług cyfrowych właściwego dla miejsca siedziby.</w:t>
            </w:r>
          </w:p>
          <w:p w14:paraId="49BBA03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Komisja zapewnia, aby wykaz wskazanych bardzo dużych platform internetowych i bardzo dużych wyszukiwarek internetowych był publikowany w </w:t>
            </w:r>
            <w:r w:rsidRPr="00AC2F95">
              <w:rPr>
                <w:rFonts w:ascii="Times New Roman" w:eastAsia="Times New Roman" w:hAnsi="Times New Roman" w:cs="Times New Roman"/>
                <w:bCs/>
                <w:i/>
                <w:iCs/>
                <w:sz w:val="24"/>
                <w:szCs w:val="24"/>
                <w:lang w:eastAsia="pl-PL"/>
              </w:rPr>
              <w:t>Dzienniku Urzędowym Unii Europejskiej</w:t>
            </w:r>
            <w:r w:rsidRPr="00AC2F95">
              <w:rPr>
                <w:rFonts w:ascii="Times New Roman" w:eastAsia="Times New Roman" w:hAnsi="Times New Roman" w:cs="Times New Roman"/>
                <w:bCs/>
                <w:sz w:val="24"/>
                <w:szCs w:val="24"/>
                <w:lang w:eastAsia="pl-PL"/>
              </w:rPr>
              <w:t>, oraz aktualizuje ten wykaz. Obowiązki określone w niniejszej sekcji mają zastosowanie lub przestają mieć zastosowanie do danych bardzo dużych platform internetowych i bardzo dużych wyszukiwarek internetowych w terminie czterech miesięcy od powiadomienia danego dostawcy, o czym mowa w akapicie pierwszym.</w:t>
            </w:r>
          </w:p>
          <w:p w14:paraId="3DFD7D8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0C64677"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18A1E92"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AC38A9F"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AA9EFD2"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 xml:space="preserve">Przepis o charakterze ogólnym stosowany wprost </w:t>
            </w:r>
            <w:r w:rsidRPr="00DA408D">
              <w:rPr>
                <w:rFonts w:ascii="Times New Roman" w:eastAsia="Times New Roman" w:hAnsi="Times New Roman" w:cs="Times New Roman"/>
                <w:sz w:val="24"/>
                <w:szCs w:val="24"/>
                <w:lang w:eastAsia="pl-PL"/>
              </w:rPr>
              <w:lastRenderedPageBreak/>
              <w:t>nie wymaga wdrożenia</w:t>
            </w:r>
          </w:p>
        </w:tc>
      </w:tr>
      <w:tr w:rsidR="00AC2F95" w:rsidRPr="00B03963" w14:paraId="142FBCE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39BFBA4"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34</w:t>
            </w:r>
          </w:p>
        </w:tc>
        <w:tc>
          <w:tcPr>
            <w:tcW w:w="1650" w:type="pct"/>
            <w:tcBorders>
              <w:top w:val="outset" w:sz="6" w:space="0" w:color="auto"/>
              <w:left w:val="outset" w:sz="6" w:space="0" w:color="auto"/>
              <w:bottom w:val="outset" w:sz="6" w:space="0" w:color="auto"/>
              <w:right w:val="outset" w:sz="6" w:space="0" w:color="auto"/>
            </w:tcBorders>
            <w:vAlign w:val="center"/>
          </w:tcPr>
          <w:p w14:paraId="7211BAA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1. Dostawcy bardzo dużych platform internetowych i bardzo dużych wyszukiwarek internetowych z należytą starannością identyfikują, analizują i oceniają ryzyko systemowe w Unii wynikające z projektu lub funkcjonowania swojej usługi i powiązanych z nią systemów, w tym systemów algorytmicznych, lub z korzystania z ich usług.</w:t>
            </w:r>
          </w:p>
          <w:p w14:paraId="2D33D24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Przeprowadzają oni oceny ryzyka do dnia rozpoczęcia stosowania, o której mowa w art. 33 ust. 6 akapit drugi, a następnie co najmniej raz każdego roku, a w każdym razie przed uruchomieniem funkcji, które mogą mieć krytyczny wpływ na ryzyko zidentyfikowane zgodnie z niniejszym artykułem. Taka ocena ryzyka musi uwzględniać specyfikę ich usług oraz być proporcjonalna do ryzyka systemowego, biorąc pod uwagę jego wagę i prawdopodobieństwo, a także obejmować następujące rodzaje ryzyka systemowego:</w:t>
            </w:r>
          </w:p>
          <w:p w14:paraId="381777D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0" w:name="mip65352890"/>
            <w:bookmarkEnd w:id="210"/>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rozpowszechniania nielegalnych treści za pośrednictwem ich usług;</w:t>
            </w:r>
          </w:p>
          <w:p w14:paraId="775E335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1" w:name="mip65352891"/>
            <w:bookmarkEnd w:id="211"/>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wystąpienia faktycznych lub przewidywalnych negatywnych skutków dla wykonywania praw podstawowych, w szczególności prawa podstawowego do godności ludzkiej zapisanego w art. 1 Karty, do poszanowania życia prywatnego i rodzinnego zapisanego w art. 7 Karty, do ochrony danych osobowych zapisanego w art. 8 Karty, do wolności wypowiedzi i informacji, w tym wolności i pluralizmu mediów, zapisanego w art. 11 Karty, do niedyskryminacji zapisanego w art. 21 Karty, do przestrzegania praw dziecka zapisanego w art. 24 Karty i do wysokiej jakości ochrony konsumentów zapisanego w art. 38 Karty;</w:t>
            </w:r>
          </w:p>
          <w:p w14:paraId="73E4C3E8"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2" w:name="mip65352892"/>
            <w:bookmarkEnd w:id="212"/>
            <w:r w:rsidRPr="00AC2F95">
              <w:rPr>
                <w:rFonts w:ascii="Times New Roman" w:eastAsia="Times New Roman" w:hAnsi="Times New Roman" w:cs="Times New Roman"/>
                <w:bCs/>
                <w:sz w:val="24"/>
                <w:szCs w:val="24"/>
                <w:lang w:eastAsia="pl-PL"/>
              </w:rPr>
              <w:lastRenderedPageBreak/>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wystąpienia faktycznych lub przewidywalnych negatywnych skutków dla dyskursu obywatelskiego i procesów wyborczych oraz dla bezpieczeństwa publicznego;</w:t>
            </w:r>
          </w:p>
          <w:p w14:paraId="2A3C8EB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3" w:name="mip65352893"/>
            <w:bookmarkEnd w:id="213"/>
            <w:r w:rsidRPr="00AC2F95">
              <w:rPr>
                <w:rFonts w:ascii="Times New Roman" w:eastAsia="Times New Roman" w:hAnsi="Times New Roman" w:cs="Times New Roman"/>
                <w:bCs/>
                <w:sz w:val="24"/>
                <w:szCs w:val="24"/>
                <w:lang w:eastAsia="pl-PL"/>
              </w:rPr>
              <w:t>d)</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wystąpienia faktycznych lub przewidywalnych negatywnych skutków w odniesieniu do przemocy ze względu na płeć, ochrony zdrowia publicznego i małoletnich, oraz poważnych negatywnych skutków dla fizycznego i psychicznego dobrostanu osoby.</w:t>
            </w:r>
          </w:p>
          <w:p w14:paraId="703D0BC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4" w:name="mip65352894"/>
            <w:bookmarkEnd w:id="214"/>
            <w:r w:rsidRPr="00AC2F95">
              <w:rPr>
                <w:rFonts w:ascii="Times New Roman" w:eastAsia="Times New Roman" w:hAnsi="Times New Roman" w:cs="Times New Roman"/>
                <w:bCs/>
                <w:sz w:val="24"/>
                <w:szCs w:val="24"/>
                <w:lang w:eastAsia="pl-PL"/>
              </w:rPr>
              <w:t>2. Przeprowadzając ocenę ryzyka, dostawcy bardzo dużych platform internetowych i bardzo dużych wyszukiwarek internetowych uwzględniają w szczególności, czy i w jaki sposób następujące czynniki mają wpływ na ryzyko systemowe, o którym mowa w ust. 1:</w:t>
            </w:r>
          </w:p>
          <w:p w14:paraId="70F9BBB0"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5" w:name="mip65352896"/>
            <w:bookmarkEnd w:id="215"/>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projekt ich systemów rekomendacji i wszelkich innych właściwych systemów algorytmicznych;</w:t>
            </w:r>
          </w:p>
          <w:p w14:paraId="37A24C7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6" w:name="mip65352897"/>
            <w:bookmarkEnd w:id="216"/>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ich systemy moderowania treści;</w:t>
            </w:r>
          </w:p>
          <w:p w14:paraId="685B6E7A"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7" w:name="mip65352898"/>
            <w:bookmarkEnd w:id="217"/>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obowiązujące warunki korzystania z usług i ich egzekwowanie;</w:t>
            </w:r>
          </w:p>
          <w:p w14:paraId="16AA3FF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8" w:name="mip65352899"/>
            <w:bookmarkEnd w:id="218"/>
            <w:r w:rsidRPr="00AC2F95">
              <w:rPr>
                <w:rFonts w:ascii="Times New Roman" w:eastAsia="Times New Roman" w:hAnsi="Times New Roman" w:cs="Times New Roman"/>
                <w:bCs/>
                <w:sz w:val="24"/>
                <w:szCs w:val="24"/>
                <w:lang w:eastAsia="pl-PL"/>
              </w:rPr>
              <w:t>d)</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systemy wyboru i prezentowania reklam;</w:t>
            </w:r>
          </w:p>
          <w:p w14:paraId="1C6409E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9" w:name="mip65352900"/>
            <w:bookmarkEnd w:id="219"/>
            <w:r w:rsidRPr="00AC2F95">
              <w:rPr>
                <w:rFonts w:ascii="Times New Roman" w:eastAsia="Times New Roman" w:hAnsi="Times New Roman" w:cs="Times New Roman"/>
                <w:bCs/>
                <w:sz w:val="24"/>
                <w:szCs w:val="24"/>
                <w:lang w:eastAsia="pl-PL"/>
              </w:rPr>
              <w:t>e)</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praktyki dostawcy związane z danymi.</w:t>
            </w:r>
          </w:p>
          <w:p w14:paraId="44DC6E0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0" w:name="mip65352901"/>
            <w:bookmarkEnd w:id="220"/>
            <w:r w:rsidRPr="00AC2F95">
              <w:rPr>
                <w:rFonts w:ascii="Times New Roman" w:eastAsia="Times New Roman" w:hAnsi="Times New Roman" w:cs="Times New Roman"/>
                <w:bCs/>
                <w:sz w:val="24"/>
                <w:szCs w:val="24"/>
                <w:lang w:eastAsia="pl-PL"/>
              </w:rPr>
              <w:t>W ocenach analizuje się również, czy i w jaki sposób na ryzyko, o którym mowa w ust. 1, wpływa celowa manipulacja ich usługą, w tym w wyniku nieautentycznego korzystania z usługi lub zautomatyzowanego wykorzystywania usługi, a także akcentowanie i potencjalnie szybkie i szerokie rozpowszechnianie nielegalnych treści i informacji, które są niezgodne z ich warunkami korzystania z usług.</w:t>
            </w:r>
          </w:p>
          <w:p w14:paraId="5775181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lastRenderedPageBreak/>
              <w:t>W ocenie uwzględnia się szczególne aspekty regionalne lub językowe, w tym specyficzne dla danego państwa członkowskiego.</w:t>
            </w:r>
          </w:p>
          <w:p w14:paraId="4229401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1" w:name="mip65352902"/>
            <w:bookmarkEnd w:id="221"/>
            <w:r w:rsidRPr="00AC2F95">
              <w:rPr>
                <w:rFonts w:ascii="Times New Roman" w:eastAsia="Times New Roman" w:hAnsi="Times New Roman" w:cs="Times New Roman"/>
                <w:bCs/>
                <w:sz w:val="24"/>
                <w:szCs w:val="24"/>
                <w:lang w:eastAsia="pl-PL"/>
              </w:rPr>
              <w:t>3. Dostawcy bardzo dużych platform internetowych i bardzo dużych wyszukiwarek cyfrowych przechowują dokumenty potwierdzające odnoszące się do ocen ryzyka przez co najmniej trzy lata po przeprowadzeniu ocen ryzyka i na wniosek przekazują je Komisji i koordynatorowi ds. usług cyfrowych właściwemu dla miejsca siedziby.</w:t>
            </w:r>
          </w:p>
          <w:p w14:paraId="438D3648"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B684645"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A5C7DF1"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95834DC"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7F09923"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7B03C5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66F37C0"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35</w:t>
            </w:r>
          </w:p>
        </w:tc>
        <w:tc>
          <w:tcPr>
            <w:tcW w:w="1650" w:type="pct"/>
            <w:tcBorders>
              <w:top w:val="outset" w:sz="6" w:space="0" w:color="auto"/>
              <w:left w:val="outset" w:sz="6" w:space="0" w:color="auto"/>
              <w:bottom w:val="outset" w:sz="6" w:space="0" w:color="auto"/>
              <w:right w:val="outset" w:sz="6" w:space="0" w:color="auto"/>
            </w:tcBorders>
            <w:vAlign w:val="center"/>
          </w:tcPr>
          <w:p w14:paraId="73BA72F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1. Dostawcy bardzo dużych platform internetowych i bardzo dużych wyszukiwarek internetowych wprowadzają rozsądne, proporcjonalne i skuteczne środki zmniejszające ryzyko, dopasowane do konkretnego ryzyka systemowego zidentyfikowanego na podstawie art. 34, ze szczególnym uwzględnieniem wpływu takich środków na prawa podstawowe. W stosownych przypadkach takie środki mogą obejmować:</w:t>
            </w:r>
          </w:p>
          <w:p w14:paraId="52D8C8F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2" w:name="mip65352906"/>
            <w:bookmarkEnd w:id="222"/>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dostosowanie projektu, cech lub funkcjonowania ich usług, w tym ich interfejsów internetowych;</w:t>
            </w:r>
          </w:p>
          <w:p w14:paraId="61A19858"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3" w:name="mip65352907"/>
            <w:bookmarkEnd w:id="223"/>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dostosowanie warunków korzystania z usług i ich egzekwowania;</w:t>
            </w:r>
          </w:p>
          <w:p w14:paraId="0F5E5D2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4" w:name="mip65352908"/>
            <w:bookmarkEnd w:id="224"/>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dostosowanie procesów moderowania treści, w tym szybkości i jakości rozpatrywania zgłoszeń związanych z określonymi rodzajami nielegalnych treści oraz, w stosownych przypadkach, szybkiego usuwania zgłaszanych treści lub uniemożliwiania dostępu do nich, w szczególności w odniesieniu do nielegalnego nawoływania do nienawiści lub cyberprzemocy, a także </w:t>
            </w:r>
            <w:r w:rsidRPr="00AC2F95">
              <w:rPr>
                <w:rFonts w:ascii="Times New Roman" w:eastAsia="Times New Roman" w:hAnsi="Times New Roman" w:cs="Times New Roman"/>
                <w:bCs/>
                <w:sz w:val="24"/>
                <w:szCs w:val="24"/>
                <w:lang w:eastAsia="pl-PL"/>
              </w:rPr>
              <w:lastRenderedPageBreak/>
              <w:t>dostosowanie odpowiednich procesów podejmowania decyzji i zasobów przeznaczonych do moderowania treści;</w:t>
            </w:r>
          </w:p>
          <w:p w14:paraId="3228A4A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5" w:name="mip65352909"/>
            <w:bookmarkEnd w:id="225"/>
            <w:r w:rsidRPr="00AC2F95">
              <w:rPr>
                <w:rFonts w:ascii="Times New Roman" w:eastAsia="Times New Roman" w:hAnsi="Times New Roman" w:cs="Times New Roman"/>
                <w:bCs/>
                <w:sz w:val="24"/>
                <w:szCs w:val="24"/>
                <w:lang w:eastAsia="pl-PL"/>
              </w:rPr>
              <w:t>d)</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testowanie i dostosowywanie ich systemów algorytmicznych, w tym systemów rekomendacji;</w:t>
            </w:r>
          </w:p>
          <w:p w14:paraId="5C42057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6" w:name="mip65352910"/>
            <w:bookmarkEnd w:id="226"/>
            <w:r w:rsidRPr="00AC2F95">
              <w:rPr>
                <w:rFonts w:ascii="Times New Roman" w:eastAsia="Times New Roman" w:hAnsi="Times New Roman" w:cs="Times New Roman"/>
                <w:bCs/>
                <w:sz w:val="24"/>
                <w:szCs w:val="24"/>
                <w:lang w:eastAsia="pl-PL"/>
              </w:rPr>
              <w:t>e)</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dostosowanie ich systemów reklam i przyjęcie ukierunkowanych środków mających na celu ograniczenie lub dostosowanie prezentowania reklam w związku ze świadczoną przez nich usługą świadczoną;</w:t>
            </w:r>
          </w:p>
          <w:p w14:paraId="6BD996A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7" w:name="mip65352911"/>
            <w:bookmarkEnd w:id="227"/>
            <w:r w:rsidRPr="00AC2F95">
              <w:rPr>
                <w:rFonts w:ascii="Times New Roman" w:eastAsia="Times New Roman" w:hAnsi="Times New Roman" w:cs="Times New Roman"/>
                <w:bCs/>
                <w:sz w:val="24"/>
                <w:szCs w:val="24"/>
                <w:lang w:eastAsia="pl-PL"/>
              </w:rPr>
              <w:t>f)</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wzmocnienie wewnętrznych procesów, zasobów, testowania, dokumentowania lub nadzoru nad ich działaniami, w szczególności w zakresie wykrywania ryzyka systemowego;</w:t>
            </w:r>
          </w:p>
          <w:p w14:paraId="1575636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8" w:name="mip65352912"/>
            <w:bookmarkEnd w:id="228"/>
            <w:r w:rsidRPr="00AC2F95">
              <w:rPr>
                <w:rFonts w:ascii="Times New Roman" w:eastAsia="Times New Roman" w:hAnsi="Times New Roman" w:cs="Times New Roman"/>
                <w:bCs/>
                <w:sz w:val="24"/>
                <w:szCs w:val="24"/>
                <w:lang w:eastAsia="pl-PL"/>
              </w:rPr>
              <w:t>g) inicjowanie lub dostosowanie współpracy z zaufanymi podmiotami sygnalizującymi zgodnie z art. 22 oraz wykonywanie decyzji organów pozasądowego rozstrzygania sporów na podstawie art. 21;</w:t>
            </w:r>
          </w:p>
          <w:p w14:paraId="53724A7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9" w:name="mip65352913"/>
            <w:bookmarkEnd w:id="229"/>
            <w:r w:rsidRPr="00AC2F95">
              <w:rPr>
                <w:rFonts w:ascii="Times New Roman" w:eastAsia="Times New Roman" w:hAnsi="Times New Roman" w:cs="Times New Roman"/>
                <w:bCs/>
                <w:sz w:val="24"/>
                <w:szCs w:val="24"/>
                <w:lang w:eastAsia="pl-PL"/>
              </w:rPr>
              <w:t>h)</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inicjowanie lub dostosowanie współpracy z innymi dostawcami platform internetowych lub wyszukiwarek internetowych za pomocą kodeksów postępowania i protokołów kryzysowych, o których mowa w, odpowiednio, art. 45 i 48;</w:t>
            </w:r>
          </w:p>
          <w:p w14:paraId="62A09DD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0" w:name="mip65352914"/>
            <w:bookmarkEnd w:id="230"/>
            <w:r w:rsidRPr="00AC2F95">
              <w:rPr>
                <w:rFonts w:ascii="Times New Roman" w:eastAsia="Times New Roman" w:hAnsi="Times New Roman" w:cs="Times New Roman"/>
                <w:bCs/>
                <w:sz w:val="24"/>
                <w:szCs w:val="24"/>
                <w:lang w:eastAsia="pl-PL"/>
              </w:rPr>
              <w:t>i)</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podejmowanie działań uświadamiających i dostosowywanie ich interfejsu internetowego w celu udzielenia odbiorcom usługi większej ilości informacji;</w:t>
            </w:r>
          </w:p>
          <w:p w14:paraId="46D4015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1" w:name="mip65352915"/>
            <w:bookmarkEnd w:id="231"/>
            <w:r w:rsidRPr="00AC2F95">
              <w:rPr>
                <w:rFonts w:ascii="Times New Roman" w:eastAsia="Times New Roman" w:hAnsi="Times New Roman" w:cs="Times New Roman"/>
                <w:bCs/>
                <w:sz w:val="24"/>
                <w:szCs w:val="24"/>
                <w:lang w:eastAsia="pl-PL"/>
              </w:rPr>
              <w:t>j)</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podejmowanie ukierunkowanych działań w celu ochrony praw dziecka, w tym stosowanie narzędzi weryfikacji wieku i kontroli rodzicielskiej, narzędzi mających na celu pomaganie małoletnim sygnalizować </w:t>
            </w:r>
            <w:r w:rsidRPr="00AC2F95">
              <w:rPr>
                <w:rFonts w:ascii="Times New Roman" w:eastAsia="Times New Roman" w:hAnsi="Times New Roman" w:cs="Times New Roman"/>
                <w:bCs/>
                <w:sz w:val="24"/>
                <w:szCs w:val="24"/>
                <w:lang w:eastAsia="pl-PL"/>
              </w:rPr>
              <w:lastRenderedPageBreak/>
              <w:t>niegodziwe traktowanie lub, w stosownych przypadkach, uzyskanie wsparcia;</w:t>
            </w:r>
          </w:p>
          <w:p w14:paraId="4E4373D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2" w:name="mip65352916"/>
            <w:bookmarkEnd w:id="232"/>
            <w:r w:rsidRPr="00AC2F95">
              <w:rPr>
                <w:rFonts w:ascii="Times New Roman" w:eastAsia="Times New Roman" w:hAnsi="Times New Roman" w:cs="Times New Roman"/>
                <w:bCs/>
                <w:sz w:val="24"/>
                <w:szCs w:val="24"/>
                <w:lang w:eastAsia="pl-PL"/>
              </w:rPr>
              <w:t>k)</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zapewnienie, aby informację – bez względu na fakt czy stanowi ona wygenerowany lub zmanipulowany obraz, treść dźwiękową lub treść wideo, które łudząco przypominają istniejące osoby, obiekty, miejsca lub inne podmioty lub zdarzenia, przez co osoba będąca ich odbiorcą niesłusznie uznaje je za autentyczne lub prawdziwe – można było rozróżnić dzięki widocznym oznaczeniom, gdy prezentuje się ją na ich interfejsach internetowych, oraz dodatkowo udostępnienie łatwej w użyciu funkcji umożliwiającej odbiorcom usługi wskazanie takiej informacji.</w:t>
            </w:r>
          </w:p>
          <w:p w14:paraId="0CBEE84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3" w:name="mip65352917"/>
            <w:bookmarkEnd w:id="233"/>
            <w:r w:rsidRPr="00AC2F95">
              <w:rPr>
                <w:rFonts w:ascii="Times New Roman" w:eastAsia="Times New Roman" w:hAnsi="Times New Roman" w:cs="Times New Roman"/>
                <w:bCs/>
                <w:sz w:val="24"/>
                <w:szCs w:val="24"/>
                <w:lang w:eastAsia="pl-PL"/>
              </w:rPr>
              <w:t>2. Rada Usług Cyfrowych, we współpracy z Komisją, raz w roku publikuje kompleksowe sprawozdania. Sprawozdania te zawierają następujące elementy:</w:t>
            </w:r>
          </w:p>
          <w:p w14:paraId="12E1ACF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4" w:name="mip65352919"/>
            <w:bookmarkEnd w:id="234"/>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identyfikację i ocenę najważniejszego i powtarzającego się ryzyka systemowego zgłoszonego przez dostawców bardzo dużych platform internetowych i bardzo dużych wyszukiwarek cyfrowych lub zidentyfikowanego na podstawie innych źródeł informacji, w szczególności tych przekazanych zgodnie z art. 39, 40 i 42;</w:t>
            </w:r>
          </w:p>
          <w:p w14:paraId="76B5F41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5" w:name="mip65352920"/>
            <w:bookmarkEnd w:id="235"/>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najlepsze praktyki dostawców bardzo dużych platform internetowych i bardzo dużych wyszukiwarek internetowych w zakresie zmniejszania zidentyfikowanego ryzyka systemowego.</w:t>
            </w:r>
          </w:p>
          <w:p w14:paraId="3D613D0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6" w:name="mip65352921"/>
            <w:bookmarkEnd w:id="236"/>
            <w:r w:rsidRPr="00AC2F95">
              <w:rPr>
                <w:rFonts w:ascii="Times New Roman" w:eastAsia="Times New Roman" w:hAnsi="Times New Roman" w:cs="Times New Roman"/>
                <w:bCs/>
                <w:sz w:val="24"/>
                <w:szCs w:val="24"/>
                <w:lang w:eastAsia="pl-PL"/>
              </w:rPr>
              <w:t>W sprawozdaniach tych przedstawia się ryzyko systemowe w podziale na państwa członkowskie, w których ono wystąpiło, oraz – w stosownych przypadkach – w odniesieniu do całej Unii.</w:t>
            </w:r>
          </w:p>
          <w:p w14:paraId="566F950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7" w:name="mip65352922"/>
            <w:bookmarkEnd w:id="237"/>
            <w:r w:rsidRPr="00AC2F95">
              <w:rPr>
                <w:rFonts w:ascii="Times New Roman" w:eastAsia="Times New Roman" w:hAnsi="Times New Roman" w:cs="Times New Roman"/>
                <w:bCs/>
                <w:sz w:val="24"/>
                <w:szCs w:val="24"/>
                <w:lang w:eastAsia="pl-PL"/>
              </w:rPr>
              <w:lastRenderedPageBreak/>
              <w:t>3. Komisja, we współpracy z koordynatorami ds. usług cyfrowych, może wydać wytyczne dotyczące stosowania ust. 1 w odniesieniu do konkretnych rodzajów ryzyka, w szczególności w celu przedstawienia najlepszych praktyk i zalecanych możliwych środków, z należytym uwzględnieniem możliwych konsekwencji tych środków dla zapisanych w Karcie praw podstawowych wszystkich zaangażowanych stron. W trakcie prac nad tymi wytycznymi Komisja organizuje konsultacje publiczne.</w:t>
            </w:r>
          </w:p>
          <w:p w14:paraId="11B60D8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032E7C4"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BF20241"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E4D25FE"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0B76BD2"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8DC99E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F08BD43"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36</w:t>
            </w:r>
          </w:p>
        </w:tc>
        <w:tc>
          <w:tcPr>
            <w:tcW w:w="1650" w:type="pct"/>
            <w:tcBorders>
              <w:top w:val="outset" w:sz="6" w:space="0" w:color="auto"/>
              <w:left w:val="outset" w:sz="6" w:space="0" w:color="auto"/>
              <w:bottom w:val="outset" w:sz="6" w:space="0" w:color="auto"/>
              <w:right w:val="outset" w:sz="6" w:space="0" w:color="auto"/>
            </w:tcBorders>
            <w:vAlign w:val="center"/>
          </w:tcPr>
          <w:p w14:paraId="7D51886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1. Jeżeli wystąpi sytuacja kryzysowa, Komisja – działając na zalecenie Rady Usług Cyfrowych – może przyjąć decyzję zobowiązującą co najmniej jednego dostawcę bardzo dużych platform internetowych lub bardzo dużych wyszukiwarek internetowych do podjęcia co najmniej jednego z następujących działań:</w:t>
            </w:r>
          </w:p>
          <w:p w14:paraId="3BE9F7A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8" w:name="mip65352926"/>
            <w:bookmarkEnd w:id="238"/>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ocenienia, czy i w jakim zakresie oraz w jaki sposób funkcjonowanie ich usług i korzystanie z nich znacząco przyczynia się lub może znacząco przyczyniać się do poważnego zagrożenia, o którym mowa w ust. 2;</w:t>
            </w:r>
          </w:p>
          <w:p w14:paraId="19CEE32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9" w:name="mip65352927"/>
            <w:bookmarkEnd w:id="239"/>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określenia i stosowania szczególnych, skutecznych i proporcjonalnych środków, takich jak środki przewidziane w art. 35 ust. 1 lub art. 48 ust. 2, aby zapobiegać poważnemu zagrożeniu określonemu zgodnie z lit. a) niniejszego ustępu, jego wyeliminowania lub ograniczenia;</w:t>
            </w:r>
          </w:p>
          <w:p w14:paraId="30ECA04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0" w:name="mip65352928"/>
            <w:bookmarkEnd w:id="240"/>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złożenia Komisji sprawozdania w określonym terminie lub w regularnych odstępach czasu określonych w decyzji na temat ocen, o których mowa </w:t>
            </w:r>
            <w:r w:rsidRPr="00AC2F95">
              <w:rPr>
                <w:rFonts w:ascii="Times New Roman" w:eastAsia="Times New Roman" w:hAnsi="Times New Roman" w:cs="Times New Roman"/>
                <w:bCs/>
                <w:sz w:val="24"/>
                <w:szCs w:val="24"/>
                <w:lang w:eastAsia="pl-PL"/>
              </w:rPr>
              <w:lastRenderedPageBreak/>
              <w:t>w lit. a), dokładnej treści, wdrożenia oraz jakościowych i ilościowych skutków szczególnych środków podjętych zgodnie z lit. b) oraz wszelkich innych kwestii związanych z tymi ocenami lub środkami, jak określono w decyzji.</w:t>
            </w:r>
          </w:p>
          <w:p w14:paraId="00CD0F6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1" w:name="mip65352929"/>
            <w:bookmarkEnd w:id="241"/>
            <w:r w:rsidRPr="00AC2F95">
              <w:rPr>
                <w:rFonts w:ascii="Times New Roman" w:eastAsia="Times New Roman" w:hAnsi="Times New Roman" w:cs="Times New Roman"/>
                <w:bCs/>
                <w:sz w:val="24"/>
                <w:szCs w:val="24"/>
                <w:lang w:eastAsia="pl-PL"/>
              </w:rPr>
              <w:t>Przy określaniu i stosowaniu środków zgodnie z lit. b) niniejszego ustępu dostawca lub dostawcy usług należycie uwzględniają wagę poważnego zagrożenia, o którym mowa w ust. 2, pilny charakter środków oraz faktyczne lub potencjalne skutki dla praw i prawnie uzasadnionych interesów wszystkich zainteresowanych stron, w tym ewentualne naruszenie przez te środki praw podstawowych zapisanych w Karcie.</w:t>
            </w:r>
          </w:p>
          <w:p w14:paraId="55D556F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2" w:name="mip65352930"/>
            <w:bookmarkEnd w:id="242"/>
            <w:r w:rsidRPr="00AC2F95">
              <w:rPr>
                <w:rFonts w:ascii="Times New Roman" w:eastAsia="Times New Roman" w:hAnsi="Times New Roman" w:cs="Times New Roman"/>
                <w:bCs/>
                <w:sz w:val="24"/>
                <w:szCs w:val="24"/>
                <w:lang w:eastAsia="pl-PL"/>
              </w:rPr>
              <w:t>2. Do celów niniejszego artykułu uznaje się, że kryzys ma miejsce, gdy nadzwyczajne okoliczności prowadzą do poważnego zagrożenia bezpieczeństwa publicznego lub zdrowia publicznego w Unii lub w jej znacznej części.</w:t>
            </w:r>
          </w:p>
          <w:p w14:paraId="7476D69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3" w:name="mip65352931"/>
            <w:bookmarkEnd w:id="243"/>
            <w:r w:rsidRPr="00AC2F95">
              <w:rPr>
                <w:rFonts w:ascii="Times New Roman" w:eastAsia="Times New Roman" w:hAnsi="Times New Roman" w:cs="Times New Roman"/>
                <w:bCs/>
                <w:sz w:val="24"/>
                <w:szCs w:val="24"/>
                <w:lang w:eastAsia="pl-PL"/>
              </w:rPr>
              <w:t>3. Podejmując decyzję, o której mowa w ust. 1, Komisja zapewnia, aby spełnione zostały wszystkie następujące wymogi:</w:t>
            </w:r>
          </w:p>
          <w:p w14:paraId="0E134A6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4" w:name="mip65352933"/>
            <w:bookmarkEnd w:id="244"/>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działania wymagane na mocy decyzji są absolutnie niezbędne, uzasadnione i proporcjonalne, z uwzględnieniem w szczególności wagi poważnego zagrożenia, o którym mowa w ust. 2, pilnego charakteru środków oraz faktycznych lub potencjalnych skutków dla praw i prawnie uzasadnionych interesów wszystkich zainteresowanych stron, w tym ewentualnego naruszenia przez te środki praw podstawowych zapisanych w Karcie;</w:t>
            </w:r>
          </w:p>
          <w:p w14:paraId="151937E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5" w:name="mip65352934"/>
            <w:bookmarkEnd w:id="245"/>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w decyzji określono rozsądny termin, w którym należy podjąć szczególne środki, o których mowa </w:t>
            </w:r>
            <w:r w:rsidRPr="00AC2F95">
              <w:rPr>
                <w:rFonts w:ascii="Times New Roman" w:eastAsia="Times New Roman" w:hAnsi="Times New Roman" w:cs="Times New Roman"/>
                <w:bCs/>
                <w:sz w:val="24"/>
                <w:szCs w:val="24"/>
                <w:lang w:eastAsia="pl-PL"/>
              </w:rPr>
              <w:lastRenderedPageBreak/>
              <w:t>w ust. 1 lit. b), uwzględniając w szczególności pilny charakter tych środków oraz czas potrzebny na ich przygotowanie i wdrożenie;</w:t>
            </w:r>
          </w:p>
          <w:p w14:paraId="0381F8B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6" w:name="mip65352935"/>
            <w:bookmarkEnd w:id="246"/>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działania wymagane na mocy decyzji ograniczają się do okresu nieprzekraczającego trzech miesięcy.</w:t>
            </w:r>
          </w:p>
          <w:p w14:paraId="2C2EC0D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7" w:name="mip65352936"/>
            <w:bookmarkEnd w:id="247"/>
            <w:r w:rsidRPr="00AC2F95">
              <w:rPr>
                <w:rFonts w:ascii="Times New Roman" w:eastAsia="Times New Roman" w:hAnsi="Times New Roman" w:cs="Times New Roman"/>
                <w:bCs/>
                <w:sz w:val="24"/>
                <w:szCs w:val="24"/>
                <w:lang w:eastAsia="pl-PL"/>
              </w:rPr>
              <w:t>4. Po przyjęciu decyzji, o której mowa w ust. 1, Komisja podejmuje bez zbędnej zwłoki następujące kroki:</w:t>
            </w:r>
          </w:p>
          <w:p w14:paraId="18A8114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8" w:name="mip65352938"/>
            <w:bookmarkEnd w:id="248"/>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powiadamia o decyzji dostawcę lub dostawców, do których skierowana jest decyzja;</w:t>
            </w:r>
          </w:p>
          <w:p w14:paraId="02ACAF1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9" w:name="mip65352939"/>
            <w:bookmarkEnd w:id="249"/>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podaje decyzję do wiadomości publicznej; oraz</w:t>
            </w:r>
          </w:p>
          <w:p w14:paraId="35C598F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0" w:name="mip65352940"/>
            <w:bookmarkEnd w:id="250"/>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informuje Radę Usług Cyfrowych o decyzji, zwraca się do niej o przedstawienie stanowiska odnośnie do tej decyzji i na bieżąco informuje ją o wszelkich późniejszych zmianach dotyczących decyzji.</w:t>
            </w:r>
          </w:p>
          <w:p w14:paraId="788AEC0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1" w:name="mip65352941"/>
            <w:bookmarkEnd w:id="251"/>
            <w:r w:rsidRPr="00AC2F95">
              <w:rPr>
                <w:rFonts w:ascii="Times New Roman" w:eastAsia="Times New Roman" w:hAnsi="Times New Roman" w:cs="Times New Roman"/>
                <w:bCs/>
                <w:sz w:val="24"/>
                <w:szCs w:val="24"/>
                <w:lang w:eastAsia="pl-PL"/>
              </w:rPr>
              <w:t>5. Wybór szczególnych środków, które należy podjąć zgodnie z ust. 1 lit. b) i ust. 7 akapit drugi, należy do dostawcy lub dostawców, do których skierowana jest decyzja Komisji.</w:t>
            </w:r>
          </w:p>
          <w:p w14:paraId="048D389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2" w:name="mip65352942"/>
            <w:bookmarkEnd w:id="252"/>
            <w:r w:rsidRPr="00AC2F95">
              <w:rPr>
                <w:rFonts w:ascii="Times New Roman" w:eastAsia="Times New Roman" w:hAnsi="Times New Roman" w:cs="Times New Roman"/>
                <w:bCs/>
                <w:sz w:val="24"/>
                <w:szCs w:val="24"/>
                <w:lang w:eastAsia="pl-PL"/>
              </w:rPr>
              <w:t>6. Komisja może – z własnej inicjatywy lub na wniosek dostawcy – nawiązać dialog z dostawcą, aby ustalić, czy w świetle szczególnych okoliczności, w jakich znajduje się dostawca, zamierzone lub wdrożone środki, o których mowa w ust. 1 lit. b), są skuteczne i proporcjonalne do osiągnięcia zamierzonych celów. W szczególności Komisja zapewnia, aby środki podjęte przez dostawcę usługi na mocy ust. 1 lit. b) spełniały wymogi, o których mowa w ust. 3 lit. a) i c).</w:t>
            </w:r>
          </w:p>
          <w:p w14:paraId="38C091F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3" w:name="mip65352943"/>
            <w:bookmarkEnd w:id="253"/>
            <w:r w:rsidRPr="00AC2F95">
              <w:rPr>
                <w:rFonts w:ascii="Times New Roman" w:eastAsia="Times New Roman" w:hAnsi="Times New Roman" w:cs="Times New Roman"/>
                <w:bCs/>
                <w:sz w:val="24"/>
                <w:szCs w:val="24"/>
                <w:lang w:eastAsia="pl-PL"/>
              </w:rPr>
              <w:t xml:space="preserve">7. Komisja monitoruje stosowanie szczególnych środków podjętych na podstawie decyzji, o której mowa w ust. 1 niniejszego artykułu, na podstawie sprawozdań, o których mowa w lit. c) tego ustępu, oraz wszelkich </w:t>
            </w:r>
            <w:r w:rsidRPr="00AC2F95">
              <w:rPr>
                <w:rFonts w:ascii="Times New Roman" w:eastAsia="Times New Roman" w:hAnsi="Times New Roman" w:cs="Times New Roman"/>
                <w:bCs/>
                <w:sz w:val="24"/>
                <w:szCs w:val="24"/>
                <w:lang w:eastAsia="pl-PL"/>
              </w:rPr>
              <w:lastRenderedPageBreak/>
              <w:t>innych istotnych informacji, w tym informacji, o które może zwrócić się na podstawie art. 40 lub art. 67, z uwzględnieniem rozwoju sytuacji kryzysowej. Co najmniej raz w miesiącu Komisja składa Radzie Usług Cyfrowych regularne sprawozdania z tego monitorowania.</w:t>
            </w:r>
          </w:p>
          <w:p w14:paraId="4EAC381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Jeżeli Komisja uzna, że zamierzone lub wdrożone środki szczególne podjęte zgodnie z ust. 1 lit. b) nie są skuteczne lub proporcjonalne, może, po konsultacji z Radą Usług Cyfrowych, przyjąć decyzję zobowiązującą dostawcę do przeglądu dotyczącego określenia lub stosowania tych szczególnych środków.</w:t>
            </w:r>
          </w:p>
          <w:p w14:paraId="3FF0031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4" w:name="mip65352944"/>
            <w:bookmarkEnd w:id="254"/>
            <w:r w:rsidRPr="00AC2F95">
              <w:rPr>
                <w:rFonts w:ascii="Times New Roman" w:eastAsia="Times New Roman" w:hAnsi="Times New Roman" w:cs="Times New Roman"/>
                <w:bCs/>
                <w:sz w:val="24"/>
                <w:szCs w:val="24"/>
                <w:lang w:eastAsia="pl-PL"/>
              </w:rPr>
              <w:t>8. W stosownych przypadkach w świetle rozwoju sytuacji kryzysowej Komisja, działając na zalecenie Rady Usług Cyfrowych, może zmienić decyzję, o której mowa w ust. 1 lub w ust. 7 akapit drugi, przez:</w:t>
            </w:r>
          </w:p>
          <w:p w14:paraId="75B3B9E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5" w:name="mip65352946"/>
            <w:bookmarkEnd w:id="255"/>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cofnięcie decyzji oraz, w stosownych przypadkach, zobowiązanie bardzo dużej platformy internetowej lub bardzo dużej wyszukiwarki internetowej do zaprzestania stosowania środków określonych i wdrożonych na podstawie ust. 1 lit. b) lub ust. 7 akapit drugi, w szczególności w przypadku gdy powody zastosowania takich środków przestały istnieć;</w:t>
            </w:r>
          </w:p>
          <w:p w14:paraId="0AEF113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6" w:name="mip65352947"/>
            <w:bookmarkEnd w:id="256"/>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przedłużenie okresu, o którym mowa w ust. 3 lit. c), o okres nie dłuższy niż trzy miesiące;</w:t>
            </w:r>
          </w:p>
          <w:p w14:paraId="1073ECB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7" w:name="mip65352948"/>
            <w:bookmarkEnd w:id="257"/>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uwzględnienie doświadczenia zdobytego podczas stosowania środków, w szczególności ewentualnego naruszenia przez te środki praw podstawowych zapisanych w Karcie.</w:t>
            </w:r>
          </w:p>
          <w:p w14:paraId="4A4C960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8" w:name="mip65352949"/>
            <w:bookmarkEnd w:id="258"/>
            <w:r w:rsidRPr="00AC2F95">
              <w:rPr>
                <w:rFonts w:ascii="Times New Roman" w:eastAsia="Times New Roman" w:hAnsi="Times New Roman" w:cs="Times New Roman"/>
                <w:bCs/>
                <w:sz w:val="24"/>
                <w:szCs w:val="24"/>
                <w:lang w:eastAsia="pl-PL"/>
              </w:rPr>
              <w:t>9. Wymogi określone w ust. 1–6 mają zastosowanie do decyzji i jej zmian, o których mowa w niniejszym artykule.</w:t>
            </w:r>
          </w:p>
          <w:p w14:paraId="7725305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9" w:name="mip65352950"/>
            <w:bookmarkEnd w:id="259"/>
            <w:r w:rsidRPr="00AC2F95">
              <w:rPr>
                <w:rFonts w:ascii="Times New Roman" w:eastAsia="Times New Roman" w:hAnsi="Times New Roman" w:cs="Times New Roman"/>
                <w:bCs/>
                <w:sz w:val="24"/>
                <w:szCs w:val="24"/>
                <w:lang w:eastAsia="pl-PL"/>
              </w:rPr>
              <w:lastRenderedPageBreak/>
              <w:t>10. Komisja w jak największym stopniu uwzględnia zalecenia Rady Usług Cyfrowych wydane na podstawie niniejszego artykułu.</w:t>
            </w:r>
          </w:p>
          <w:p w14:paraId="68BC353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0" w:name="mip65352951"/>
            <w:bookmarkEnd w:id="260"/>
            <w:r w:rsidRPr="00AC2F95">
              <w:rPr>
                <w:rFonts w:ascii="Times New Roman" w:eastAsia="Times New Roman" w:hAnsi="Times New Roman" w:cs="Times New Roman"/>
                <w:bCs/>
                <w:sz w:val="24"/>
                <w:szCs w:val="24"/>
                <w:lang w:eastAsia="pl-PL"/>
              </w:rPr>
              <w:t>11. Po przyjęciu decyzji zgodnie z niniejszym artykułem Komisja co roku, a w każdym razie trzy miesiące po zakończeniu sytuacji kryzysowej, składa Parlamentowi Europejskiemu i Radzie sprawozdanie ze stosowania szczególnych środków podjętych na podstawie tych decyzji.</w:t>
            </w:r>
          </w:p>
          <w:p w14:paraId="1753A23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E828971"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DFAB1C"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FB44323"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1807A31"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A09A41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208B5D7"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37</w:t>
            </w:r>
          </w:p>
        </w:tc>
        <w:tc>
          <w:tcPr>
            <w:tcW w:w="1650" w:type="pct"/>
            <w:tcBorders>
              <w:top w:val="outset" w:sz="6" w:space="0" w:color="auto"/>
              <w:left w:val="outset" w:sz="6" w:space="0" w:color="auto"/>
              <w:bottom w:val="outset" w:sz="6" w:space="0" w:color="auto"/>
              <w:right w:val="outset" w:sz="6" w:space="0" w:color="auto"/>
            </w:tcBorders>
            <w:vAlign w:val="center"/>
          </w:tcPr>
          <w:p w14:paraId="3334D62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 Dostawcy bardzo dużych platform internetowych i bardzo dużych wyszukiwarek internetowych na własny koszt co najmniej raz w roku poddają się niezależnym audytom, których celem jest ocena wypełniania:</w:t>
            </w:r>
          </w:p>
          <w:p w14:paraId="0D08FA0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1" w:name="mip65352955"/>
            <w:bookmarkEnd w:id="261"/>
            <w:r w:rsidRPr="00AC2F95">
              <w:rPr>
                <w:rFonts w:ascii="Times New Roman" w:eastAsia="Times New Roman" w:hAnsi="Times New Roman" w:cs="Times New Roman"/>
                <w:bCs/>
                <w:sz w:val="24"/>
                <w:szCs w:val="24"/>
                <w:lang w:eastAsia="pl-PL"/>
              </w:rPr>
              <w:t>a)</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obowiązków określonych w rozdziale III;</w:t>
            </w:r>
          </w:p>
          <w:p w14:paraId="2C6CA02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2" w:name="mip65352956"/>
            <w:bookmarkEnd w:id="262"/>
            <w:r w:rsidRPr="00AC2F95">
              <w:rPr>
                <w:rFonts w:ascii="Times New Roman" w:eastAsia="Times New Roman" w:hAnsi="Times New Roman" w:cs="Times New Roman"/>
                <w:bCs/>
                <w:sz w:val="24"/>
                <w:szCs w:val="24"/>
                <w:lang w:eastAsia="pl-PL"/>
              </w:rPr>
              <w:t>b)</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zobowiązań podjętych na podstawie kodeksów postępowania, o których mowa w art. 45 i 46, oraz protokołów kryzysowych, o których mowa w art. 48.</w:t>
            </w:r>
          </w:p>
          <w:p w14:paraId="5E49E30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3" w:name="mip65352957"/>
            <w:bookmarkEnd w:id="263"/>
            <w:r w:rsidRPr="00AC2F95">
              <w:rPr>
                <w:rFonts w:ascii="Times New Roman" w:eastAsia="Times New Roman" w:hAnsi="Times New Roman" w:cs="Times New Roman"/>
                <w:bCs/>
                <w:sz w:val="24"/>
                <w:szCs w:val="24"/>
                <w:lang w:eastAsia="pl-PL"/>
              </w:rPr>
              <w:t>2. Dostawcy bardzo dużych platform internetowych i bardzo dużych wyszukiwarek internetowych zapewniają organizacjom przeprowadzającym audyty na podstawie niniejszego artykułu współpracę i pomoc niezbędną do umożliwienia im przeprowadzenia tych audytów w sposób skuteczny, wydajny i terminowy, w tym przez udzielenie im dostępu do wszystkich istotnych danych i pomieszczeń oraz udzielenie odpowiedzi na pytania ustne lub pisemne. Powstrzymują się oni od utrudniania, nadmiernego wpływania na prowadzenie audytu lub podważania go.</w:t>
            </w:r>
          </w:p>
          <w:p w14:paraId="5398112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 xml:space="preserve">Takie audyty zapewniają odpowiedni poziom poufności i tajemnicy zawodowej w odniesieniu do informacji </w:t>
            </w:r>
            <w:r w:rsidRPr="00AC2F95">
              <w:rPr>
                <w:rFonts w:ascii="Times New Roman" w:eastAsia="Times New Roman" w:hAnsi="Times New Roman" w:cs="Times New Roman"/>
                <w:bCs/>
                <w:sz w:val="24"/>
                <w:szCs w:val="24"/>
                <w:lang w:eastAsia="pl-PL"/>
              </w:rPr>
              <w:lastRenderedPageBreak/>
              <w:t>uzyskanych od dostawców bardzo dużych platform internetowych i bardzo dużych wyszukiwarek internetowych oraz osób trzecich w kontekście audytów, w tym po zakończeniu audytów. Spełnienie tego wymogu nie może jednak negatywnie wpływać na prowadzenie audytów i inne przepisy niniejszego rozporządzenia, w szczególności przepisy dotyczące przejrzystości, nadzoru i egzekwowania. Jeżeli jest to konieczne do celów sprawozdawczości w zakresie przejrzystości zgodnie z art. 42 ust. 4, do sprawozdań z audytu i sprawozdań z realizacji audytu, o których mowa w ust. 4 i 6 niniejszego artykułu, załącza się wersje niezawierające żadnych informacji, które mogłyby zostać zasadnie uznane za poufne.</w:t>
            </w:r>
          </w:p>
          <w:p w14:paraId="0BD6340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4" w:name="mip65352958"/>
            <w:bookmarkEnd w:id="264"/>
            <w:r w:rsidRPr="00AC2F95">
              <w:rPr>
                <w:rFonts w:ascii="Times New Roman" w:eastAsia="Times New Roman" w:hAnsi="Times New Roman" w:cs="Times New Roman"/>
                <w:bCs/>
                <w:sz w:val="24"/>
                <w:szCs w:val="24"/>
                <w:lang w:eastAsia="pl-PL"/>
              </w:rPr>
              <w:t>3. Audyty przeprowadzane zgodnie z ust. 1 przeprowadzają organizacje, które:</w:t>
            </w:r>
          </w:p>
          <w:p w14:paraId="3396888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5" w:name="mip65352960"/>
            <w:bookmarkEnd w:id="265"/>
            <w:r w:rsidRPr="00AC2F95">
              <w:rPr>
                <w:rFonts w:ascii="Times New Roman" w:eastAsia="Times New Roman" w:hAnsi="Times New Roman" w:cs="Times New Roman"/>
                <w:bCs/>
                <w:sz w:val="24"/>
                <w:szCs w:val="24"/>
                <w:lang w:eastAsia="pl-PL"/>
              </w:rPr>
              <w:t>a)</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działają niezależnie od danego dostawcy bardzo dużych platform internetowych lub bardzo dużych wyszukiwarek internetowych i innych osób prawnych związanych z tym dostawcą i nie pozostają z nimi w konflikcie interesów; w szczególności:</w:t>
            </w:r>
          </w:p>
          <w:p w14:paraId="310034F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(i)</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nie świadczyły usług niezwiązanych z audytem dotyczących spraw będących przedmiotem audytu na rzecz danego dostawcy bardzo dużej platformy internetowej lub bardzo dużej wyszukiwarki internetowej ani osoby prawnej związanej z tym dostawcą w okresie 12 miesięcy przed rozpoczęciem audytu i zobowiązały się nie świadczyć takich usług na jego rzecz w okresie 12 miesięcy po zakończeniu audytu;</w:t>
            </w:r>
          </w:p>
          <w:p w14:paraId="6FFC37E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(ii)</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nie świadczyły usług audytu na podstawie niniejszego artykułu na rzecz danego dostawcy bardzo </w:t>
            </w:r>
            <w:r w:rsidRPr="00AC2F95">
              <w:rPr>
                <w:rFonts w:ascii="Times New Roman" w:eastAsia="Times New Roman" w:hAnsi="Times New Roman" w:cs="Times New Roman"/>
                <w:bCs/>
                <w:sz w:val="24"/>
                <w:szCs w:val="24"/>
                <w:lang w:eastAsia="pl-PL"/>
              </w:rPr>
              <w:lastRenderedPageBreak/>
              <w:t>dużej platformy internetowej lub bardzo dużej wyszukiwarki internetowej ani osoby prawnej powiązanej z tym dostawcą przez okres dłuższy niż 10 kolejnych lat;</w:t>
            </w:r>
          </w:p>
          <w:p w14:paraId="39FA5D4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(iii)</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nie przeprowadzają audytu w zamian za wynagrodzenie uzależnione od wyniku audytu;</w:t>
            </w:r>
          </w:p>
          <w:p w14:paraId="54D9796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6" w:name="mip65352961"/>
            <w:bookmarkEnd w:id="266"/>
            <w:r w:rsidRPr="00AC2F95">
              <w:rPr>
                <w:rFonts w:ascii="Times New Roman" w:eastAsia="Times New Roman" w:hAnsi="Times New Roman" w:cs="Times New Roman"/>
                <w:bCs/>
                <w:sz w:val="24"/>
                <w:szCs w:val="24"/>
                <w:lang w:eastAsia="pl-PL"/>
              </w:rPr>
              <w:t>b)</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dysponują potwierdzoną wiedzą ekspercką w obszarze zarządzania ryzykiem oraz kompetencjami i możliwościami technicznymi;</w:t>
            </w:r>
          </w:p>
          <w:p w14:paraId="36146ED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7" w:name="mip65352962"/>
            <w:bookmarkEnd w:id="267"/>
            <w:r w:rsidRPr="00AC2F95">
              <w:rPr>
                <w:rFonts w:ascii="Times New Roman" w:eastAsia="Times New Roman" w:hAnsi="Times New Roman" w:cs="Times New Roman"/>
                <w:bCs/>
                <w:sz w:val="24"/>
                <w:szCs w:val="24"/>
                <w:lang w:eastAsia="pl-PL"/>
              </w:rPr>
              <w:t>c)</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stosują potwierdzone zasady obiektywizmu i etyki zawodowej, oparte w szczególności na przestrzeganiu kodeksów zawodowych lub odpowiednich norm.</w:t>
            </w:r>
          </w:p>
          <w:p w14:paraId="48ED0DF0"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8" w:name="mip65352963"/>
            <w:bookmarkEnd w:id="268"/>
            <w:r w:rsidRPr="00AC2F95">
              <w:rPr>
                <w:rFonts w:ascii="Times New Roman" w:eastAsia="Times New Roman" w:hAnsi="Times New Roman" w:cs="Times New Roman"/>
                <w:bCs/>
                <w:sz w:val="24"/>
                <w:szCs w:val="24"/>
                <w:lang w:eastAsia="pl-PL"/>
              </w:rPr>
              <w:t>4. Dostawcy bardzo dużych platform internetowych i bardzo dużych wyszukiwarek internetowych zapewniają, aby organizacje, które przeprowadzają audyty, sporządziły w odniesieniu do każdego audytu sprawozdanie z audytu. Sprawozdanie to musi zawierać pisemne uzasadnienie oraz co najmniej następujące informacje:</w:t>
            </w:r>
          </w:p>
          <w:p w14:paraId="493C963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9" w:name="mip65352965"/>
            <w:bookmarkEnd w:id="269"/>
            <w:r w:rsidRPr="00AC2F95">
              <w:rPr>
                <w:rFonts w:ascii="Times New Roman" w:eastAsia="Times New Roman" w:hAnsi="Times New Roman" w:cs="Times New Roman"/>
                <w:bCs/>
                <w:sz w:val="24"/>
                <w:szCs w:val="24"/>
                <w:lang w:eastAsia="pl-PL"/>
              </w:rPr>
              <w:t>a)</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nazwę, adres i punkt kontaktowy dostawcy bardzo dużej platformy internetowej lub bardzo dużej wyszukiwarki internetowej poddanego audytowi oraz okres, którego audyt dotyczy;</w:t>
            </w:r>
          </w:p>
          <w:p w14:paraId="345C8B2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0" w:name="mip65352966"/>
            <w:bookmarkEnd w:id="270"/>
            <w:r w:rsidRPr="00AC2F95">
              <w:rPr>
                <w:rFonts w:ascii="Times New Roman" w:eastAsia="Times New Roman" w:hAnsi="Times New Roman" w:cs="Times New Roman"/>
                <w:bCs/>
                <w:sz w:val="24"/>
                <w:szCs w:val="24"/>
                <w:lang w:eastAsia="pl-PL"/>
              </w:rPr>
              <w:t>b)</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nazwę i adres organizacji przeprowadzającej lub organizacji przeprowadzających audyt;</w:t>
            </w:r>
          </w:p>
          <w:p w14:paraId="5D52838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1" w:name="mip65352967"/>
            <w:bookmarkEnd w:id="271"/>
            <w:r w:rsidRPr="00AC2F95">
              <w:rPr>
                <w:rFonts w:ascii="Times New Roman" w:eastAsia="Times New Roman" w:hAnsi="Times New Roman" w:cs="Times New Roman"/>
                <w:bCs/>
                <w:sz w:val="24"/>
                <w:szCs w:val="24"/>
                <w:lang w:eastAsia="pl-PL"/>
              </w:rPr>
              <w:t>c)</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deklarację interesów;</w:t>
            </w:r>
          </w:p>
          <w:p w14:paraId="418D76CA"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2" w:name="mip65352968"/>
            <w:bookmarkEnd w:id="272"/>
            <w:r w:rsidRPr="00AC2F95">
              <w:rPr>
                <w:rFonts w:ascii="Times New Roman" w:eastAsia="Times New Roman" w:hAnsi="Times New Roman" w:cs="Times New Roman"/>
                <w:bCs/>
                <w:sz w:val="24"/>
                <w:szCs w:val="24"/>
                <w:lang w:eastAsia="pl-PL"/>
              </w:rPr>
              <w:t>d)</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opis określonych elementów będących przedmiotem audytu oraz zastosowanej metodyki;</w:t>
            </w:r>
          </w:p>
          <w:p w14:paraId="6B12F08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3" w:name="mip65352969"/>
            <w:bookmarkEnd w:id="273"/>
            <w:r w:rsidRPr="00AC2F95">
              <w:rPr>
                <w:rFonts w:ascii="Times New Roman" w:eastAsia="Times New Roman" w:hAnsi="Times New Roman" w:cs="Times New Roman"/>
                <w:bCs/>
                <w:sz w:val="24"/>
                <w:szCs w:val="24"/>
                <w:lang w:eastAsia="pl-PL"/>
              </w:rPr>
              <w:t>e)</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opis i streszczenie głównych wniosków z audytu;</w:t>
            </w:r>
          </w:p>
          <w:p w14:paraId="50A37B3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4" w:name="mip65352970"/>
            <w:bookmarkEnd w:id="274"/>
            <w:r w:rsidRPr="00AC2F95">
              <w:rPr>
                <w:rFonts w:ascii="Times New Roman" w:eastAsia="Times New Roman" w:hAnsi="Times New Roman" w:cs="Times New Roman"/>
                <w:bCs/>
                <w:sz w:val="24"/>
                <w:szCs w:val="24"/>
                <w:lang w:eastAsia="pl-PL"/>
              </w:rPr>
              <w:t>f)</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wykaz stron trzecich, z którymi skonsultowano się w toku audytu;</w:t>
            </w:r>
          </w:p>
          <w:p w14:paraId="2ABB8C2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5" w:name="mip65352971"/>
            <w:bookmarkEnd w:id="275"/>
            <w:r w:rsidRPr="00AC2F95">
              <w:rPr>
                <w:rFonts w:ascii="Times New Roman" w:eastAsia="Times New Roman" w:hAnsi="Times New Roman" w:cs="Times New Roman"/>
                <w:bCs/>
                <w:sz w:val="24"/>
                <w:szCs w:val="24"/>
                <w:lang w:eastAsia="pl-PL"/>
              </w:rPr>
              <w:lastRenderedPageBreak/>
              <w:t>g)</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opinię audytową dotyczącą tego, czy dostawca bardzo dużej platformy internetowej lub bardzo dużej wyszukiwarki internetowej poddany audytowi wypełnia obowiązki i zobowiązania, o których mowa w ust. 1, która to opinia może być „pozytywna”, „pozytywna z uwagami” albo „negatywna”;</w:t>
            </w:r>
          </w:p>
          <w:p w14:paraId="77FDA350"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6" w:name="mip65352972"/>
            <w:bookmarkEnd w:id="276"/>
            <w:r w:rsidRPr="00AC2F95">
              <w:rPr>
                <w:rFonts w:ascii="Times New Roman" w:eastAsia="Times New Roman" w:hAnsi="Times New Roman" w:cs="Times New Roman"/>
                <w:bCs/>
                <w:sz w:val="24"/>
                <w:szCs w:val="24"/>
                <w:lang w:eastAsia="pl-PL"/>
              </w:rPr>
              <w:t>h)</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w przypadku wydania opinii audytowej innej niż „pozytywna” – zalecenia operacyjne dotyczące szczególnych środków umożliwiających przestrzeganie przepisów i zalecany termin zapewnienia zgodności.</w:t>
            </w:r>
          </w:p>
          <w:p w14:paraId="586F35C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7" w:name="mip65352973"/>
            <w:bookmarkEnd w:id="277"/>
            <w:r w:rsidRPr="00AC2F95">
              <w:rPr>
                <w:rFonts w:ascii="Times New Roman" w:eastAsia="Times New Roman" w:hAnsi="Times New Roman" w:cs="Times New Roman"/>
                <w:bCs/>
                <w:sz w:val="24"/>
                <w:szCs w:val="24"/>
                <w:lang w:eastAsia="pl-PL"/>
              </w:rPr>
              <w:t>5. Jeżeli organizacja przeprowadzająca audyt nie była w stanie przeprowadzić audytu niektórych określonych elementów lub wyrazić opinii audytowej na podstawie przeprowadzonych przez siebie czynności sprawdzających, w sprawozdaniu z audytu zamieszcza się wyjaśnienie okoliczności oraz powody, dla których elementy te nie mogły zostać poddane audytowi.</w:t>
            </w:r>
          </w:p>
          <w:p w14:paraId="3D6E63D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8" w:name="mip65352974"/>
            <w:bookmarkEnd w:id="278"/>
            <w:r w:rsidRPr="00AC2F95">
              <w:rPr>
                <w:rFonts w:ascii="Times New Roman" w:eastAsia="Times New Roman" w:hAnsi="Times New Roman" w:cs="Times New Roman"/>
                <w:bCs/>
                <w:sz w:val="24"/>
                <w:szCs w:val="24"/>
                <w:lang w:eastAsia="pl-PL"/>
              </w:rPr>
              <w:t>6. Dostawcy bardzo dużych platform internetowych lub bardzo dużych wyszukiwarek internetowych, którzy otrzymują sprawozdanie z audytu inne niż „pozytywne”, należycie uwzględniają skierowane do nich zalecenia operacyjne w celu podjęcia środków niezbędnych do wdrożenia tych zaleceń. Przyjmują oni w terminie jednego miesiąca od otrzymania tych zaleceń sprawozdanie z realizacji audytu, w którym określają te środki. Jeżeli nie wdrożą oni zaleceń operacyjnych, muszą przedstawić w sprawozdaniu z realizacji audytu powody, dla których nie wdrożyli tych zaleceń, oraz określają ewentualne środki alternatywne, które podjęli w celu zaradzenia wszelkim zidentyfikowanym przypadkom nieprzestrzegania przepisów.</w:t>
            </w:r>
          </w:p>
          <w:p w14:paraId="4EF9EFF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9" w:name="mip65352975"/>
            <w:bookmarkEnd w:id="279"/>
            <w:r w:rsidRPr="00AC2F95">
              <w:rPr>
                <w:rFonts w:ascii="Times New Roman" w:eastAsia="Times New Roman" w:hAnsi="Times New Roman" w:cs="Times New Roman"/>
                <w:bCs/>
                <w:sz w:val="24"/>
                <w:szCs w:val="24"/>
                <w:lang w:eastAsia="pl-PL"/>
              </w:rPr>
              <w:lastRenderedPageBreak/>
              <w:t>7. Komisja jest uprawniona do przyjmowania aktów delegowanych zgodnie z art. 87 w celu uzupełnienia niniejszego rozporządzenia przez ustanowienie niezbędnych przepisów dotyczących przeprowadzania audytów zgodnie z niniejszym artykułem, w szczególności w odniesieniu do niezbędnych przepisów dotyczących etapów procedury, metodyk audytowych i wzorów sprawozdań w odniesieniu do audytów przeprowadzanych na podstawie niniejszego artykułu. W tych aktach delegowanych uwzględnia się wszelkie dobrowolne normy dotyczące audytu, o których mowa w art. 44 ust. 1 lit. e).</w:t>
            </w:r>
          </w:p>
          <w:p w14:paraId="65770ED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38279CC"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F875974"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67FA8E1"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A7EB59A"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8197F8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E8192F"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38</w:t>
            </w:r>
          </w:p>
        </w:tc>
        <w:tc>
          <w:tcPr>
            <w:tcW w:w="1650" w:type="pct"/>
            <w:tcBorders>
              <w:top w:val="outset" w:sz="6" w:space="0" w:color="auto"/>
              <w:left w:val="outset" w:sz="6" w:space="0" w:color="auto"/>
              <w:bottom w:val="outset" w:sz="6" w:space="0" w:color="auto"/>
              <w:right w:val="outset" w:sz="6" w:space="0" w:color="auto"/>
            </w:tcBorders>
            <w:vAlign w:val="center"/>
          </w:tcPr>
          <w:p w14:paraId="091B076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Oprócz wymogów określonych w art. 27 dostawcy bardzo dużych platform internetowych i bardzo dużych wyszukiwarek internetowych, którzy korzystają z systemów rekomendacji, zapewniają co najmniej jedną opcję dla każdego ze swoich systemów rekomendacji, która nie jest oparta na profilowaniu zgodnie z definicją w art. 4 pkt 4 rozporządzenia (UE) 2016/679.</w:t>
            </w:r>
          </w:p>
        </w:tc>
        <w:tc>
          <w:tcPr>
            <w:tcW w:w="788" w:type="pct"/>
            <w:tcBorders>
              <w:top w:val="outset" w:sz="6" w:space="0" w:color="auto"/>
              <w:left w:val="outset" w:sz="6" w:space="0" w:color="auto"/>
              <w:bottom w:val="outset" w:sz="6" w:space="0" w:color="auto"/>
              <w:right w:val="outset" w:sz="6" w:space="0" w:color="auto"/>
            </w:tcBorders>
            <w:vAlign w:val="center"/>
          </w:tcPr>
          <w:p w14:paraId="6CF7C066"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79CFBEB"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C7951BE"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541CB1A"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5317CC0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53F65FE"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39</w:t>
            </w:r>
          </w:p>
        </w:tc>
        <w:tc>
          <w:tcPr>
            <w:tcW w:w="1650" w:type="pct"/>
            <w:tcBorders>
              <w:top w:val="outset" w:sz="6" w:space="0" w:color="auto"/>
              <w:left w:val="outset" w:sz="6" w:space="0" w:color="auto"/>
              <w:bottom w:val="outset" w:sz="6" w:space="0" w:color="auto"/>
              <w:right w:val="outset" w:sz="6" w:space="0" w:color="auto"/>
            </w:tcBorders>
            <w:vAlign w:val="center"/>
          </w:tcPr>
          <w:p w14:paraId="2C38A15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1. Dostawcy bardzo dużych platform internetowych lub bardzo dużych wyszukiwarek internetowych, którzy prezentują reklamy na swoich interfejsach internetowych, zbierają i podają do wiadomości publicznej w określonej sekcji swojego interfejsu internetowego, za pomocą umożliwiającego wyszukiwanie na podstawie wielu kryteriów i niezawodnego narzędzia oraz za pośrednictwem interfejsów programowania aplikacyjnego, repozytorium zawierające informacje, o których mowa w ust. 2, przez cały okres prezentowania reklamy aż </w:t>
            </w:r>
            <w:r w:rsidRPr="00C20292">
              <w:rPr>
                <w:rFonts w:ascii="Times New Roman" w:eastAsia="Times New Roman" w:hAnsi="Times New Roman" w:cs="Times New Roman"/>
                <w:bCs/>
                <w:sz w:val="24"/>
                <w:szCs w:val="24"/>
                <w:lang w:eastAsia="pl-PL"/>
              </w:rPr>
              <w:lastRenderedPageBreak/>
              <w:t>do upływu jednego roku po ostatnim zaprezentowaniu reklamy na swoich interfejsach internetowych. Dostawcy ci zapewniają, aby repozytorium nie zawierało żadnych danych osobowych odbiorców usługi, którym reklama była lub mogła być prezentowania, oraz dokładają rozsądnych starań, aby zapewnić prawdziwość i kompletność informacji.</w:t>
            </w:r>
          </w:p>
          <w:p w14:paraId="13920E7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0" w:name="mip65352979"/>
            <w:bookmarkEnd w:id="280"/>
            <w:r w:rsidRPr="00C20292">
              <w:rPr>
                <w:rFonts w:ascii="Times New Roman" w:eastAsia="Times New Roman" w:hAnsi="Times New Roman" w:cs="Times New Roman"/>
                <w:bCs/>
                <w:sz w:val="24"/>
                <w:szCs w:val="24"/>
                <w:lang w:eastAsia="pl-PL"/>
              </w:rPr>
              <w:t>2. Repozytorium to zawiera co najmniej wszystkie następujące informacje:</w:t>
            </w:r>
          </w:p>
          <w:p w14:paraId="6542149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1" w:name="mip65352981"/>
            <w:bookmarkEnd w:id="281"/>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treść reklamy, w tym nazwę produktu, usługi lub marki oraz przedmiot reklamy;</w:t>
            </w:r>
          </w:p>
          <w:p w14:paraId="331BEBF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2" w:name="mip65352982"/>
            <w:bookmarkEnd w:id="282"/>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osobę fizyczna lub prawną, w imieniu której reklama jest prezentowana;</w:t>
            </w:r>
          </w:p>
          <w:p w14:paraId="5139700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3" w:name="mip65352983"/>
            <w:bookmarkEnd w:id="283"/>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osobę fizyczną lub prawną, która zapłaciła za reklamę, jeżeli osoba ta nie jest osobą, o której mowa w lit. b);</w:t>
            </w:r>
          </w:p>
          <w:p w14:paraId="238A8C1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4" w:name="mip65352984"/>
            <w:bookmarkEnd w:id="284"/>
            <w:r w:rsidRPr="00C20292">
              <w:rPr>
                <w:rFonts w:ascii="Times New Roman" w:eastAsia="Times New Roman" w:hAnsi="Times New Roman" w:cs="Times New Roman"/>
                <w:bCs/>
                <w:sz w:val="24"/>
                <w:szCs w:val="24"/>
                <w:lang w:eastAsia="pl-PL"/>
              </w:rPr>
              <w:t>d)okres, w którym reklama była prezentowana;</w:t>
            </w:r>
          </w:p>
          <w:p w14:paraId="152D0AE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5" w:name="mip65352985"/>
            <w:bookmarkEnd w:id="285"/>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informację o tym, czy zamierzano prezentować reklamę konkretnie co najmniej jednej szczególnej grupie odbiorców usługi, a jeżeli tak – główne parametry zastosowane do tego celu, w tym, w stosownych przypadkach, główne parametry zastosowane w celu wyłączenia co najmniej jednej szczególnej grupy;</w:t>
            </w:r>
          </w:p>
          <w:p w14:paraId="7C07EA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6" w:name="mip65352986"/>
            <w:bookmarkEnd w:id="286"/>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informacje handlowe opublikowane na bardzo dużych platformach internetowych i zidentyfikowane zgodnie z art. 26 ust. 2;</w:t>
            </w:r>
          </w:p>
          <w:p w14:paraId="56B84AE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7" w:name="mip65352987"/>
            <w:bookmarkEnd w:id="287"/>
            <w:r w:rsidRPr="00C20292">
              <w:rPr>
                <w:rFonts w:ascii="Times New Roman" w:eastAsia="Times New Roman" w:hAnsi="Times New Roman" w:cs="Times New Roman"/>
                <w:bCs/>
                <w:sz w:val="24"/>
                <w:szCs w:val="24"/>
                <w:lang w:eastAsia="pl-PL"/>
              </w:rPr>
              <w:t>g)</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całkowitą liczbę odbiorców usługi, do których reklama dotarła, oraz – w stosownych przypadkach – zagregowaną liczbę w podziale na państwa członkowskie w przypadku grupy lub grup odbiorców, do których reklama była konkretnie skierowana.</w:t>
            </w:r>
          </w:p>
          <w:p w14:paraId="771D957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8" w:name="mip65352988"/>
            <w:bookmarkEnd w:id="288"/>
            <w:r w:rsidRPr="00C20292">
              <w:rPr>
                <w:rFonts w:ascii="Times New Roman" w:eastAsia="Times New Roman" w:hAnsi="Times New Roman" w:cs="Times New Roman"/>
                <w:bCs/>
                <w:sz w:val="24"/>
                <w:szCs w:val="24"/>
                <w:lang w:eastAsia="pl-PL"/>
              </w:rPr>
              <w:lastRenderedPageBreak/>
              <w:t>3. W odniesieniu do ust. 2 lit. a), b) i c), jeżeli dostawca bardzo dużej platformy internetowej lub bardzo dużej wyszukiwarki internetowej usunął lub uniemożliwił dostęp do konkretnej reklamy na podstawie zarzucanej nielegalności lub niezgodności z warunkami korzystania z usług, repozytorium nie zawiera informacji, o których mowa w tych literach. W takim przypadku repozytorium zawiera, w odniesieniu do danej konkretnej reklamy, informacje, o których mowa w art. 17 ust. 3 lit. a)–e) lub art. 9 ust. 2 lit. a) pkt (i) stosownie do przypadku.</w:t>
            </w:r>
          </w:p>
          <w:p w14:paraId="44FB0BF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Komisja może – po konsultacji z Radą Usług Cyfrowych, właściwymi zweryfikowanymi badaczami, o których mowa w art. 40, i opinią publiczną – wydać wytyczne dotyczące struktury, organizacji i funkcji repozytoriów, o których mowa w niniejszym artykule.</w:t>
            </w:r>
          </w:p>
          <w:p w14:paraId="6E0786C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1CB78E2" w14:textId="77777777" w:rsidR="00AC2F95" w:rsidRPr="008E2CD5" w:rsidRDefault="004C1E9A" w:rsidP="00B03963">
            <w:pPr>
              <w:spacing w:after="0" w:line="240" w:lineRule="auto"/>
              <w:rPr>
                <w:rFonts w:ascii="Times New Roman" w:eastAsia="Times New Roman" w:hAnsi="Times New Roman" w:cs="Times New Roman"/>
                <w:sz w:val="24"/>
                <w:szCs w:val="24"/>
                <w:lang w:eastAsia="pl-PL"/>
              </w:rPr>
            </w:pPr>
            <w:r w:rsidRPr="008E2CD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5E94D3E" w14:textId="77777777" w:rsidR="00AC2F95" w:rsidRPr="008E2CD5"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24526E1" w14:textId="77777777" w:rsidR="00AC2F95" w:rsidRPr="008E2CD5"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F15A08" w14:textId="77777777" w:rsidR="00AC2F95" w:rsidRPr="008E2CD5" w:rsidRDefault="004C1E9A" w:rsidP="00B03963">
            <w:pPr>
              <w:spacing w:after="0" w:line="240" w:lineRule="auto"/>
              <w:rPr>
                <w:rFonts w:ascii="Times New Roman" w:eastAsia="Times New Roman" w:hAnsi="Times New Roman" w:cs="Times New Roman"/>
                <w:sz w:val="24"/>
                <w:szCs w:val="24"/>
                <w:lang w:eastAsia="pl-PL"/>
              </w:rPr>
            </w:pPr>
            <w:r w:rsidRPr="008E2CD5">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76232EB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2FA402B"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40</w:t>
            </w:r>
          </w:p>
        </w:tc>
        <w:tc>
          <w:tcPr>
            <w:tcW w:w="1650" w:type="pct"/>
            <w:tcBorders>
              <w:top w:val="outset" w:sz="6" w:space="0" w:color="auto"/>
              <w:left w:val="outset" w:sz="6" w:space="0" w:color="auto"/>
              <w:bottom w:val="outset" w:sz="6" w:space="0" w:color="auto"/>
              <w:right w:val="outset" w:sz="6" w:space="0" w:color="auto"/>
            </w:tcBorders>
            <w:vAlign w:val="center"/>
          </w:tcPr>
          <w:p w14:paraId="657C8A7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Na uzasadniony wniosek koordynatora ds. usług cyfrowych właściwego dla miejsca siedziby lub Komisji, w rozsądnym terminie wskazanym w tym wniosku, dostawcy bardzo dużych platform internetowych lub bardzo dużych wyszukiwarek internetowych zapewniają takiemu koordynatorowi lub Komisji dostęp do danych, które są niezbędne do monitorowania i oceny przestrzegania niniejszego rozporządzenia.</w:t>
            </w:r>
          </w:p>
          <w:p w14:paraId="75D9A1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9" w:name="mip65352991"/>
            <w:bookmarkEnd w:id="289"/>
            <w:r w:rsidRPr="00C20292">
              <w:rPr>
                <w:rFonts w:ascii="Times New Roman" w:eastAsia="Times New Roman" w:hAnsi="Times New Roman" w:cs="Times New Roman"/>
                <w:bCs/>
                <w:sz w:val="24"/>
                <w:szCs w:val="24"/>
                <w:lang w:eastAsia="pl-PL"/>
              </w:rPr>
              <w:t xml:space="preserve">2. Koordynatorzy ds. usług cyfrowych i Komisja wykorzystują dane, do których uzyskali dostęp na podstawie ust. 1, wyłącznie do celów monitorowania i oceny przestrzegania niniejszego rozporządzenia oraz należycie uwzględniają prawa i interesy dostawców </w:t>
            </w:r>
            <w:r w:rsidRPr="00C20292">
              <w:rPr>
                <w:rFonts w:ascii="Times New Roman" w:eastAsia="Times New Roman" w:hAnsi="Times New Roman" w:cs="Times New Roman"/>
                <w:bCs/>
                <w:sz w:val="24"/>
                <w:szCs w:val="24"/>
                <w:lang w:eastAsia="pl-PL"/>
              </w:rPr>
              <w:lastRenderedPageBreak/>
              <w:t>bardzo dużych platform internetowych lub bardzo dużych wyszukiwarek internetowych oraz zainteresowanych odbiorców usługi, w tym ochronę danych osobowych, ochronę informacji poufnych, w szczególności tajemnic przedsiębiorstwa, oraz utrzymanie bezpieczeństwa ich usług.</w:t>
            </w:r>
          </w:p>
          <w:p w14:paraId="390AC9F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0" w:name="mip65352992"/>
            <w:bookmarkEnd w:id="290"/>
            <w:r w:rsidRPr="00C20292">
              <w:rPr>
                <w:rFonts w:ascii="Times New Roman" w:eastAsia="Times New Roman" w:hAnsi="Times New Roman" w:cs="Times New Roman"/>
                <w:bCs/>
                <w:sz w:val="24"/>
                <w:szCs w:val="24"/>
                <w:lang w:eastAsia="pl-PL"/>
              </w:rPr>
              <w:t>3. Do celów ust. 1 dostawcy bardzo dużych platform internetowych lub bardzo dużych wyszukiwarek internetowych – na wniosek koordynatora ds. usług cyfrowych właściwego dla miejsca siedziby albo Komisji – wyjaśniają projekt, logikę funkcjonowania i testowanie swoich systemów algorytmicznych, w tym systemów rekomendacji.</w:t>
            </w:r>
          </w:p>
          <w:p w14:paraId="6DF2124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1" w:name="mip65352993"/>
            <w:bookmarkEnd w:id="291"/>
            <w:r w:rsidRPr="00C20292">
              <w:rPr>
                <w:rFonts w:ascii="Times New Roman" w:eastAsia="Times New Roman" w:hAnsi="Times New Roman" w:cs="Times New Roman"/>
                <w:bCs/>
                <w:sz w:val="24"/>
                <w:szCs w:val="24"/>
                <w:lang w:eastAsia="pl-PL"/>
              </w:rPr>
              <w:t>4. Na uzasadniony wniosek koordynatora ds. usług cyfrowych właściwego dla miejsca siedziby dostawcy bardzo dużych platform internetowych lub bardzo dużych wyszukiwarek internetowych udzielają dostępu do danych, w rozsądnym terminie wskazanym w tym wniosku, zweryfikowanym badaczom, którzy spełniają wymogi określone w ust. 8 niniejszego artykułu, wyłącznie w celu przeprowadzenia badań, które przyczynią się do wykrycia, zidentyfikowania i zrozumienia ryzyka systemowego w Unii określonego na podstawie art. 34 ust. 1 oraz do oceny adekwatności, efektywności i skutków środków zmniejszających ryzyko na podstawie art. 35.</w:t>
            </w:r>
          </w:p>
          <w:p w14:paraId="7AB3B43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2" w:name="mip65352994"/>
            <w:bookmarkEnd w:id="292"/>
            <w:r w:rsidRPr="00C20292">
              <w:rPr>
                <w:rFonts w:ascii="Times New Roman" w:eastAsia="Times New Roman" w:hAnsi="Times New Roman" w:cs="Times New Roman"/>
                <w:bCs/>
                <w:sz w:val="24"/>
                <w:szCs w:val="24"/>
                <w:lang w:eastAsia="pl-PL"/>
              </w:rPr>
              <w:t xml:space="preserve">5. W terminie 15 dni od otrzymania wniosku, o którym mowa w ust. 4, dostawcy bardzo dużych platform internetowych lub bardzo dużych wyszukiwarek internetowych mogą zwrócić się do koordynatora ds. usług cyfrowych właściwego dla miejsca siedziby z wnioskiem o zmianę wniosku, jeżeli uznają, że nie są </w:t>
            </w:r>
            <w:r w:rsidRPr="00C20292">
              <w:rPr>
                <w:rFonts w:ascii="Times New Roman" w:eastAsia="Times New Roman" w:hAnsi="Times New Roman" w:cs="Times New Roman"/>
                <w:bCs/>
                <w:sz w:val="24"/>
                <w:szCs w:val="24"/>
                <w:lang w:eastAsia="pl-PL"/>
              </w:rPr>
              <w:lastRenderedPageBreak/>
              <w:t>w stanie udzielić dostępu do żądanych danych z jednego z dwóch następujących powodów:</w:t>
            </w:r>
          </w:p>
          <w:p w14:paraId="5B16539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3" w:name="mip65352996"/>
            <w:bookmarkEnd w:id="293"/>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nie mają dostępu do danych;</w:t>
            </w:r>
          </w:p>
          <w:p w14:paraId="0292849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4" w:name="mip65352997"/>
            <w:bookmarkEnd w:id="294"/>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udzielenie dostępu do danych doprowadzi do znacznych luk w zakresie bezpieczeństwa ich usług lub ochrony informacji poufnych, w szczególności tajemnic przedsiębiorstwa.</w:t>
            </w:r>
          </w:p>
          <w:p w14:paraId="49F4F3B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5" w:name="mip65352998"/>
            <w:bookmarkEnd w:id="295"/>
            <w:r w:rsidRPr="00C20292">
              <w:rPr>
                <w:rFonts w:ascii="Times New Roman" w:eastAsia="Times New Roman" w:hAnsi="Times New Roman" w:cs="Times New Roman"/>
                <w:bCs/>
                <w:sz w:val="24"/>
                <w:szCs w:val="24"/>
                <w:lang w:eastAsia="pl-PL"/>
              </w:rPr>
              <w:t>6. Wnioski o zmianę zgodnie z ust. 5 zawierają propozycję co najmniej jednego środka alternatywnego, za pomocą którego można udzielić dostępu do żądanych danych lub innych danych, który jest odpowiedni i wystarczający do celów wniosku.</w:t>
            </w:r>
          </w:p>
          <w:p w14:paraId="5537689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Koordynator ds. usług cyfrowych właściwy dla miejsca siedziby podejmuje decyzję w sprawie wniosku o zmianę w terminie 15 dni i informuje dostawcę bardzo dużej platformy internetowej lub bardzo dużej wyszukiwarki internetowej o swojej decyzji, a w stosownych przypadkach przekazuje mu zmieniony wniosek wraz z nowym terminem na zastosowanie się do wniosku.</w:t>
            </w:r>
          </w:p>
          <w:p w14:paraId="49B3310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6" w:name="mip65352999"/>
            <w:bookmarkEnd w:id="296"/>
            <w:r w:rsidRPr="00C20292">
              <w:rPr>
                <w:rFonts w:ascii="Times New Roman" w:eastAsia="Times New Roman" w:hAnsi="Times New Roman" w:cs="Times New Roman"/>
                <w:bCs/>
                <w:sz w:val="24"/>
                <w:szCs w:val="24"/>
                <w:lang w:eastAsia="pl-PL"/>
              </w:rPr>
              <w:t>7. Dostawcy bardzo dużych platform internetowych lub bardzo dużych wyszukiwarek internetowych ułatwiają i zapewniają dostęp do danych zgodnie z ust. 1 i 4 za pośrednictwem odpowiednich interfejsów określonych we wniosku, w tym internetowych baz danych lub interfejsów programowania aplikacyjnego.</w:t>
            </w:r>
          </w:p>
          <w:p w14:paraId="7A6DD0A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7" w:name="mip65353000"/>
            <w:bookmarkEnd w:id="297"/>
            <w:r w:rsidRPr="00C20292">
              <w:rPr>
                <w:rFonts w:ascii="Times New Roman" w:eastAsia="Times New Roman" w:hAnsi="Times New Roman" w:cs="Times New Roman"/>
                <w:bCs/>
                <w:sz w:val="24"/>
                <w:szCs w:val="24"/>
                <w:lang w:eastAsia="pl-PL"/>
              </w:rPr>
              <w:t xml:space="preserve">8. Na należycie uzasadniony wniosek badaczy koordynator ds. usług cyfrowych właściwy dla miejsca siedziby przyznaje takim badaczom status „zweryfikowanych badaczy” na potrzeby konkretnych badań wskazanych w tym wniosku i wydaje uzasadniony wniosek o dostęp do danych skierowany </w:t>
            </w:r>
            <w:r w:rsidRPr="00C20292">
              <w:rPr>
                <w:rFonts w:ascii="Times New Roman" w:eastAsia="Times New Roman" w:hAnsi="Times New Roman" w:cs="Times New Roman"/>
                <w:bCs/>
                <w:sz w:val="24"/>
                <w:szCs w:val="24"/>
                <w:lang w:eastAsia="pl-PL"/>
              </w:rPr>
              <w:lastRenderedPageBreak/>
              <w:t>do dostawcy bardzo dużej platformy internetowej lub bardzo dużej wyszukiwarki internetowej na podstawie ust. 4, w przypadku gdy badacze ci wykażą, że spełniają wszystkie następujące warunki:</w:t>
            </w:r>
          </w:p>
          <w:p w14:paraId="61E9BBE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8" w:name="mip65353002"/>
            <w:bookmarkEnd w:id="298"/>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są członkami organizacji badawczej zgodnie z definicją w art. 2 pkt 1 dyrektywy (UE) 2019/790;</w:t>
            </w:r>
          </w:p>
          <w:p w14:paraId="5EDB74A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9" w:name="mip65353003"/>
            <w:bookmarkEnd w:id="299"/>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działają niezależnie od interesów handlowych;</w:t>
            </w:r>
          </w:p>
          <w:p w14:paraId="2416E05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0" w:name="mip65353004"/>
            <w:bookmarkEnd w:id="300"/>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złożonym przez nich wniosku ujawniono finansowanie badań;</w:t>
            </w:r>
          </w:p>
          <w:p w14:paraId="1CA85F5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1" w:name="mip65353005"/>
            <w:bookmarkEnd w:id="301"/>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są w stanie spełnić konkretne wymogi dotyczące bezpieczeństwa i poufności danych w odniesieniu do każdego wniosku oraz chronić dane osobowe, a w swoim wniosku opisują odpowiednie środki techniczne i organizacyjne wprowadzone przez nich w tym celu;</w:t>
            </w:r>
          </w:p>
          <w:p w14:paraId="025F47C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2" w:name="mip65353006"/>
            <w:bookmarkEnd w:id="302"/>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ich wniosku wykazano konieczność i proporcjonalność wnioskowanego przez nich dostępu do danych oraz i jego ram czasowych dla potrzeb ich badań a także wykazano, iż oczekiwane wyniki tych badań przyczynią się do realizacji celów określonych w ust. 4;</w:t>
            </w:r>
          </w:p>
          <w:p w14:paraId="1C50903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3" w:name="mip65353007"/>
            <w:bookmarkEnd w:id="303"/>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planowana działalność badawcza będzie prowadzona w celach określonych w ust. 4;</w:t>
            </w:r>
          </w:p>
          <w:p w14:paraId="59B8F39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4" w:name="mip65353008"/>
            <w:bookmarkEnd w:id="304"/>
            <w:r w:rsidRPr="00C20292">
              <w:rPr>
                <w:rFonts w:ascii="Times New Roman" w:eastAsia="Times New Roman" w:hAnsi="Times New Roman" w:cs="Times New Roman"/>
                <w:bCs/>
                <w:sz w:val="24"/>
                <w:szCs w:val="24"/>
                <w:lang w:eastAsia="pl-PL"/>
              </w:rPr>
              <w:t>g)</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zobowiązali się do bezpłatnego podania do wiadomości publicznej wyników swoich badań w rozsądnym terminie po zakończeniu badań, z zastrzeżeniem praw i interesów odbiorców danej usługi, zgodnie z rozporządzeniem (UE) 2016/679.</w:t>
            </w:r>
          </w:p>
          <w:p w14:paraId="2766748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5" w:name="mip65353009"/>
            <w:bookmarkEnd w:id="305"/>
            <w:r w:rsidRPr="00C20292">
              <w:rPr>
                <w:rFonts w:ascii="Times New Roman" w:eastAsia="Times New Roman" w:hAnsi="Times New Roman" w:cs="Times New Roman"/>
                <w:bCs/>
                <w:sz w:val="24"/>
                <w:szCs w:val="24"/>
                <w:lang w:eastAsia="pl-PL"/>
              </w:rPr>
              <w:t>Po otrzymaniu wniosku na podstawie niniejszego ustępu koordynator ds. usług cyfrowych właściwy dla miejsca siedziby informuje Komisję i Radę Usług Cyfrowych.</w:t>
            </w:r>
          </w:p>
          <w:p w14:paraId="209206A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6" w:name="mip65353010"/>
            <w:bookmarkEnd w:id="306"/>
            <w:r w:rsidRPr="00C20292">
              <w:rPr>
                <w:rFonts w:ascii="Times New Roman" w:eastAsia="Times New Roman" w:hAnsi="Times New Roman" w:cs="Times New Roman"/>
                <w:bCs/>
                <w:sz w:val="24"/>
                <w:szCs w:val="24"/>
                <w:lang w:eastAsia="pl-PL"/>
              </w:rPr>
              <w:lastRenderedPageBreak/>
              <w:t>9. Badacze mogą również złożyć wniosek do koordynatora ds. usług cyfrowych w państwie członkowskim organizacji badawczej, której są członkami. Po otrzymaniu wniosku zgodnie z niniejszym ustępem koordynator ds. usług cyfrowych przeprowadza wstępną ocenę, czy odpowiedni badacze spełniają wszystkie warunki określone w ust. 8. Dany koordynator ds. usług cyfrowych przesyła następnie wniosek wraz z dokumentami potwierdzającymi przedłożonymi przez odpowiednich badaczy i oceną wstępną koordynatorowi ds. usług cyfrowych właściwemu dla miejsca siedziby. Koordynator ds. usług cyfrowych właściwy dla miejsca siedziby podejmuje bez zbędnej zwłoki decyzję o tym, czy przyznać badaczowi status „zweryfikowanego badacza”.</w:t>
            </w:r>
          </w:p>
          <w:p w14:paraId="1D1564A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Przy należytym uwzględnieniu dostarczonej wstępnej oceny ostateczna decyzja o przyznaniu badaczowi statusu „zweryfikowanego badacza” leży w gestii koordynatora ds. usług cyfrowych właściwego dla miejsca siedziby na podstawie ust. 8.</w:t>
            </w:r>
          </w:p>
          <w:p w14:paraId="58C2E81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7" w:name="mip65353011"/>
            <w:bookmarkEnd w:id="307"/>
            <w:r w:rsidRPr="00C20292">
              <w:rPr>
                <w:rFonts w:ascii="Times New Roman" w:eastAsia="Times New Roman" w:hAnsi="Times New Roman" w:cs="Times New Roman"/>
                <w:bCs/>
                <w:sz w:val="24"/>
                <w:szCs w:val="24"/>
                <w:lang w:eastAsia="pl-PL"/>
              </w:rPr>
              <w:t xml:space="preserve">10. Koordynator ds. usług cyfrowych, który przyznał status zweryfikowanego badacza i wydał uzasadniony wniosek o dostęp do danych na rzecz zweryfikowanego badacza skierowany do dostawców bardzo dużych platform internetowych lub bardzo dużych wyszukiwarek internetowych, wydaje decyzję o zakończeniu dostępu, jeżeli w wyniku czynności sprawdzających przeprowadzonych z własnej inicjatywy lub na podstawie informacji otrzymanych od osób trzecich stwierdzi, że zweryfikowany badacz nie spełnia już warunków określonych w ust. 8, i informuje </w:t>
            </w:r>
            <w:r w:rsidRPr="00C20292">
              <w:rPr>
                <w:rFonts w:ascii="Times New Roman" w:eastAsia="Times New Roman" w:hAnsi="Times New Roman" w:cs="Times New Roman"/>
                <w:bCs/>
                <w:sz w:val="24"/>
                <w:szCs w:val="24"/>
                <w:lang w:eastAsia="pl-PL"/>
              </w:rPr>
              <w:lastRenderedPageBreak/>
              <w:t>o tej decyzji zainteresowanego dostawcę bardzo dużej platformy internetowej lub bardzo dużej wyszukiwarki internetowej. Przed zakończeniem dostępu koordynator ds. usług cyfrowych umożliwia zweryfikowanemu badaczowi zareagowanie na ustalenia dokonane w toku czynności sprawdzających oraz na zamiar zakończenia dostępu.</w:t>
            </w:r>
          </w:p>
          <w:p w14:paraId="484E34D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8" w:name="mip65353012"/>
            <w:bookmarkEnd w:id="308"/>
            <w:r w:rsidRPr="00C20292">
              <w:rPr>
                <w:rFonts w:ascii="Times New Roman" w:eastAsia="Times New Roman" w:hAnsi="Times New Roman" w:cs="Times New Roman"/>
                <w:bCs/>
                <w:sz w:val="24"/>
                <w:szCs w:val="24"/>
                <w:lang w:eastAsia="pl-PL"/>
              </w:rPr>
              <w:t>11. Koordynatorzy ds. usług cyfrowych właściwi dla miejsca siedziby przekazują Radzie Usług Cyfrowych imiona i nazwiska lub nazwy oraz dane kontaktowe osób fizycznych lub podmiotów, którym przyznały status „zweryfikowanego badacza” zgodnie z ust. 8, a także cel badań, w odniesieniu do których wystąpiono z wnioskiem lub, w przypadku zakończenia dostępu do danych zgodnie z ust. 10, informację dla Rady Usług Cyfrowych o tym fakcie.</w:t>
            </w:r>
          </w:p>
          <w:p w14:paraId="7B4CD87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9" w:name="mip65353013"/>
            <w:bookmarkEnd w:id="309"/>
            <w:r w:rsidRPr="00C20292">
              <w:rPr>
                <w:rFonts w:ascii="Times New Roman" w:eastAsia="Times New Roman" w:hAnsi="Times New Roman" w:cs="Times New Roman"/>
                <w:bCs/>
                <w:sz w:val="24"/>
                <w:szCs w:val="24"/>
                <w:lang w:eastAsia="pl-PL"/>
              </w:rPr>
              <w:t>12. Dostawcy bardzo dużych platform internetowych lub bardzo dużych wyszukiwarek internetowych udzielają bez zbędnej zwłoki dostępu do danych, w tym, </w:t>
            </w:r>
            <w:bookmarkStart w:id="310" w:name="highlightHit_14"/>
            <w:bookmarkEnd w:id="310"/>
            <w:r w:rsidRPr="00C20292">
              <w:rPr>
                <w:rFonts w:ascii="Times New Roman" w:eastAsia="Times New Roman" w:hAnsi="Times New Roman" w:cs="Times New Roman"/>
                <w:bCs/>
                <w:sz w:val="24"/>
                <w:szCs w:val="24"/>
                <w:lang w:eastAsia="pl-PL"/>
              </w:rPr>
              <w:t>o ile to technicznie możliwe, danych w czasie rzeczywistym, pod warunkiem że dane te są publicznie dostępne na ich interfejsie internetowym dla badaczy, w tym osób powiązanych z podmiotami, organizacjami i stowarzyszeniami nienastawionymi na zysk, którzy spełniają warunki określone w ust. 8 lit. b), c), d) i e) i którzy wykorzystują dane wyłącznie do prowadzenia badań przyczyniających się do wykrywania, identyfikacji i zrozumienia ryzyka systemowego w Unii zgodnie z art. 34 ust. 1.</w:t>
            </w:r>
          </w:p>
          <w:p w14:paraId="4E19435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1" w:name="mip65353014"/>
            <w:bookmarkEnd w:id="311"/>
            <w:r w:rsidRPr="00C20292">
              <w:rPr>
                <w:rFonts w:ascii="Times New Roman" w:eastAsia="Times New Roman" w:hAnsi="Times New Roman" w:cs="Times New Roman"/>
                <w:bCs/>
                <w:sz w:val="24"/>
                <w:szCs w:val="24"/>
                <w:lang w:eastAsia="pl-PL"/>
              </w:rPr>
              <w:t>13. Po konsultacji z Radą </w:t>
            </w:r>
            <w:bookmarkStart w:id="312" w:name="highlightHit_15"/>
            <w:bookmarkEnd w:id="312"/>
            <w:r w:rsidRPr="00C20292">
              <w:rPr>
                <w:rFonts w:ascii="Times New Roman" w:eastAsia="Times New Roman" w:hAnsi="Times New Roman" w:cs="Times New Roman"/>
                <w:bCs/>
                <w:sz w:val="24"/>
                <w:szCs w:val="24"/>
                <w:lang w:eastAsia="pl-PL"/>
              </w:rPr>
              <w:t>Usług </w:t>
            </w:r>
            <w:bookmarkStart w:id="313" w:name="highlightHit_16"/>
            <w:bookmarkEnd w:id="313"/>
            <w:r w:rsidRPr="00C20292">
              <w:rPr>
                <w:rFonts w:ascii="Times New Roman" w:eastAsia="Times New Roman" w:hAnsi="Times New Roman" w:cs="Times New Roman"/>
                <w:bCs/>
                <w:sz w:val="24"/>
                <w:szCs w:val="24"/>
                <w:lang w:eastAsia="pl-PL"/>
              </w:rPr>
              <w:t>Cyfrowych Komisja przyjmuje </w:t>
            </w:r>
            <w:bookmarkStart w:id="314" w:name="highlightHit_17"/>
            <w:bookmarkEnd w:id="314"/>
            <w:r w:rsidRPr="00C20292">
              <w:rPr>
                <w:rFonts w:ascii="Times New Roman" w:eastAsia="Times New Roman" w:hAnsi="Times New Roman" w:cs="Times New Roman"/>
                <w:bCs/>
                <w:sz w:val="24"/>
                <w:szCs w:val="24"/>
                <w:lang w:eastAsia="pl-PL"/>
              </w:rPr>
              <w:t>akty delegowane uzupełniające niniejsze </w:t>
            </w:r>
            <w:bookmarkStart w:id="315" w:name="highlightHit_18"/>
            <w:bookmarkEnd w:id="315"/>
            <w:r w:rsidRPr="00C20292">
              <w:rPr>
                <w:rFonts w:ascii="Times New Roman" w:eastAsia="Times New Roman" w:hAnsi="Times New Roman" w:cs="Times New Roman"/>
                <w:bCs/>
                <w:sz w:val="24"/>
                <w:szCs w:val="24"/>
                <w:lang w:eastAsia="pl-PL"/>
              </w:rPr>
              <w:t xml:space="preserve">rozporządzenie poprzez określenie warunków </w:t>
            </w:r>
            <w:r w:rsidRPr="00C20292">
              <w:rPr>
                <w:rFonts w:ascii="Times New Roman" w:eastAsia="Times New Roman" w:hAnsi="Times New Roman" w:cs="Times New Roman"/>
                <w:bCs/>
                <w:sz w:val="24"/>
                <w:szCs w:val="24"/>
                <w:lang w:eastAsia="pl-PL"/>
              </w:rPr>
              <w:lastRenderedPageBreak/>
              <w:t>technicznych, zgodnie z którymi dostawcy bardzo dużych platform internetowych lub bardzo dużych wyszukiwarek internetowych mają udostępniać dane na podstawie ust. 1 i 4, a także cele, do których dane te mogą być wykorzystywane. W tych aktach delegowanych określa się szczególne warunki udostępniania danych badaczom zgodnie z rozporządzeniem (UE) 2016/679, jak również odpowiednie obiektywne wskaźniki, procedury i, w stosownych przypadkach, niezależne mechanizmy doradcze wspierające udostępnianie danych, z uwzględnieniem praw i interesów zainteresowanych dostawców bardzo dużych platform internetowych lub bardzo dużych wyszukiwarek internetowych oraz zainteresowanych odbiorców usługi, w tym ochrony informacji poufnych, w szczególności tajemnic przedsiębiorstwa, oraz przy zachowaniu bezpieczeństwa ich usługi.</w:t>
            </w:r>
          </w:p>
          <w:p w14:paraId="3A385E7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F8C74CA" w14:textId="77777777" w:rsidR="00C20292" w:rsidRPr="007E1E2C" w:rsidRDefault="007604C4"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6A692B64" w14:textId="77777777" w:rsidR="00C20292" w:rsidRPr="007E1E2C" w:rsidRDefault="007604C4"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23501DF6"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Art. 22u. Prezes UKE przyznaje status zweryfikowanego badacza, o którym mowa w art. 40 ust. 8 rozporządzenia 2022/2065.</w:t>
            </w:r>
          </w:p>
          <w:p w14:paraId="539A2EF9"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22v. 1. Osoba ubiegająca się o przyznanie statusu zweryfikowanego badacza składa wniosek. Do złożenia wniosku stosuje się </w:t>
            </w:r>
            <w:r w:rsidRPr="00E52CF0">
              <w:rPr>
                <w:rFonts w:ascii="Times New Roman" w:eastAsia="Times New Roman" w:hAnsi="Times New Roman" w:cs="Times New Roman"/>
                <w:sz w:val="24"/>
                <w:szCs w:val="24"/>
                <w:lang w:eastAsia="pl-PL"/>
              </w:rPr>
              <w:lastRenderedPageBreak/>
              <w:t>odpowiednio przepisy art. 22h ust. 1-3.</w:t>
            </w:r>
          </w:p>
          <w:p w14:paraId="5D08E0AB"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2. Wniosek, o którym mowa w ust. 1, zawiera:</w:t>
            </w:r>
          </w:p>
          <w:p w14:paraId="389FF4A3" w14:textId="3D1CF202"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imię i nazwisko osoby ubiegającej się o przyznanie statusu zweryfikowanego badacza;</w:t>
            </w:r>
          </w:p>
          <w:p w14:paraId="6B78D5FF" w14:textId="4C4A4CD4"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adres zamieszkania osoby ubiegającej się o przyznanie statusu zweryfikowanego badacza;</w:t>
            </w:r>
          </w:p>
          <w:p w14:paraId="15B68E1A" w14:textId="0ED86EC4"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adres poczty elektronicznej osoby ubiegającej się o przyznanie statusu zweryfikowanego badacza;</w:t>
            </w:r>
          </w:p>
          <w:p w14:paraId="177635AB" w14:textId="3ECC2404"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informacje potwierdzające spełnianie warunków, o których mowa w art. 40 ust. 8 rozporządzenia 2022/2065.</w:t>
            </w:r>
          </w:p>
          <w:p w14:paraId="2CF599C5"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3. Do wniosku, o którym mowa w ust. 1, dołącza się dokumenty </w:t>
            </w:r>
            <w:r w:rsidRPr="00E52CF0">
              <w:rPr>
                <w:rFonts w:ascii="Times New Roman" w:eastAsia="Times New Roman" w:hAnsi="Times New Roman" w:cs="Times New Roman"/>
                <w:sz w:val="24"/>
                <w:szCs w:val="24"/>
                <w:lang w:eastAsia="pl-PL"/>
              </w:rPr>
              <w:lastRenderedPageBreak/>
              <w:t>potwierdzające spełnianie warunków, o których mowa w art. 40 ust. 8 rozporządzenia 2022/2065.</w:t>
            </w:r>
          </w:p>
          <w:p w14:paraId="6518DA54"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4. Prezes UKE przed przyznaniem statusu zweryfikowanego badacza zasięga opinii Prezesa Urzędu Ochrony Danych Osobowych lub może zasięgnąć opinii innych organów administracji publicznej właściwych w sprawach zbieżnych z przedmiotem działalności podmiotu ubiegającego się o status zweryfikowanego badacza.</w:t>
            </w:r>
          </w:p>
          <w:p w14:paraId="057CB876"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5. Organ, o którym mowa w ust. 4, przedstawia opinię w terminie 14 dni od dnia doręczenia wniosku o jej wydanie. </w:t>
            </w:r>
          </w:p>
          <w:p w14:paraId="1CBD4895"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lastRenderedPageBreak/>
              <w:t xml:space="preserve">6. Brak przedstawienia opinii w terminie, o którym mowa w ust. 5, nie wstrzymuje postępowania w sprawie nadania statusu zweryfikowanego badacza. </w:t>
            </w:r>
          </w:p>
          <w:p w14:paraId="24963B12"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7. Prezes UKE rozpatruje wniosek, o którym mowa w ust. 1, w terminie nie dłuższym niż 30 dni od dnia jego złożenia.</w:t>
            </w:r>
          </w:p>
          <w:p w14:paraId="3264EB32"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8. Wniosek, o którym mowa w ust. 1, niezawierający informacji, o których mowa w ust. 2 pkt 1, pozostawia się bez rozpoznania. Jeżeli wniosek nie zawiera informacji, o których mowa w ust. 2 pkt 2-4, lub nie spełnia wymagań, o których mowa w ust. 1 lub 3, Prezes UKE wzywa wnioskodawcę do uzupełnienia wniosku </w:t>
            </w:r>
            <w:r w:rsidRPr="00E52CF0">
              <w:rPr>
                <w:rFonts w:ascii="Times New Roman" w:eastAsia="Times New Roman" w:hAnsi="Times New Roman" w:cs="Times New Roman"/>
                <w:sz w:val="24"/>
                <w:szCs w:val="24"/>
                <w:lang w:eastAsia="pl-PL"/>
              </w:rPr>
              <w:lastRenderedPageBreak/>
              <w:t>wraz z pouczeniem, że nieuzupełnienie wniosku w terminie 7 dni od dnia doręczenia wezwania spowoduje pozostawienie wniosku bez rozpoznania.</w:t>
            </w:r>
          </w:p>
          <w:p w14:paraId="649FA5D8"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9. Prezes UKE zawiadamia wnioskodawcę o przyznaniu statusu zweryfikowanego badacza.</w:t>
            </w:r>
          </w:p>
          <w:p w14:paraId="5BAA30A6"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10. Dokumentem potwierdzającym przyznanie statusu zweryfikowanego badacza jest zaświadczenie wydawane przez Prezesa UKE.</w:t>
            </w:r>
          </w:p>
          <w:p w14:paraId="2B1940B3"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22w. Prezes UKE przekazuje wniosek, o którym mowa w art. 40 ust. 4 rozporządzenia 2022/2065, za pośrednictwem pojedynczego punktu kontaktowego, o </w:t>
            </w:r>
            <w:r w:rsidRPr="00E52CF0">
              <w:rPr>
                <w:rFonts w:ascii="Times New Roman" w:eastAsia="Times New Roman" w:hAnsi="Times New Roman" w:cs="Times New Roman"/>
                <w:sz w:val="24"/>
                <w:szCs w:val="24"/>
                <w:lang w:eastAsia="pl-PL"/>
              </w:rPr>
              <w:lastRenderedPageBreak/>
              <w:t>którym mowa w art. 11 ust. 1 rozporządzenia 2022/2065, dostawcy bardzo dużej platformy internetowej lub bardzo dużej wyszukiwarki internetowej.</w:t>
            </w:r>
          </w:p>
          <w:p w14:paraId="02D3D831"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22x. Prezes UKE w przypadku, o którym mowa w art. 40 ust. 5 rozporządzenia 2022/2065, za pośrednictwem pojedynczego punktu kontaktowego dostawcy bardzo dużej platformy internetowej lub bardzo dużej wyszukiwarki internetowej, którego dotyczy wniosek, przekazuje zmieniony wniosek, o którym mowa w art. 40 ust. 6 rozporządzenia 2022/2065, wraz z nowym terminem na </w:t>
            </w:r>
            <w:r w:rsidRPr="00E52CF0">
              <w:rPr>
                <w:rFonts w:ascii="Times New Roman" w:eastAsia="Times New Roman" w:hAnsi="Times New Roman" w:cs="Times New Roman"/>
                <w:sz w:val="24"/>
                <w:szCs w:val="24"/>
                <w:lang w:eastAsia="pl-PL"/>
              </w:rPr>
              <w:lastRenderedPageBreak/>
              <w:t>zastosowanie się do wniosku. W przypadku nieuwzględnienia zmienionego wniosku przekazuje informację o swoim stanowisku.</w:t>
            </w:r>
          </w:p>
          <w:p w14:paraId="14197604"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Art. 22y. Prezes UKE, w drodze decyzji, odmawia przyznania statusu zweryfikowanego badacza, jeżeli podmiot ubiegający się przyznanie statusu zaufanego badacza nie spełnia warunków, o których mowa w art. 40 ust. 8 rozporządzenia 2022/2046.</w:t>
            </w:r>
          </w:p>
          <w:p w14:paraId="2FD1435C"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22z. 1. Prezes UKE, w drodze decyzji, cofa status zaufanego badacza w przypadku stwierdzenia, że podmiot, któremu przyznano status zaufanego badacza, nie spełnia lub </w:t>
            </w:r>
            <w:r w:rsidRPr="00E52CF0">
              <w:rPr>
                <w:rFonts w:ascii="Times New Roman" w:eastAsia="Times New Roman" w:hAnsi="Times New Roman" w:cs="Times New Roman"/>
                <w:sz w:val="24"/>
                <w:szCs w:val="24"/>
                <w:lang w:eastAsia="pl-PL"/>
              </w:rPr>
              <w:lastRenderedPageBreak/>
              <w:t>przestał spełniać warunki, o których mowa w art. 40 ust. 8 rozporządzenia 2022/2046.</w:t>
            </w:r>
          </w:p>
          <w:p w14:paraId="0A11EAFB"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2. Prezes UKE po przyznaniu statusu zaufanego badacza jest uprawniony, w celu oceny spełniania warunków, o których mowa w art. 40 ust. 8 rozporządzenia 2022/2046, do przeprowadzenia czynności sprawdzających u podmiotu, któremu przyznano status zaufanego badacza. Przepisy art. 22j ust. 2 7 stosuje się odpowiednio.</w:t>
            </w:r>
          </w:p>
          <w:p w14:paraId="6C704864"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3. Przed zakończeniem postępowania dotyczącego zakończenia dostępu, o którym mowa w art. 40 ust. 8 rozporządzenia 2022/2065, i </w:t>
            </w:r>
            <w:r w:rsidRPr="00E52CF0">
              <w:rPr>
                <w:rFonts w:ascii="Times New Roman" w:eastAsia="Times New Roman" w:hAnsi="Times New Roman" w:cs="Times New Roman"/>
                <w:sz w:val="24"/>
                <w:szCs w:val="24"/>
                <w:lang w:eastAsia="pl-PL"/>
              </w:rPr>
              <w:lastRenderedPageBreak/>
              <w:t>wydaniem decyzji o cofnięciu statusu zweryfikowanego badacza, Prezes UKE umożliwia zweryfikowanemu badaczowi ustosunkowanie się do ustaleń dokonanych w toku czynności sprawdzających i zamiaru cofnięcia statusu zweryfikowanego badacza, w terminie 14 dni od dnia doręczenia mu informacji o wynikach czynności sprawdzających i zamiarze cofnięcia statusu zweryfikowanego badacza.</w:t>
            </w:r>
          </w:p>
          <w:p w14:paraId="2A9620C9"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4. Od decyzji Prezesa UKE, o których mowa w art. 22y i art. 22z ust. 1, przysługuje skarga do sądu administracyjnego.</w:t>
            </w:r>
          </w:p>
          <w:p w14:paraId="181A205B" w14:textId="4DD2720C" w:rsidR="00C20292" w:rsidRPr="007E1E2C"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lastRenderedPageBreak/>
              <w:t>5. O wydanej decyzji, o której mowa w ust. 1, Prezes UKE informuje zainteresowanego dostawcę bardzo dużej platformy internetowej lub bardzo dużej wyszukiwarki internetowej oraz cofa wniosek, o którym mowa w art. 40 ust. 4 rozporządzenia 2022/2065, skierowany do takiego dostawcy.</w:t>
            </w:r>
          </w:p>
        </w:tc>
        <w:tc>
          <w:tcPr>
            <w:tcW w:w="817" w:type="pct"/>
            <w:tcBorders>
              <w:top w:val="outset" w:sz="6" w:space="0" w:color="auto"/>
              <w:left w:val="outset" w:sz="6" w:space="0" w:color="auto"/>
              <w:bottom w:val="outset" w:sz="6" w:space="0" w:color="auto"/>
              <w:right w:val="outset" w:sz="6" w:space="0" w:color="auto"/>
            </w:tcBorders>
            <w:vAlign w:val="center"/>
          </w:tcPr>
          <w:p w14:paraId="3D580E23"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7E1E2C" w14:paraId="5B435CF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EC38F00"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41</w:t>
            </w:r>
          </w:p>
        </w:tc>
        <w:tc>
          <w:tcPr>
            <w:tcW w:w="1650" w:type="pct"/>
            <w:tcBorders>
              <w:top w:val="outset" w:sz="6" w:space="0" w:color="auto"/>
              <w:left w:val="outset" w:sz="6" w:space="0" w:color="auto"/>
              <w:bottom w:val="outset" w:sz="6" w:space="0" w:color="auto"/>
              <w:right w:val="outset" w:sz="6" w:space="0" w:color="auto"/>
            </w:tcBorders>
            <w:vAlign w:val="center"/>
          </w:tcPr>
          <w:p w14:paraId="6F51C42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1. Dostawcy bardzo dużych platform internetowych lub bardzo dużych wyszukiwarek internetowych ustanawiają komórkę nadzoru przestrzegania niniejszego rozporządzenia, która jest niezależna od ich komórek operacyjnych i składa się z co najmniej jednego pracownika ds. nadzoru przestrzegania niniejszego rozporządzenia, w tym kierownika komórki nadzoru przestrzegania niniejszego rozporządzenia. Ta komórka nadzoru przestrzegania niniejszego rozporządzenia musi mieć wystarczające uprawnienia, status i zasoby, a także dostęp do organu zarządzającego dostawcy bardzo dużej platformy internetowej lub bardzo dużej wyszukiwarki internetowej, aby </w:t>
            </w:r>
            <w:r w:rsidRPr="00C20292">
              <w:rPr>
                <w:rFonts w:ascii="Times New Roman" w:eastAsia="Times New Roman" w:hAnsi="Times New Roman" w:cs="Times New Roman"/>
                <w:bCs/>
                <w:sz w:val="24"/>
                <w:szCs w:val="24"/>
                <w:lang w:eastAsia="pl-PL"/>
              </w:rPr>
              <w:lastRenderedPageBreak/>
              <w:t>monitorować przestrzeganie przez tego dostawcę niniejszego rozporządzenia.</w:t>
            </w:r>
          </w:p>
          <w:p w14:paraId="2EDEB4C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6" w:name="mip65353017"/>
            <w:bookmarkEnd w:id="316"/>
            <w:r w:rsidRPr="00C20292">
              <w:rPr>
                <w:rFonts w:ascii="Times New Roman" w:eastAsia="Times New Roman" w:hAnsi="Times New Roman" w:cs="Times New Roman"/>
                <w:bCs/>
                <w:sz w:val="24"/>
                <w:szCs w:val="24"/>
                <w:lang w:eastAsia="pl-PL"/>
              </w:rPr>
              <w:t>2. Organ zarządzający dostawcy bardzo dużej platformy internetowej lub bardzo dużej wyszukiwarki internetowej zapewniają, aby pracownicy ds. nadzoru przestrzegania niniejszego rozporządzenia mieli kwalifikacje zawodowe, wiedzę, doświadczenie i umiejętności niezbędne do wykonywania zadań, o których mowa w ust. 3.</w:t>
            </w:r>
          </w:p>
          <w:p w14:paraId="30CA218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Organ zarządzający dostawcy bardzo dużej platformy internetowej lub bardzo dużej wyszukiwarki internetowej zapewnia, aby kierownik komórki nadzoru przestrzegania niniejszego rozporządzenia był niezależnym członkiem kierownictwa wyższego szczebla, któremu wyraźnie powierzono odpowiedzialność za tę komórkę.</w:t>
            </w:r>
          </w:p>
          <w:p w14:paraId="55749C0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Kierownik komórki nadzoru przestrzegania niniejszego rozporządzenia podlega bezpośrednio organowi zarządzającemu dostawcy bardzo dużej platformy internetowej lub bardzo dużej wyszukiwarki internetowej i może zgłaszać obawy i ostrzegać ten organ, w przypadku gdy ryzyko, o którym mowa w art. 34, lub nieprzestrzeganie przepisów niniejszego rozporządzenia wpływa lub może wpłynąć na dostawcę bardzo dużej platformy internetowej lub bardzo dużej wyszukiwarki internetowej, bez uszczerbku dla obowiązków organu zarządzającego w ramach jego funkcji nadzorczych i zarządczych.</w:t>
            </w:r>
          </w:p>
          <w:p w14:paraId="7592483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Kierownik komórki nadzoru przestrzegania niniejszego rozporządzenia nie może zostać odwołany bez uprzedniej zgody organu zarządzającego dostawcy </w:t>
            </w:r>
            <w:r w:rsidRPr="00C20292">
              <w:rPr>
                <w:rFonts w:ascii="Times New Roman" w:eastAsia="Times New Roman" w:hAnsi="Times New Roman" w:cs="Times New Roman"/>
                <w:bCs/>
                <w:sz w:val="24"/>
                <w:szCs w:val="24"/>
                <w:lang w:eastAsia="pl-PL"/>
              </w:rPr>
              <w:lastRenderedPageBreak/>
              <w:t>bardzo dużej platformy internetowej lub bardzo dużej wyszukiwarki internetowej.</w:t>
            </w:r>
          </w:p>
          <w:p w14:paraId="07E8CB4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7" w:name="mip65353018"/>
            <w:bookmarkEnd w:id="317"/>
            <w:r w:rsidRPr="00C20292">
              <w:rPr>
                <w:rFonts w:ascii="Times New Roman" w:eastAsia="Times New Roman" w:hAnsi="Times New Roman" w:cs="Times New Roman"/>
                <w:bCs/>
                <w:sz w:val="24"/>
                <w:szCs w:val="24"/>
                <w:lang w:eastAsia="pl-PL"/>
              </w:rPr>
              <w:t>3. Zadania pracowników ds. nadzoru przestrzegania niniejszego rozporządzenia są następujące:</w:t>
            </w:r>
          </w:p>
          <w:p w14:paraId="08CC56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8" w:name="mip65353020"/>
            <w:bookmarkEnd w:id="318"/>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współpraca z koordynatorem ds. usług cyfrowych właściwym dla miejsca siedziby i Komisją do celów niniejszego rozporządzenia;</w:t>
            </w:r>
          </w:p>
          <w:p w14:paraId="220E7EC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9" w:name="mip65353021"/>
            <w:bookmarkEnd w:id="319"/>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zapewnianie, aby wszystkie rodzaje ryzyka, o których mowa w art. 34, były identyfikowane i właściwie zgłaszane oraz by podejmowane były racjonalne, proporcjonalne i skuteczne środki zmniejszające ryzyko na podstawie art. 35;</w:t>
            </w:r>
          </w:p>
          <w:p w14:paraId="21225F6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0" w:name="mip65353022"/>
            <w:bookmarkEnd w:id="320"/>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organizacja działań dostawcy bardzo dużej platformy internetowej lub bardzo dużej wyszukiwarki internetowej związanych z niezależnym audytem na podstawie art. 37 oraz nadzór nad tymi działaniami;</w:t>
            </w:r>
          </w:p>
          <w:p w14:paraId="3EB2B45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1" w:name="mip65353023"/>
            <w:bookmarkEnd w:id="321"/>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przekazywanie informacji i doradzanie kierownictwu i pracownikom dostawcy bardzo dużej platformy internetowej lub bardzo dużej wyszukiwarki internetowej w odniesieniu do obowiązków spoczywających na nim na mocy niniejszego rozporządzenia;</w:t>
            </w:r>
          </w:p>
          <w:p w14:paraId="68BDDAE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2" w:name="mip65353024"/>
            <w:bookmarkEnd w:id="322"/>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monitorowanie wypełniania przez dostawcę bardzo dużej platformy internetowej lub bardzo dużej wyszukiwarki internetowej obowiązków spoczywających na nim na mocy niniejszego rozporządzenia;</w:t>
            </w:r>
          </w:p>
          <w:p w14:paraId="5683B39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3" w:name="mip65353025"/>
            <w:bookmarkEnd w:id="323"/>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 xml:space="preserve">w stosownych przypadkach, monitorowanie wypełniania przez dostawcę bardzo dużej platformy internetowej lub bardzo dużej wyszukiwarki internetowej zobowiązań podjętych na mocy kodeksów </w:t>
            </w:r>
            <w:r w:rsidRPr="00C20292">
              <w:rPr>
                <w:rFonts w:ascii="Times New Roman" w:eastAsia="Times New Roman" w:hAnsi="Times New Roman" w:cs="Times New Roman"/>
                <w:bCs/>
                <w:sz w:val="24"/>
                <w:szCs w:val="24"/>
                <w:lang w:eastAsia="pl-PL"/>
              </w:rPr>
              <w:lastRenderedPageBreak/>
              <w:t>postępowania zgodnie z art. 45 i 46 lub protokołów kryzysowych zgodnie z art. 48.</w:t>
            </w:r>
          </w:p>
          <w:p w14:paraId="158CD83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4" w:name="mip65353026"/>
            <w:bookmarkEnd w:id="324"/>
            <w:r w:rsidRPr="00C20292">
              <w:rPr>
                <w:rFonts w:ascii="Times New Roman" w:eastAsia="Times New Roman" w:hAnsi="Times New Roman" w:cs="Times New Roman"/>
                <w:bCs/>
                <w:sz w:val="24"/>
                <w:szCs w:val="24"/>
                <w:lang w:eastAsia="pl-PL"/>
              </w:rPr>
              <w:t>4. Dostawcy bardzo dużych platform internetowych lub bardzo dużych wyszukiwarek internetowych przekazują koordynatorowi ds. usług cyfrowych właściwemu dla miejsca siedziby i Komisji imię i nazwisko oraz dane kontaktowe kierownika komórki nadzoru przestrzegania niniejszego rozporządzenia.</w:t>
            </w:r>
          </w:p>
          <w:p w14:paraId="574F3FD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5" w:name="mip65353027"/>
            <w:bookmarkEnd w:id="325"/>
            <w:r w:rsidRPr="00C20292">
              <w:rPr>
                <w:rFonts w:ascii="Times New Roman" w:eastAsia="Times New Roman" w:hAnsi="Times New Roman" w:cs="Times New Roman"/>
                <w:bCs/>
                <w:sz w:val="24"/>
                <w:szCs w:val="24"/>
                <w:lang w:eastAsia="pl-PL"/>
              </w:rPr>
              <w:t>5. Organ zarządzający dostawcy bardzo dużej platformy internetowej lub bardzo dużej wyszukiwarki internetowej określa i nadzoruje ustalenia w zakresie zarządzania dostawcy, które zapewniają niezależność komórki nadzoru przestrzegania niniejszego rozporządzenia, w tym podział obowiązków w organizacji dostawcy bardzo dużej platformy internetowej lub bardzo dużej wyszukiwarki internetowej, zapobieganie konfliktom interesów oraz należyte zarządzanie ryzykiem systemowym zidentyfikowanym zgodnie z art. 34, oraz odpowiada za wdrażanie tych rozwiązań.</w:t>
            </w:r>
          </w:p>
          <w:p w14:paraId="165226F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6" w:name="mip65353028"/>
            <w:bookmarkEnd w:id="326"/>
            <w:r w:rsidRPr="00C20292">
              <w:rPr>
                <w:rFonts w:ascii="Times New Roman" w:eastAsia="Times New Roman" w:hAnsi="Times New Roman" w:cs="Times New Roman"/>
                <w:bCs/>
                <w:sz w:val="24"/>
                <w:szCs w:val="24"/>
                <w:lang w:eastAsia="pl-PL"/>
              </w:rPr>
              <w:t>6. Organ zarządzający zatwierdza i poddaje okresowemu przeglądowi, co najmniej raz w roku, strategie i polityki w zakresie podejmowania ryzyka zidentyfikowanego zgodnie z art. 34, na które jest lub może być narażona bardzo duża platforma internetowa lub bardzo duża wyszukiwarka internetowa, w zakresie zarządzania tym ryzykiem, jego monitorowania i zmniejszania.</w:t>
            </w:r>
          </w:p>
          <w:p w14:paraId="68AD296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7" w:name="mip65353029"/>
            <w:bookmarkEnd w:id="327"/>
            <w:r w:rsidRPr="00C20292">
              <w:rPr>
                <w:rFonts w:ascii="Times New Roman" w:eastAsia="Times New Roman" w:hAnsi="Times New Roman" w:cs="Times New Roman"/>
                <w:bCs/>
                <w:sz w:val="24"/>
                <w:szCs w:val="24"/>
                <w:lang w:eastAsia="pl-PL"/>
              </w:rPr>
              <w:t xml:space="preserve">7. Organ zarządzający poświęca wystarczająco dużo czasu na rozważenie środków związanych z zarządzaniem ryzykiem. Aktywnie uczestniczy on w podejmowaniu decyzji związanych z zarządzaniem </w:t>
            </w:r>
            <w:r w:rsidRPr="00C20292">
              <w:rPr>
                <w:rFonts w:ascii="Times New Roman" w:eastAsia="Times New Roman" w:hAnsi="Times New Roman" w:cs="Times New Roman"/>
                <w:bCs/>
                <w:sz w:val="24"/>
                <w:szCs w:val="24"/>
                <w:lang w:eastAsia="pl-PL"/>
              </w:rPr>
              <w:lastRenderedPageBreak/>
              <w:t>ryzykiem i zapewnia przeznaczenie odpowiednich zasobów na zarządzanie ryzykiem zidentyfikowanym zgodnie z art. 34.</w:t>
            </w:r>
          </w:p>
          <w:p w14:paraId="561AD25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E04906C"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25753E"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80FCEF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1830AD5"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616C1C1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251D2BC"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42</w:t>
            </w:r>
          </w:p>
        </w:tc>
        <w:tc>
          <w:tcPr>
            <w:tcW w:w="1650" w:type="pct"/>
            <w:tcBorders>
              <w:top w:val="outset" w:sz="6" w:space="0" w:color="auto"/>
              <w:left w:val="outset" w:sz="6" w:space="0" w:color="auto"/>
              <w:bottom w:val="outset" w:sz="6" w:space="0" w:color="auto"/>
              <w:right w:val="outset" w:sz="6" w:space="0" w:color="auto"/>
            </w:tcBorders>
            <w:vAlign w:val="center"/>
          </w:tcPr>
          <w:p w14:paraId="580E44D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Dostawcy bardzo dużych platform internetowych lub bardzo dużych wyszukiwarek internetowych publikują sprawozdania, o których mowa w art. 15, najpóźniej dwa miesiące od dnia rozpoczęcia stosowania, o którym mowa w art. 33 ust. 6 akapit drugi, a następnie co najmniej co sześć miesięcy.</w:t>
            </w:r>
          </w:p>
          <w:p w14:paraId="367313E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8" w:name="mip65353032"/>
            <w:bookmarkEnd w:id="328"/>
            <w:r w:rsidRPr="00C20292">
              <w:rPr>
                <w:rFonts w:ascii="Times New Roman" w:eastAsia="Times New Roman" w:hAnsi="Times New Roman" w:cs="Times New Roman"/>
                <w:bCs/>
                <w:sz w:val="24"/>
                <w:szCs w:val="24"/>
                <w:lang w:eastAsia="pl-PL"/>
              </w:rPr>
              <w:t>2. W sprawozdaniach, o których mowa w ust. 1 niniejszego artykułu, publikowanych przez dostawców bardzo dużych platform internetowych oprócz informacji, o których mowa w art. 15 i art. 24 ust. 1, określa się:</w:t>
            </w:r>
          </w:p>
          <w:p w14:paraId="77CFD9D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9" w:name="mip65353034"/>
            <w:bookmarkEnd w:id="329"/>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zasoby ludzkie, które dostawca bardzo dużych platform internetowych przeznacza na moderowanie treści w odniesieniu do usługi oferowanej w Unii, w podziale na każdy właściwy język urzędowy państw członkowskich, w tym na wypełnianie obowiązków określonych w art. 16 i 22, a także na wypełnianie obowiązków określonych w art. 20;</w:t>
            </w:r>
          </w:p>
          <w:p w14:paraId="7BE5D5A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0" w:name="mip65353035"/>
            <w:bookmarkEnd w:id="330"/>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kwalifikacje i znajomość języków osób wykonujących działania, o których mowa w lit. a), a także szkolenia i wsparcie udzielane takim pracownikom;</w:t>
            </w:r>
          </w:p>
          <w:p w14:paraId="3B42C7A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1" w:name="mip65353036"/>
            <w:bookmarkEnd w:id="331"/>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wskaźniki dokładności i powiązane informacje, o których mowa w art. 15 ust. 1 lit. e), w podziale na każdy język urzędowy państw członkowskich.</w:t>
            </w:r>
          </w:p>
          <w:p w14:paraId="0BF1427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2" w:name="mip65353037"/>
            <w:bookmarkEnd w:id="332"/>
            <w:r w:rsidRPr="00C20292">
              <w:rPr>
                <w:rFonts w:ascii="Times New Roman" w:eastAsia="Times New Roman" w:hAnsi="Times New Roman" w:cs="Times New Roman"/>
                <w:bCs/>
                <w:sz w:val="24"/>
                <w:szCs w:val="24"/>
                <w:lang w:eastAsia="pl-PL"/>
              </w:rPr>
              <w:t>Sprawozdania są publikowane w co najmniej jednym z języków urzędowych państw członkowskich.</w:t>
            </w:r>
          </w:p>
          <w:p w14:paraId="41903E1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3" w:name="mip65353038"/>
            <w:bookmarkEnd w:id="333"/>
            <w:r w:rsidRPr="00C20292">
              <w:rPr>
                <w:rFonts w:ascii="Times New Roman" w:eastAsia="Times New Roman" w:hAnsi="Times New Roman" w:cs="Times New Roman"/>
                <w:bCs/>
                <w:sz w:val="24"/>
                <w:szCs w:val="24"/>
                <w:lang w:eastAsia="pl-PL"/>
              </w:rPr>
              <w:lastRenderedPageBreak/>
              <w:t>3. Oprócz informacji, o których mowa w art. 24 ust. 2, dostawcy bardzo dużych platform internetowych lub bardzo dużych wyszukiwarek internetowych zamieszczają w sprawozdaniach, o których mowa w ust. 1 niniejszego artykułu, informacje na temat średniej miesięcznie liczby odbiorców usługi w każdym państwie członkowskim.</w:t>
            </w:r>
          </w:p>
          <w:p w14:paraId="55AB47F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4" w:name="mip65353039"/>
            <w:bookmarkEnd w:id="334"/>
            <w:r w:rsidRPr="00C20292">
              <w:rPr>
                <w:rFonts w:ascii="Times New Roman" w:eastAsia="Times New Roman" w:hAnsi="Times New Roman" w:cs="Times New Roman"/>
                <w:bCs/>
                <w:sz w:val="24"/>
                <w:szCs w:val="24"/>
                <w:lang w:eastAsia="pl-PL"/>
              </w:rPr>
              <w:t>4. Dostawcy bardzo dużych platform internetowych lub bardzo dużych wyszukiwarek internetowych przekazują koordynatorowi ds. usług cyfrowych właściwemu dla miejsca siedziby i Komisji bez zbędnej zwłoki po zakończeniu oraz podają do wiadomości publicznej najpóźniej trzy miesiące od otrzymania każdego ze sprawozdań z audytu zgodnie z art. 37 ust. 4:</w:t>
            </w:r>
          </w:p>
          <w:p w14:paraId="26F54E8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5" w:name="mip65353041"/>
            <w:bookmarkEnd w:id="335"/>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sprawozdanie zawierające wyniki oceny ryzyka przeprowadzonej zgodnie z art. 34;</w:t>
            </w:r>
          </w:p>
          <w:p w14:paraId="2BD2BC4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6" w:name="mip65353042"/>
            <w:bookmarkEnd w:id="336"/>
            <w:r w:rsidRPr="00C20292">
              <w:rPr>
                <w:rFonts w:ascii="Times New Roman" w:eastAsia="Times New Roman" w:hAnsi="Times New Roman" w:cs="Times New Roman"/>
                <w:bCs/>
                <w:sz w:val="24"/>
                <w:szCs w:val="24"/>
                <w:lang w:eastAsia="pl-PL"/>
              </w:rPr>
              <w:t>b)szczególne środki zmniejszające ryzyko wprowadzone zgodnie z art. 35 ust. 1;</w:t>
            </w:r>
          </w:p>
          <w:p w14:paraId="4E8CE55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7" w:name="mip65353043"/>
            <w:bookmarkEnd w:id="337"/>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sprawozdanie z audytu przewidziane w art. 37 ust. 4;</w:t>
            </w:r>
          </w:p>
          <w:p w14:paraId="0E46879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8" w:name="mip65353044"/>
            <w:bookmarkEnd w:id="338"/>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sprawozdanie z realizacji audytu przewidziane w art. 37 ust. 6;</w:t>
            </w:r>
          </w:p>
          <w:p w14:paraId="42CC1E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9" w:name="mip65353045"/>
            <w:bookmarkEnd w:id="339"/>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stosownych przypadkach informacje na temat konsultacji przeprowadzonych przez dostawcę w celu wsparcia ocen ryzyka i opracowania środków zmniejszających ryzyko.</w:t>
            </w:r>
          </w:p>
          <w:p w14:paraId="2BB021F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0" w:name="mip65353046"/>
            <w:bookmarkEnd w:id="340"/>
            <w:r w:rsidRPr="00C20292">
              <w:rPr>
                <w:rFonts w:ascii="Times New Roman" w:eastAsia="Times New Roman" w:hAnsi="Times New Roman" w:cs="Times New Roman"/>
                <w:bCs/>
                <w:sz w:val="24"/>
                <w:szCs w:val="24"/>
                <w:lang w:eastAsia="pl-PL"/>
              </w:rPr>
              <w:t xml:space="preserve">5. W przypadku gdy dostawca bardzo dużej platformy internetowej lub bardzo dużej wyszukiwarki internetowej uważa, że opublikowanie informacji na podstawie ust. 4 może spowodować ujawnienie informacji poufnych tego dostawcy lub odbiorców usługi, prowadzić do znacznych luk w zakresie bezpieczeństwa usługi świadczonej przez tę platformę, </w:t>
            </w:r>
            <w:r w:rsidRPr="00C20292">
              <w:rPr>
                <w:rFonts w:ascii="Times New Roman" w:eastAsia="Times New Roman" w:hAnsi="Times New Roman" w:cs="Times New Roman"/>
                <w:bCs/>
                <w:sz w:val="24"/>
                <w:szCs w:val="24"/>
                <w:lang w:eastAsia="pl-PL"/>
              </w:rPr>
              <w:lastRenderedPageBreak/>
              <w:t>stworzyć zagrożenie dla bezpieczeństwa publicznego lub zaszkodzić odbiorcom, dostawca może usunąć takie informacje z publicznie dostępnych sprawozdań. W takim przypadku dostawca przekazuje koordynatorowi ds. usług cyfrowych właściwemu dla miejsca siedziby i Komisji kompletne sprawozdania, którym towarzyszy uzasadnienie usunięcia tych informacji z publicznie dostępnych sprawozdań.</w:t>
            </w:r>
          </w:p>
          <w:p w14:paraId="1F12B4A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BA8400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AE426F"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83784FF"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4F62166"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63751FC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B7DCC76"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43</w:t>
            </w:r>
          </w:p>
        </w:tc>
        <w:tc>
          <w:tcPr>
            <w:tcW w:w="1650" w:type="pct"/>
            <w:tcBorders>
              <w:top w:val="outset" w:sz="6" w:space="0" w:color="auto"/>
              <w:left w:val="outset" w:sz="6" w:space="0" w:color="auto"/>
              <w:bottom w:val="outset" w:sz="6" w:space="0" w:color="auto"/>
              <w:right w:val="outset" w:sz="6" w:space="0" w:color="auto"/>
            </w:tcBorders>
            <w:vAlign w:val="center"/>
          </w:tcPr>
          <w:p w14:paraId="7419903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pobiera od dostawców bardzo dużych platform internetowych i bardzo dużych wyszukiwarek internetowych roczną opłatę nadzorczą po ich wskazaniu zgodnie z art. 33.</w:t>
            </w:r>
          </w:p>
          <w:p w14:paraId="13BFC8B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1" w:name="mip65353049"/>
            <w:bookmarkEnd w:id="341"/>
            <w:r w:rsidRPr="00C20292">
              <w:rPr>
                <w:rFonts w:ascii="Times New Roman" w:eastAsia="Times New Roman" w:hAnsi="Times New Roman" w:cs="Times New Roman"/>
                <w:bCs/>
                <w:sz w:val="24"/>
                <w:szCs w:val="24"/>
                <w:lang w:eastAsia="pl-PL"/>
              </w:rPr>
              <w:t>2. Całkowita kwota rocznych opłat nadzorczych pokrywa szacunkowe koszty, jakie Komisja ponosi w związku z wykonywaniem zadań nadzorczych wynikających z niniejszego rozporządzenia, w szczególności koszty związane ze wskazaniem zgodnie z art. 33, z utworzeniem, utrzymywaniem i funkcjonowaniem bazy danych zgodnie z art. 24 ust. 5 oraz z systemem wymiany informacji zgodnie z art. 85, ze skierowaniem sprawy do Komisji zgodnie z art. 59, ze wspieraniem Rady Usług Cyfrowych zgodnie z art. 62 oraz z zadaniami nadzorczymi zgodnie z art. 56 i rozdziałem IV sekcja 4.</w:t>
            </w:r>
          </w:p>
          <w:p w14:paraId="3F8493E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2" w:name="mip65353050"/>
            <w:bookmarkEnd w:id="342"/>
            <w:r w:rsidRPr="00C20292">
              <w:rPr>
                <w:rFonts w:ascii="Times New Roman" w:eastAsia="Times New Roman" w:hAnsi="Times New Roman" w:cs="Times New Roman"/>
                <w:bCs/>
                <w:sz w:val="24"/>
                <w:szCs w:val="24"/>
                <w:lang w:eastAsia="pl-PL"/>
              </w:rPr>
              <w:t>3. Opłatę nadzorczą pobiera się rocznie od dostawców bardzo dużych platform internetowych i bardzo dużych wyszukiwarek internetowych za każdą usługę, w odniesieniu do której zostali oni wskazani zgodnie z art. 33.</w:t>
            </w:r>
          </w:p>
          <w:p w14:paraId="5C2B33A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lastRenderedPageBreak/>
              <w:t>Komisja przyjmuje akty wykonawcze określające wysokość rocznej opłaty nadzorczej w odniesieniu do każdego dostawcy bardzo dużej platformy internetowej lub bardzo dużej wyszukiwarki internetowej. Przyjmując te akty wykonawcze Komisja stosuje metodykę ustanowioną w aktach delegowanych, o których mowa w ust. 4 niniejszego artykułu i przestrzega zasad ustanowionych w ust. 5 niniejszego artykułu. Te akty wykonawcze przyjmuje się zgodnie z procedurą doradczą, o której mowa w art. 88.</w:t>
            </w:r>
          </w:p>
          <w:p w14:paraId="006957A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3" w:name="mip65353051"/>
            <w:bookmarkEnd w:id="343"/>
            <w:r w:rsidRPr="00C20292">
              <w:rPr>
                <w:rFonts w:ascii="Times New Roman" w:eastAsia="Times New Roman" w:hAnsi="Times New Roman" w:cs="Times New Roman"/>
                <w:bCs/>
                <w:sz w:val="24"/>
                <w:szCs w:val="24"/>
                <w:lang w:eastAsia="pl-PL"/>
              </w:rPr>
              <w:t>4. Komisja przyjmuje akty delegowane zgodnie z art. 87 ustanawiające szczegółową metodykę i procedury dotyczące:</w:t>
            </w:r>
          </w:p>
          <w:p w14:paraId="6453535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4" w:name="mip65353053"/>
            <w:bookmarkEnd w:id="344"/>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określenia szacunkowych kosztów, o których mowa w ust. 2;</w:t>
            </w:r>
          </w:p>
          <w:p w14:paraId="6BB01B1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5" w:name="mip65353054"/>
            <w:bookmarkEnd w:id="345"/>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określenia indywidualnych rocznych opłat nadzorczych, o których mowa w ust. 5 lit. b) i c);</w:t>
            </w:r>
          </w:p>
          <w:p w14:paraId="5E0D748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6" w:name="mip65353055"/>
            <w:bookmarkEnd w:id="346"/>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określenia maksymalnego ogólnego limitu, o którym mowa w ust. 5 lit. c); oraz</w:t>
            </w:r>
          </w:p>
          <w:p w14:paraId="453CAAC6" w14:textId="77777777" w:rsidR="00C20292" w:rsidRPr="00C20292" w:rsidRDefault="007E1E2C" w:rsidP="00C20292">
            <w:pPr>
              <w:spacing w:after="0" w:line="240" w:lineRule="auto"/>
              <w:rPr>
                <w:rFonts w:ascii="Times New Roman" w:eastAsia="Times New Roman" w:hAnsi="Times New Roman" w:cs="Times New Roman"/>
                <w:bCs/>
                <w:sz w:val="24"/>
                <w:szCs w:val="24"/>
                <w:lang w:eastAsia="pl-PL"/>
              </w:rPr>
            </w:pPr>
            <w:bookmarkStart w:id="347" w:name="mip65353056"/>
            <w:bookmarkEnd w:id="347"/>
            <w:r>
              <w:rPr>
                <w:rFonts w:ascii="Times New Roman" w:eastAsia="Times New Roman" w:hAnsi="Times New Roman" w:cs="Times New Roman"/>
                <w:bCs/>
                <w:sz w:val="24"/>
                <w:szCs w:val="24"/>
                <w:lang w:eastAsia="pl-PL"/>
              </w:rPr>
              <w:t>d)</w:t>
            </w:r>
            <w:r w:rsidR="00C20292" w:rsidRPr="00C20292">
              <w:rPr>
                <w:rFonts w:ascii="Times New Roman" w:eastAsia="Times New Roman" w:hAnsi="Times New Roman" w:cs="Times New Roman"/>
                <w:bCs/>
                <w:sz w:val="24"/>
                <w:szCs w:val="24"/>
                <w:lang w:eastAsia="pl-PL"/>
              </w:rPr>
              <w:t> szczegółowych ustaleń niezbędnych do dokonywania płatności.</w:t>
            </w:r>
          </w:p>
          <w:p w14:paraId="4370433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8" w:name="mip65353057"/>
            <w:bookmarkEnd w:id="348"/>
            <w:r w:rsidRPr="00C20292">
              <w:rPr>
                <w:rFonts w:ascii="Times New Roman" w:eastAsia="Times New Roman" w:hAnsi="Times New Roman" w:cs="Times New Roman"/>
                <w:bCs/>
                <w:sz w:val="24"/>
                <w:szCs w:val="24"/>
                <w:lang w:eastAsia="pl-PL"/>
              </w:rPr>
              <w:t>Przyjmując te akty delegowane Komisja przestrzega zasad ustanowionych w ust. 5 niniejszego artykułu.</w:t>
            </w:r>
          </w:p>
          <w:p w14:paraId="44CECA2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9" w:name="mip65353058"/>
            <w:bookmarkEnd w:id="349"/>
            <w:r w:rsidRPr="00C20292">
              <w:rPr>
                <w:rFonts w:ascii="Times New Roman" w:eastAsia="Times New Roman" w:hAnsi="Times New Roman" w:cs="Times New Roman"/>
                <w:bCs/>
                <w:sz w:val="24"/>
                <w:szCs w:val="24"/>
                <w:lang w:eastAsia="pl-PL"/>
              </w:rPr>
              <w:t>5. Akt wykonawczy, o którym mowa w ust. 3, a także akt delegowany, o którym mowa w ust. 4, muszą być zgodne z następującymi zasadami:</w:t>
            </w:r>
          </w:p>
          <w:p w14:paraId="4C2D1C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0" w:name="mip65353060"/>
            <w:bookmarkEnd w:id="350"/>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przy szacowaniu całkowitej kwoty rocznej opłaty nadzorczej uwzględnia się koszty poniesione w poprzednim roku;</w:t>
            </w:r>
          </w:p>
          <w:p w14:paraId="79A06E1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1" w:name="mip65353061"/>
            <w:bookmarkEnd w:id="351"/>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 xml:space="preserve">roczna opłata nadzorcza jest proporcjonalna do średniej liczby aktywnych miesięcznie odbiorców w Unii w odniesieniu do każdej bardzo dużej platformy </w:t>
            </w:r>
            <w:r w:rsidRPr="00C20292">
              <w:rPr>
                <w:rFonts w:ascii="Times New Roman" w:eastAsia="Times New Roman" w:hAnsi="Times New Roman" w:cs="Times New Roman"/>
                <w:bCs/>
                <w:sz w:val="24"/>
                <w:szCs w:val="24"/>
                <w:lang w:eastAsia="pl-PL"/>
              </w:rPr>
              <w:lastRenderedPageBreak/>
              <w:t>internetowej lub każdej bardzo dużej wyszukiwarki internetowej wskazanej zgodnie z art. 33;</w:t>
            </w:r>
          </w:p>
          <w:p w14:paraId="1AABD80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2" w:name="mip65353062"/>
            <w:bookmarkEnd w:id="352"/>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całkowita kwota rocznej opłaty nadzorczej pobieranej od danego dostawcy bardzo dużej platformy internetowej lub bardzo dużej wyszukiwarki internetowej w żadnym przypadku nie przekracza 0,05 % jego światowego rocznego dochodu netto w poprzednim roku obrotowym.</w:t>
            </w:r>
          </w:p>
          <w:p w14:paraId="4D8B213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3" w:name="mip65353063"/>
            <w:bookmarkEnd w:id="353"/>
            <w:r w:rsidRPr="00C20292">
              <w:rPr>
                <w:rFonts w:ascii="Times New Roman" w:eastAsia="Times New Roman" w:hAnsi="Times New Roman" w:cs="Times New Roman"/>
                <w:bCs/>
                <w:sz w:val="24"/>
                <w:szCs w:val="24"/>
                <w:lang w:eastAsia="pl-PL"/>
              </w:rPr>
              <w:t xml:space="preserve">6. Indywidualne roczne opłaty nadzorcze pobrane zgodnie z ust. 1 niniejszego artykułu stanowią zewnętrzne dochody przeznaczone na określony cel zgodnie z art. 21 ust. 5 rozporządzenia Parlamentu Europejskiego i Rady (UE, </w:t>
            </w:r>
            <w:proofErr w:type="spellStart"/>
            <w:r w:rsidRPr="00C20292">
              <w:rPr>
                <w:rFonts w:ascii="Times New Roman" w:eastAsia="Times New Roman" w:hAnsi="Times New Roman" w:cs="Times New Roman"/>
                <w:bCs/>
                <w:sz w:val="24"/>
                <w:szCs w:val="24"/>
                <w:lang w:eastAsia="pl-PL"/>
              </w:rPr>
              <w:t>Euratom</w:t>
            </w:r>
            <w:proofErr w:type="spellEnd"/>
            <w:r w:rsidRPr="00C20292">
              <w:rPr>
                <w:rFonts w:ascii="Times New Roman" w:eastAsia="Times New Roman" w:hAnsi="Times New Roman" w:cs="Times New Roman"/>
                <w:bCs/>
                <w:sz w:val="24"/>
                <w:szCs w:val="24"/>
                <w:lang w:eastAsia="pl-PL"/>
              </w:rPr>
              <w:t>) 2018/1046 </w:t>
            </w:r>
            <w:hyperlink r:id="rId6" w:history="1">
              <w:r w:rsidRPr="00C20292">
                <w:rPr>
                  <w:rStyle w:val="Hipercze"/>
                  <w:rFonts w:ascii="Times New Roman" w:eastAsia="Times New Roman" w:hAnsi="Times New Roman" w:cs="Times New Roman"/>
                  <w:bCs/>
                  <w:sz w:val="24"/>
                  <w:szCs w:val="24"/>
                  <w:vertAlign w:val="superscript"/>
                  <w:lang w:eastAsia="pl-PL"/>
                </w:rPr>
                <w:t>42)</w:t>
              </w:r>
            </w:hyperlink>
            <w:r w:rsidRPr="00C20292">
              <w:rPr>
                <w:rFonts w:ascii="Times New Roman" w:eastAsia="Times New Roman" w:hAnsi="Times New Roman" w:cs="Times New Roman"/>
                <w:bCs/>
                <w:sz w:val="24"/>
                <w:szCs w:val="24"/>
                <w:lang w:eastAsia="pl-PL"/>
              </w:rPr>
              <w:t>.</w:t>
            </w:r>
          </w:p>
          <w:p w14:paraId="6D8710C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4" w:name="mip65353064"/>
            <w:bookmarkEnd w:id="354"/>
            <w:r w:rsidRPr="00C20292">
              <w:rPr>
                <w:rFonts w:ascii="Times New Roman" w:eastAsia="Times New Roman" w:hAnsi="Times New Roman" w:cs="Times New Roman"/>
                <w:bCs/>
                <w:sz w:val="24"/>
                <w:szCs w:val="24"/>
                <w:lang w:eastAsia="pl-PL"/>
              </w:rPr>
              <w:t>7. Komisja co roku składa Parlamentowi Europejskiemu i Radzie sprawozdanie dotyczące całkowitej kwoty kosztów poniesionych w związku z wykonywaniem zadań wynikających z niniejszego rozporządzenia oraz całkowitej kwoty indywidualnych rocznych opłat nadzorczych pobranych w poprzednim roku.</w:t>
            </w:r>
          </w:p>
          <w:p w14:paraId="719C7B0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B28FE22"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EAA2D8E"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1A253D7"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B771BD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13648C7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F506F4F"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44</w:t>
            </w:r>
          </w:p>
        </w:tc>
        <w:tc>
          <w:tcPr>
            <w:tcW w:w="1650" w:type="pct"/>
            <w:tcBorders>
              <w:top w:val="outset" w:sz="6" w:space="0" w:color="auto"/>
              <w:left w:val="outset" w:sz="6" w:space="0" w:color="auto"/>
              <w:bottom w:val="outset" w:sz="6" w:space="0" w:color="auto"/>
              <w:right w:val="outset" w:sz="6" w:space="0" w:color="auto"/>
            </w:tcBorders>
            <w:vAlign w:val="center"/>
          </w:tcPr>
          <w:p w14:paraId="6BCAD9A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konsultuje się z Radą Usług Cyfrowych oraz wspiera i promuje opracowywanie i wdrażanie dobrowolnych norm ustanawianych przez odpowiednie europejskie i międzynarodowe jednostki normalizacyjne co najmniej w odniesieniu do:</w:t>
            </w:r>
          </w:p>
          <w:p w14:paraId="600CBF1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5" w:name="mip65353069"/>
            <w:bookmarkEnd w:id="355"/>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dokonywania zgłoszeń drogą elektroniczną na podstawie art. 16;</w:t>
            </w:r>
          </w:p>
          <w:p w14:paraId="640BFD6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6" w:name="mip65353070"/>
            <w:bookmarkEnd w:id="356"/>
            <w:r w:rsidRPr="00C20292">
              <w:rPr>
                <w:rFonts w:ascii="Times New Roman" w:eastAsia="Times New Roman" w:hAnsi="Times New Roman" w:cs="Times New Roman"/>
                <w:bCs/>
                <w:sz w:val="24"/>
                <w:szCs w:val="24"/>
                <w:lang w:eastAsia="pl-PL"/>
              </w:rPr>
              <w:t xml:space="preserve">b) norm dotyczących szablonów, projektowania i przetwarzania na potrzeby komunikacji z odbiorcami usługi w sposób przyjazny dla użytkownika w zakresie </w:t>
            </w:r>
            <w:r w:rsidRPr="00C20292">
              <w:rPr>
                <w:rFonts w:ascii="Times New Roman" w:eastAsia="Times New Roman" w:hAnsi="Times New Roman" w:cs="Times New Roman"/>
                <w:bCs/>
                <w:sz w:val="24"/>
                <w:szCs w:val="24"/>
                <w:lang w:eastAsia="pl-PL"/>
              </w:rPr>
              <w:lastRenderedPageBreak/>
              <w:t>ograniczeń wynikających z warunków korzystania z usług i zmian do tych warunków;</w:t>
            </w:r>
          </w:p>
          <w:p w14:paraId="3B05DBD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7" w:name="mip65353071"/>
            <w:bookmarkEnd w:id="357"/>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dokonywania zgłoszeń drogą elektroniczną przez zaufane podmioty sygnalizujące na podstawie art. 22, w tym za pośrednictwem interfejsów programowania aplikacyjnego;</w:t>
            </w:r>
          </w:p>
          <w:p w14:paraId="6ACEDAF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8" w:name="mip65353072"/>
            <w:bookmarkEnd w:id="358"/>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specjalnych interfejsów, w tym interfejsów programowania aplikacyjnego, ułatwiających wypełnianie obowiązków określonych w art. 39 i 40;</w:t>
            </w:r>
          </w:p>
          <w:p w14:paraId="1CB3CB4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9" w:name="mip65353073"/>
            <w:bookmarkEnd w:id="359"/>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audytów bardzo dużych platform internetowych i bardzo dużych wyszukiwarek internetowych zgodnie z art. 37;</w:t>
            </w:r>
          </w:p>
          <w:p w14:paraId="3889C1C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0" w:name="mip65353074"/>
            <w:bookmarkEnd w:id="360"/>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interoperacyjności repozytoriów reklam, o których mowa w art. 39 ust. 2;</w:t>
            </w:r>
          </w:p>
          <w:p w14:paraId="17DAB8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1" w:name="mip65353075"/>
            <w:bookmarkEnd w:id="361"/>
            <w:r w:rsidRPr="00C20292">
              <w:rPr>
                <w:rFonts w:ascii="Times New Roman" w:eastAsia="Times New Roman" w:hAnsi="Times New Roman" w:cs="Times New Roman"/>
                <w:bCs/>
                <w:sz w:val="24"/>
                <w:szCs w:val="24"/>
                <w:lang w:eastAsia="pl-PL"/>
              </w:rPr>
              <w:t>g)</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transmisji danych między pośrednikami reklamowymi w celu wsparcia wypełniania obowiązków w zakresie przejrzystości zgodnie z art. 26 ust. 1 lit. b), c) i d);</w:t>
            </w:r>
          </w:p>
          <w:p w14:paraId="3CE9656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2" w:name="mip65353076"/>
            <w:bookmarkEnd w:id="362"/>
            <w:r w:rsidRPr="00C20292">
              <w:rPr>
                <w:rFonts w:ascii="Times New Roman" w:eastAsia="Times New Roman" w:hAnsi="Times New Roman" w:cs="Times New Roman"/>
                <w:bCs/>
                <w:sz w:val="24"/>
                <w:szCs w:val="24"/>
                <w:lang w:eastAsia="pl-PL"/>
              </w:rPr>
              <w:t>h)</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środków technicznych umożliwiających wypełnianie obowiązków związanych z reklamą, zawartych w niniejszym rozporządzeniu, w tym obowiązków dotyczących widocznych oznaczeń reklam i informacji handlowych, o których mowa w art. 26;</w:t>
            </w:r>
          </w:p>
          <w:p w14:paraId="60E32E3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3" w:name="mip65353077"/>
            <w:bookmarkEnd w:id="363"/>
            <w:r w:rsidRPr="00C20292">
              <w:rPr>
                <w:rFonts w:ascii="Times New Roman" w:eastAsia="Times New Roman" w:hAnsi="Times New Roman" w:cs="Times New Roman"/>
                <w:bCs/>
                <w:sz w:val="24"/>
                <w:szCs w:val="24"/>
                <w:lang w:eastAsia="pl-PL"/>
              </w:rPr>
              <w:t>i)</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wyboru interfejsów i prezentacji informacji na temat głównych parametrów różnych rodzajów systemów rekomendacji, zgodnie z art. 27 i 38;</w:t>
            </w:r>
          </w:p>
          <w:p w14:paraId="067147C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4" w:name="mip65353078"/>
            <w:bookmarkEnd w:id="364"/>
            <w:r w:rsidRPr="00C20292">
              <w:rPr>
                <w:rFonts w:ascii="Times New Roman" w:eastAsia="Times New Roman" w:hAnsi="Times New Roman" w:cs="Times New Roman"/>
                <w:bCs/>
                <w:sz w:val="24"/>
                <w:szCs w:val="24"/>
                <w:lang w:eastAsia="pl-PL"/>
              </w:rPr>
              <w:t>j)</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norm dotyczących ukierunkowanych środków ochrony małoletnich w </w:t>
            </w:r>
            <w:proofErr w:type="spellStart"/>
            <w:r w:rsidRPr="00C20292">
              <w:rPr>
                <w:rFonts w:ascii="Times New Roman" w:eastAsia="Times New Roman" w:hAnsi="Times New Roman" w:cs="Times New Roman"/>
                <w:bCs/>
                <w:sz w:val="24"/>
                <w:szCs w:val="24"/>
                <w:lang w:eastAsia="pl-PL"/>
              </w:rPr>
              <w:t>internecie</w:t>
            </w:r>
            <w:proofErr w:type="spellEnd"/>
            <w:r w:rsidRPr="00C20292">
              <w:rPr>
                <w:rFonts w:ascii="Times New Roman" w:eastAsia="Times New Roman" w:hAnsi="Times New Roman" w:cs="Times New Roman"/>
                <w:bCs/>
                <w:sz w:val="24"/>
                <w:szCs w:val="24"/>
                <w:lang w:eastAsia="pl-PL"/>
              </w:rPr>
              <w:t>.</w:t>
            </w:r>
          </w:p>
          <w:p w14:paraId="42DC706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5" w:name="mip65353079"/>
            <w:bookmarkEnd w:id="365"/>
            <w:r w:rsidRPr="00C20292">
              <w:rPr>
                <w:rFonts w:ascii="Times New Roman" w:eastAsia="Times New Roman" w:hAnsi="Times New Roman" w:cs="Times New Roman"/>
                <w:bCs/>
                <w:sz w:val="24"/>
                <w:szCs w:val="24"/>
                <w:lang w:eastAsia="pl-PL"/>
              </w:rPr>
              <w:t>2. Komisja wspiera aktualizowanie norm w świetle rozwoju technologicznego i </w:t>
            </w:r>
            <w:proofErr w:type="spellStart"/>
            <w:r w:rsidRPr="00C20292">
              <w:rPr>
                <w:rFonts w:ascii="Times New Roman" w:eastAsia="Times New Roman" w:hAnsi="Times New Roman" w:cs="Times New Roman"/>
                <w:bCs/>
                <w:sz w:val="24"/>
                <w:szCs w:val="24"/>
                <w:lang w:eastAsia="pl-PL"/>
              </w:rPr>
              <w:t>zachowań</w:t>
            </w:r>
            <w:proofErr w:type="spellEnd"/>
            <w:r w:rsidRPr="00C20292">
              <w:rPr>
                <w:rFonts w:ascii="Times New Roman" w:eastAsia="Times New Roman" w:hAnsi="Times New Roman" w:cs="Times New Roman"/>
                <w:bCs/>
                <w:sz w:val="24"/>
                <w:szCs w:val="24"/>
                <w:lang w:eastAsia="pl-PL"/>
              </w:rPr>
              <w:t xml:space="preserve"> odbiorców przedmiotowych usług. Odpowiednie informacje </w:t>
            </w:r>
            <w:r w:rsidRPr="00C20292">
              <w:rPr>
                <w:rFonts w:ascii="Times New Roman" w:eastAsia="Times New Roman" w:hAnsi="Times New Roman" w:cs="Times New Roman"/>
                <w:bCs/>
                <w:sz w:val="24"/>
                <w:szCs w:val="24"/>
                <w:lang w:eastAsia="pl-PL"/>
              </w:rPr>
              <w:lastRenderedPageBreak/>
              <w:t>dotyczące aktualizacji norm są publicznie i łatwo dostępne.</w:t>
            </w:r>
          </w:p>
          <w:p w14:paraId="1DD196C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C915AC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3F5571DE"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BFE341B"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221BD35"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4AC398D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36CC45D"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45</w:t>
            </w:r>
          </w:p>
        </w:tc>
        <w:tc>
          <w:tcPr>
            <w:tcW w:w="1650" w:type="pct"/>
            <w:tcBorders>
              <w:top w:val="outset" w:sz="6" w:space="0" w:color="auto"/>
              <w:left w:val="outset" w:sz="6" w:space="0" w:color="auto"/>
              <w:bottom w:val="outset" w:sz="6" w:space="0" w:color="auto"/>
              <w:right w:val="outset" w:sz="6" w:space="0" w:color="auto"/>
            </w:tcBorders>
            <w:vAlign w:val="center"/>
          </w:tcPr>
          <w:p w14:paraId="4EB5DA2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i Rada Usług Cyfrowych wspierają i ułatwiają opracowywanie na poziomie unijnym dobrowolnych kodeksów postępowania, które mają przyczynić się do właściwego stosowania niniejszego rozporządzenia, uwzględniając w szczególności specyficzne wyzwania związane ze zwalczaniem różnych rodzajów nielegalnych treści i ryzyka systemowego, zgodnie z prawem Unii, w szczególności dotyczącymi konkurencji i ochrony danych osobowych.</w:t>
            </w:r>
          </w:p>
          <w:p w14:paraId="318011F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6" w:name="mip65353082"/>
            <w:bookmarkEnd w:id="366"/>
            <w:r w:rsidRPr="00C20292">
              <w:rPr>
                <w:rFonts w:ascii="Times New Roman" w:eastAsia="Times New Roman" w:hAnsi="Times New Roman" w:cs="Times New Roman"/>
                <w:bCs/>
                <w:sz w:val="24"/>
                <w:szCs w:val="24"/>
                <w:lang w:eastAsia="pl-PL"/>
              </w:rPr>
              <w:t>2. W przypadku wystąpienia znaczącego ryzyka systemowego w rozumieniu art. 34 ust. 1 dotyczącego kilku bardzo dużych platform internetowych lub bardzo dużych wyszukiwarek internetowych Komisja może zaprosić zainteresowanych dostawców bardzo dużych platform internetowych lub zainteresowanych dostawców bardzo dużych wyszukiwarek internetowych oraz innych dostawców bardzo dużych platform internetowych, bardzo dużych wyszukiwarek internetowych, platform internetowych i innych usług pośrednich, w stosownych przypadkach, a także odpowiednie właściwe organy, organizacje społeczeństwa obywatelskiego i inne zainteresowane strony do udziału w opracowywaniu kodeksów postępowania, w tym poprzez określenie zobowiązań w zakresie wprowadzania konkretnych środków zmniejszających ryzyko, jak również ram regularnej sprawozdawczości w zakresie wszelkich wprowadzanych środków i ich wyników.</w:t>
            </w:r>
          </w:p>
          <w:p w14:paraId="193E29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7" w:name="mip65353083"/>
            <w:bookmarkEnd w:id="367"/>
            <w:r w:rsidRPr="00C20292">
              <w:rPr>
                <w:rFonts w:ascii="Times New Roman" w:eastAsia="Times New Roman" w:hAnsi="Times New Roman" w:cs="Times New Roman"/>
                <w:bCs/>
                <w:sz w:val="24"/>
                <w:szCs w:val="24"/>
                <w:lang w:eastAsia="pl-PL"/>
              </w:rPr>
              <w:lastRenderedPageBreak/>
              <w:t>3. Wykonując ust. 1 i 2, Komisja i Rada Usług Cyfrowych oraz w stosownym przypadku inne organy dążą do zapewnienia, aby kodeksy postępowania zawierały jasno określono cele szczegółowe, kluczowe wskaźniki skuteczności działania służące do pomiaru stopnia osiągnięcia tych celów oraz aby należycie uwzględniono w nich potrzeby i interesy wszystkich zainteresowanych stron, w szczególności obywateli, na poziomie unijnym. Komisja i Rada Usług Cyfrowych dążą również do zapewnienia, aby uczestnicy regularnie zgłaszali Komisji i swoim odpowiednim koordynatorom ds. usług cyfrowych właściwym dla miejsca siedziby wszelkie wprowadzone środki i ich wyniki mierzone w stosunku do kluczowych wskaźników skuteczności działania przewidzianych w tych środkach. W kluczowych wskaźnikach skuteczności działania i obowiązkach sprawozdawczych uwzględnia się różnice między poszczególnymi uczestnikami pod względem wielkości i zdolności.</w:t>
            </w:r>
          </w:p>
          <w:p w14:paraId="00BFFFD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8" w:name="mip65353084"/>
            <w:bookmarkEnd w:id="368"/>
            <w:r w:rsidRPr="00C20292">
              <w:rPr>
                <w:rFonts w:ascii="Times New Roman" w:eastAsia="Times New Roman" w:hAnsi="Times New Roman" w:cs="Times New Roman"/>
                <w:bCs/>
                <w:sz w:val="24"/>
                <w:szCs w:val="24"/>
                <w:lang w:eastAsia="pl-PL"/>
              </w:rPr>
              <w:t>4. Komisja i Rada Usług Cyfrowych oceniają, czy kodeksy postępowania spełniają cele określone w ust. 1 i 3, oraz regularnie monitorują i oceniają stopień osiągnięcia celów tych kodeksów, z uwzględnieniem kluczowych wskaźników skuteczności działania, które mogą one zawierać. Wnioski z tych działań są podawane do wiadomości publicznej.</w:t>
            </w:r>
          </w:p>
          <w:p w14:paraId="60C5D0C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Komisja i Rada Usług Cyfrowych wspierają i ułatwiają również regularne przeglądy i dostosowania kodeksów postępowania.</w:t>
            </w:r>
          </w:p>
          <w:p w14:paraId="1FE7A36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W przypadku systematycznego nieprzestrzegania kodeksów postępowania Komisja i Rada Usług Cyfrowych mogą zwrócić się do sygnatariuszy </w:t>
            </w:r>
            <w:r w:rsidRPr="00C20292">
              <w:rPr>
                <w:rFonts w:ascii="Times New Roman" w:eastAsia="Times New Roman" w:hAnsi="Times New Roman" w:cs="Times New Roman"/>
                <w:bCs/>
                <w:sz w:val="24"/>
                <w:szCs w:val="24"/>
                <w:lang w:eastAsia="pl-PL"/>
              </w:rPr>
              <w:lastRenderedPageBreak/>
              <w:t>kodeksów postępowania o podjęcie niezbędnych działań.</w:t>
            </w:r>
          </w:p>
          <w:p w14:paraId="1473CF4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9E3A71E"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D8EF8F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0F14DF5"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4487529"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4BB6D5C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CCB15A5"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46</w:t>
            </w:r>
          </w:p>
        </w:tc>
        <w:tc>
          <w:tcPr>
            <w:tcW w:w="1650" w:type="pct"/>
            <w:tcBorders>
              <w:top w:val="outset" w:sz="6" w:space="0" w:color="auto"/>
              <w:left w:val="outset" w:sz="6" w:space="0" w:color="auto"/>
              <w:bottom w:val="outset" w:sz="6" w:space="0" w:color="auto"/>
              <w:right w:val="outset" w:sz="6" w:space="0" w:color="auto"/>
            </w:tcBorders>
            <w:vAlign w:val="center"/>
          </w:tcPr>
          <w:p w14:paraId="260A34D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1. Komisja wspiera i ułatwia opracowywanie dobrowolnych kodeksów postępowania na poziomie unijnym przez dostawców platform internetowych i innych odpowiednich dostawców usług, takich jak dostawcy usług pośrednich w zakresie reklam internetowych, inne podmioty zaangażowane w łańcuch wartości reklamy </w:t>
            </w:r>
            <w:proofErr w:type="spellStart"/>
            <w:r w:rsidRPr="00C20292">
              <w:rPr>
                <w:rFonts w:ascii="Times New Roman" w:eastAsia="Times New Roman" w:hAnsi="Times New Roman" w:cs="Times New Roman"/>
                <w:bCs/>
                <w:sz w:val="24"/>
                <w:szCs w:val="24"/>
                <w:lang w:eastAsia="pl-PL"/>
              </w:rPr>
              <w:t>programatycznej</w:t>
            </w:r>
            <w:proofErr w:type="spellEnd"/>
            <w:r w:rsidRPr="00C20292">
              <w:rPr>
                <w:rFonts w:ascii="Times New Roman" w:eastAsia="Times New Roman" w:hAnsi="Times New Roman" w:cs="Times New Roman"/>
                <w:bCs/>
                <w:sz w:val="24"/>
                <w:szCs w:val="24"/>
                <w:lang w:eastAsia="pl-PL"/>
              </w:rPr>
              <w:t xml:space="preserve"> lub organizacje reprezentujące odbiorców usługi i organizacje społeczeństwa obywatelskiego lub odpowiednie organy w celu przyczynienia się do większej przejrzystości podmiotów w łańcuchu wartości reklamy internetowej, wykraczającej poza wymogi określone w art. 26 i 39.</w:t>
            </w:r>
          </w:p>
          <w:p w14:paraId="709A8E3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9" w:name="mip65353087"/>
            <w:bookmarkEnd w:id="369"/>
            <w:r w:rsidRPr="00C20292">
              <w:rPr>
                <w:rFonts w:ascii="Times New Roman" w:eastAsia="Times New Roman" w:hAnsi="Times New Roman" w:cs="Times New Roman"/>
                <w:bCs/>
                <w:sz w:val="24"/>
                <w:szCs w:val="24"/>
                <w:lang w:eastAsia="pl-PL"/>
              </w:rPr>
              <w:t>2. Komisja dąży do zapewnienia, aby kodeksy postępowania przyczyniały się do skutecznej transmisji informacji, z pełnym poszanowaniem praw i interesów wszystkich zaangażowanych stron, a także do utworzenia konkurencyjnego, przejrzystego i sprawiedliwego środowiska reklam internetowych zgodnie z prawem Unii i prawem krajowym, w szczególności w dziedzinie konkurencji i ochrony prywatności i danych osobowych. Komisja dąży do zapewnienia, aby w kodeksach postępowania uwzględniono co najmniej:</w:t>
            </w:r>
          </w:p>
          <w:p w14:paraId="744E0FC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0" w:name="mip65353089"/>
            <w:bookmarkEnd w:id="370"/>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transmisję informacji będących w posiadaniu dostawców usług pośrednich w zakresie reklam internetowych odbiorcom usługi dotyczącą wymogów określonych w art. 26 ust. 1 lit. b), c) i d);</w:t>
            </w:r>
          </w:p>
          <w:p w14:paraId="71C0D3D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1" w:name="mip65353090"/>
            <w:bookmarkEnd w:id="371"/>
            <w:r w:rsidRPr="00C20292">
              <w:rPr>
                <w:rFonts w:ascii="Times New Roman" w:eastAsia="Times New Roman" w:hAnsi="Times New Roman" w:cs="Times New Roman"/>
                <w:bCs/>
                <w:sz w:val="24"/>
                <w:szCs w:val="24"/>
                <w:lang w:eastAsia="pl-PL"/>
              </w:rPr>
              <w:lastRenderedPageBreak/>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transmisję informacji będących w posiadaniu dostawców usług pośrednich w zakresie reklam internetowych do repozytoriów zgodnie z art. 39;</w:t>
            </w:r>
          </w:p>
          <w:p w14:paraId="0D8C752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2" w:name="mip65353091"/>
            <w:bookmarkEnd w:id="372"/>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 xml:space="preserve">istotne informacje na temat </w:t>
            </w:r>
            <w:proofErr w:type="spellStart"/>
            <w:r w:rsidRPr="00C20292">
              <w:rPr>
                <w:rFonts w:ascii="Times New Roman" w:eastAsia="Times New Roman" w:hAnsi="Times New Roman" w:cs="Times New Roman"/>
                <w:bCs/>
                <w:sz w:val="24"/>
                <w:szCs w:val="24"/>
                <w:lang w:eastAsia="pl-PL"/>
              </w:rPr>
              <w:t>monetyzacji</w:t>
            </w:r>
            <w:proofErr w:type="spellEnd"/>
            <w:r w:rsidRPr="00C20292">
              <w:rPr>
                <w:rFonts w:ascii="Times New Roman" w:eastAsia="Times New Roman" w:hAnsi="Times New Roman" w:cs="Times New Roman"/>
                <w:bCs/>
                <w:sz w:val="24"/>
                <w:szCs w:val="24"/>
                <w:lang w:eastAsia="pl-PL"/>
              </w:rPr>
              <w:t xml:space="preserve"> danych.</w:t>
            </w:r>
          </w:p>
          <w:p w14:paraId="6077A8C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3" w:name="mip65353092"/>
            <w:bookmarkEnd w:id="373"/>
            <w:r w:rsidRPr="00C20292">
              <w:rPr>
                <w:rFonts w:ascii="Times New Roman" w:eastAsia="Times New Roman" w:hAnsi="Times New Roman" w:cs="Times New Roman"/>
                <w:bCs/>
                <w:sz w:val="24"/>
                <w:szCs w:val="24"/>
                <w:lang w:eastAsia="pl-PL"/>
              </w:rPr>
              <w:t>3. Komisja zachęca do opracowania kodeksów postępowania do dnia 18 lutego 2025 r. oraz do rozpoczęcia ich stosowania do dnia 18 sierpnia 2025 r.</w:t>
            </w:r>
          </w:p>
          <w:p w14:paraId="69935A1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4" w:name="mip65353093"/>
            <w:bookmarkEnd w:id="374"/>
            <w:r w:rsidRPr="00C20292">
              <w:rPr>
                <w:rFonts w:ascii="Times New Roman" w:eastAsia="Times New Roman" w:hAnsi="Times New Roman" w:cs="Times New Roman"/>
                <w:bCs/>
                <w:sz w:val="24"/>
                <w:szCs w:val="24"/>
                <w:lang w:eastAsia="pl-PL"/>
              </w:rPr>
              <w:t>4. Komisja zachęca wszystkie podmioty w łańcuchu wartości reklamy internetowej, o którym mowa w ust. 1, do poparcia zobowiązań określonych w kodeksach postępowania i ich wypełniania.</w:t>
            </w:r>
          </w:p>
          <w:p w14:paraId="54F44F9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B9D4963"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C154165"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67A7EC7"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45E963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2F826C1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03382BD"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47</w:t>
            </w:r>
          </w:p>
        </w:tc>
        <w:tc>
          <w:tcPr>
            <w:tcW w:w="1650" w:type="pct"/>
            <w:tcBorders>
              <w:top w:val="outset" w:sz="6" w:space="0" w:color="auto"/>
              <w:left w:val="outset" w:sz="6" w:space="0" w:color="auto"/>
              <w:bottom w:val="outset" w:sz="6" w:space="0" w:color="auto"/>
              <w:right w:val="outset" w:sz="6" w:space="0" w:color="auto"/>
            </w:tcBorders>
            <w:vAlign w:val="center"/>
          </w:tcPr>
          <w:p w14:paraId="132B71E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wspiera i ułatwia opracowywanie kodeksów postępowania na poziomie Unii z udziałem dostawców platform internetowych i innych odpowiednich dostawców usług, organizacji reprezentujących odbiorców usługi oraz organizacji społeczeństwa obywatelskiego lub odpowiednich organów w celu promowania pełnego i skutecznego równego uczestnictwa poprzez poprawę dostępu do usług internetowych, które – poprzez ich początkowy projekt lub późniejsze dostosowanie – uwzględniają szczególne potrzeby osób z niepełnosprawnościami.</w:t>
            </w:r>
          </w:p>
          <w:p w14:paraId="04BCFA8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5" w:name="mip65353096"/>
            <w:bookmarkEnd w:id="375"/>
            <w:r w:rsidRPr="00C20292">
              <w:rPr>
                <w:rFonts w:ascii="Times New Roman" w:eastAsia="Times New Roman" w:hAnsi="Times New Roman" w:cs="Times New Roman"/>
                <w:bCs/>
                <w:sz w:val="24"/>
                <w:szCs w:val="24"/>
                <w:lang w:eastAsia="pl-PL"/>
              </w:rPr>
              <w:t xml:space="preserve">2. Komisja dąży do zapewnienia, aby kodeksy postępowania służyły osiągnięciu celu, jakim jest zapewnienie dostępności tych usług zgodnie z prawem Unii i prawem krajowym, aby zmaksymalizować przewidywalne korzystanie z nich przez osoby z niepełnosprawnościami. Komisja dąży </w:t>
            </w:r>
            <w:r w:rsidRPr="00C20292">
              <w:rPr>
                <w:rFonts w:ascii="Times New Roman" w:eastAsia="Times New Roman" w:hAnsi="Times New Roman" w:cs="Times New Roman"/>
                <w:bCs/>
                <w:sz w:val="24"/>
                <w:szCs w:val="24"/>
                <w:lang w:eastAsia="pl-PL"/>
              </w:rPr>
              <w:lastRenderedPageBreak/>
              <w:t>do zapewnienia, aby w kodeksach postępowania uwzględniono co najmniej następujące cele:</w:t>
            </w:r>
          </w:p>
          <w:p w14:paraId="60E366C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6" w:name="mip65353098"/>
            <w:bookmarkEnd w:id="376"/>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projektowanie i dostosowywanie usług, aby były one dostępne dla osób z niepełnosprawnościami poprzez uczynienie ich dostrzegalnymi, funkcjonalnymi, zrozumiałymi i solidnymi;</w:t>
            </w:r>
          </w:p>
          <w:p w14:paraId="0EE9DAE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7" w:name="mip65353099"/>
            <w:bookmarkEnd w:id="377"/>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wyjaśnianie, w jaki sposób usługi spełniają mające zastosowanie wymogi w zakresie dostępności, oraz podanie tych informacji do wiadomości publicznej w sposób dostępny dla osób z niepełnosprawnościami;</w:t>
            </w:r>
          </w:p>
          <w:p w14:paraId="3C805D4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8" w:name="mip65353100"/>
            <w:bookmarkEnd w:id="378"/>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udostępnianie informacji, formularzy i środków przewidzianych na mocy niniejszego rozporządzenia w sposób umożliwiający ich łatwe znalezienie i zrozumienie oraz dostępny dla osób z niepełnosprawnościami.</w:t>
            </w:r>
          </w:p>
          <w:p w14:paraId="2387934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9" w:name="mip65353101"/>
            <w:bookmarkEnd w:id="379"/>
            <w:r w:rsidRPr="00C20292">
              <w:rPr>
                <w:rFonts w:ascii="Times New Roman" w:eastAsia="Times New Roman" w:hAnsi="Times New Roman" w:cs="Times New Roman"/>
                <w:bCs/>
                <w:sz w:val="24"/>
                <w:szCs w:val="24"/>
                <w:lang w:eastAsia="pl-PL"/>
              </w:rPr>
              <w:t>3. Komisja zachęca do opracowania kodeksów postępowania do dnia 18 lutego 2025 r. oraz do rozpoczęcia ich stosowania do dnia 18 sierpnia 2025 r.</w:t>
            </w:r>
          </w:p>
          <w:p w14:paraId="232A223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26FC238"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347AAC3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12CC970"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E38AE46"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0B0A3D1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978FB08"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48</w:t>
            </w:r>
          </w:p>
        </w:tc>
        <w:tc>
          <w:tcPr>
            <w:tcW w:w="1650" w:type="pct"/>
            <w:tcBorders>
              <w:top w:val="outset" w:sz="6" w:space="0" w:color="auto"/>
              <w:left w:val="outset" w:sz="6" w:space="0" w:color="auto"/>
              <w:bottom w:val="outset" w:sz="6" w:space="0" w:color="auto"/>
              <w:right w:val="outset" w:sz="6" w:space="0" w:color="auto"/>
            </w:tcBorders>
            <w:vAlign w:val="center"/>
          </w:tcPr>
          <w:p w14:paraId="71432B7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Rada Usług Cyfrowych może zalecić Komisji przystąpienie do opracowania dobrowolnych protokołów kryzysowych zgodnie z ust. 2, 3 i 4 w celu przeciwdziałania sytuacjom kryzysowym. Te sytuacje są ściśle ograniczone do nadzwyczajnych okoliczności mających wpływ na bezpieczeństwo publiczne lub zdrowie publiczne.</w:t>
            </w:r>
          </w:p>
          <w:p w14:paraId="38E81C1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0" w:name="mip65353104"/>
            <w:bookmarkEnd w:id="380"/>
            <w:r w:rsidRPr="00C20292">
              <w:rPr>
                <w:rFonts w:ascii="Times New Roman" w:eastAsia="Times New Roman" w:hAnsi="Times New Roman" w:cs="Times New Roman"/>
                <w:bCs/>
                <w:sz w:val="24"/>
                <w:szCs w:val="24"/>
                <w:lang w:eastAsia="pl-PL"/>
              </w:rPr>
              <w:t xml:space="preserve">2. Komisja wspiera i ułatwia uczestnictwo dostawców bardzo dużych platform internetowych, bardzo dużych wyszukiwarek internetowych oraz, w stosownych przypadkach, dostawców innych platform </w:t>
            </w:r>
            <w:r w:rsidRPr="00C20292">
              <w:rPr>
                <w:rFonts w:ascii="Times New Roman" w:eastAsia="Times New Roman" w:hAnsi="Times New Roman" w:cs="Times New Roman"/>
                <w:bCs/>
                <w:sz w:val="24"/>
                <w:szCs w:val="24"/>
                <w:lang w:eastAsia="pl-PL"/>
              </w:rPr>
              <w:lastRenderedPageBreak/>
              <w:t>internetowych lub innych wyszukiwarek internetowych w opracowywaniu, testowaniu i stosowaniu tych protokołów kryzysowych. Komisja dąży do zapewnienia, aby w protokołach kryzysowych przewidziano co najmniej jeden z następujących środków:</w:t>
            </w:r>
          </w:p>
          <w:p w14:paraId="3B8BB6A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1" w:name="mip65353106"/>
            <w:bookmarkEnd w:id="381"/>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wyświetlanie w widoczny sposób informacji na temat sytuacji kryzysowej przekazanych przez organy państw członkowskich lub na poziomie unijnym lub, w zależności od kontekstu kryzysu, przez inne odpowiednie wiarygodne organy;</w:t>
            </w:r>
          </w:p>
          <w:p w14:paraId="79EA823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2" w:name="mip65353107"/>
            <w:bookmarkEnd w:id="382"/>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zapewnienie, aby dostawca usług pośrednich wyznaczył specjalny punkt kontaktowy do celów zarządzania kryzysowego; w stosownych przypadkach może nim być elektroniczny punkt kontaktowy, o którym mowa w art. 11, lub, w przypadku dostawców bardzo dużych platform internetowych lub bardzo dużych wyszukiwarek internetowych – pracownik ds. nadzoru przestrzegania niniejszego rozporządzenia, o którym mowa w art. 41;</w:t>
            </w:r>
          </w:p>
          <w:p w14:paraId="3491C97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3" w:name="mip65353108"/>
            <w:bookmarkEnd w:id="383"/>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stosownych przypadkach dostosowanie zasobów przeznaczonych na zapewnienie wypełniania obowiązków określonych w art. 16, 20, 22, 23 i 35 do potrzeb powstałych w wyniku sytuacji kryzysowej.</w:t>
            </w:r>
          </w:p>
          <w:p w14:paraId="57EA226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4" w:name="mip65353109"/>
            <w:bookmarkEnd w:id="384"/>
            <w:r w:rsidRPr="00C20292">
              <w:rPr>
                <w:rFonts w:ascii="Times New Roman" w:eastAsia="Times New Roman" w:hAnsi="Times New Roman" w:cs="Times New Roman"/>
                <w:bCs/>
                <w:sz w:val="24"/>
                <w:szCs w:val="24"/>
                <w:lang w:eastAsia="pl-PL"/>
              </w:rPr>
              <w:t xml:space="preserve">3. W proces opracowywania, testowania i nadzorowania stosowania protokołów kryzysowych Komisja włącza – w stosownych przypadkach – organy państw członkowskich; może ona także włączyć w ten proces organy i jednostki organizacyjne Unii. W stosownych przypadkach i w razie potrzeby Komisja może również włączyć w proces opracowywania protokołów </w:t>
            </w:r>
            <w:r w:rsidRPr="00C20292">
              <w:rPr>
                <w:rFonts w:ascii="Times New Roman" w:eastAsia="Times New Roman" w:hAnsi="Times New Roman" w:cs="Times New Roman"/>
                <w:bCs/>
                <w:sz w:val="24"/>
                <w:szCs w:val="24"/>
                <w:lang w:eastAsia="pl-PL"/>
              </w:rPr>
              <w:lastRenderedPageBreak/>
              <w:t>kryzysowych organizacje społeczeństwa obywatelskiego lub inne odpowiednie organizacje.</w:t>
            </w:r>
          </w:p>
          <w:p w14:paraId="4C36E3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5" w:name="mip65353110"/>
            <w:bookmarkEnd w:id="385"/>
            <w:r w:rsidRPr="00C20292">
              <w:rPr>
                <w:rFonts w:ascii="Times New Roman" w:eastAsia="Times New Roman" w:hAnsi="Times New Roman" w:cs="Times New Roman"/>
                <w:bCs/>
                <w:sz w:val="24"/>
                <w:szCs w:val="24"/>
                <w:lang w:eastAsia="pl-PL"/>
              </w:rPr>
              <w:t>4. Komisja dąży do zapewnienia, aby w protokołach kryzysowych jasno określono wszystkie następujące elementy:</w:t>
            </w:r>
          </w:p>
          <w:p w14:paraId="70C71D8E" w14:textId="77777777" w:rsidR="00C20292" w:rsidRPr="00C20292" w:rsidRDefault="007E1E2C" w:rsidP="00C20292">
            <w:pPr>
              <w:spacing w:after="0" w:line="240" w:lineRule="auto"/>
              <w:rPr>
                <w:rFonts w:ascii="Times New Roman" w:eastAsia="Times New Roman" w:hAnsi="Times New Roman" w:cs="Times New Roman"/>
                <w:bCs/>
                <w:sz w:val="24"/>
                <w:szCs w:val="24"/>
                <w:lang w:eastAsia="pl-PL"/>
              </w:rPr>
            </w:pPr>
            <w:bookmarkStart w:id="386" w:name="mip65353112"/>
            <w:bookmarkEnd w:id="386"/>
            <w:r>
              <w:rPr>
                <w:rFonts w:ascii="Times New Roman" w:eastAsia="Times New Roman" w:hAnsi="Times New Roman" w:cs="Times New Roman"/>
                <w:bCs/>
                <w:sz w:val="24"/>
                <w:szCs w:val="24"/>
                <w:lang w:eastAsia="pl-PL"/>
              </w:rPr>
              <w:t xml:space="preserve">a) </w:t>
            </w:r>
            <w:r w:rsidR="00C20292" w:rsidRPr="00C20292">
              <w:rPr>
                <w:rFonts w:ascii="Times New Roman" w:eastAsia="Times New Roman" w:hAnsi="Times New Roman" w:cs="Times New Roman"/>
                <w:bCs/>
                <w:sz w:val="24"/>
                <w:szCs w:val="24"/>
                <w:lang w:eastAsia="pl-PL"/>
              </w:rPr>
              <w:t> konkretne parametry pozwalające określić, co stanowi szczególne nadzwyczajne okoliczności, którym protokół kryzysowy ma zaradzić, i jakie są cele tego protokołu;</w:t>
            </w:r>
          </w:p>
          <w:p w14:paraId="21C5C5C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7" w:name="mip65353113"/>
            <w:bookmarkEnd w:id="387"/>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rolę każdego uczestnika i środków, które mają zostać przez nich wprowadzone w trakcie przygotowywania i po uruchomieniu protokołu kryzysowego;</w:t>
            </w:r>
          </w:p>
          <w:p w14:paraId="3B411A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8" w:name="mip65353114"/>
            <w:bookmarkEnd w:id="388"/>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jasną procedurę określania, kiedy należy uruchomić protokół kryzysowy;</w:t>
            </w:r>
          </w:p>
          <w:p w14:paraId="4B91CF8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9" w:name="mip65353115"/>
            <w:bookmarkEnd w:id="389"/>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jasną procedurę określania okresu, w którym należy wprowadzić środki przewidziane do wprowadzenia po uruchomieniu protokołu kryzysowego, i który jest ściśle ograniczony do tego, co konieczne do zaradzenia odpowiednim konkretnym nadzwyczajnym okolicznościom;</w:t>
            </w:r>
          </w:p>
          <w:p w14:paraId="33D411B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0" w:name="mip65353116"/>
            <w:bookmarkEnd w:id="390"/>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zabezpieczenia mające na celu zapobieżenie wszelkim negatywnym skutkom dla wykonywania praw podstawowych zapisanych w Karcie, w szczególności wolności wypowiedzi i informacji oraz prawa do niedyskryminacji;</w:t>
            </w:r>
          </w:p>
          <w:p w14:paraId="69B95E5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1" w:name="mip65353117"/>
            <w:bookmarkEnd w:id="391"/>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proces publicznego udostępniania sprawozdań dotyczących wszelkich wprowadzonych środków, czasu ich stosowania i ich wyników po zakończeniu sytuacji kryzysowej.</w:t>
            </w:r>
          </w:p>
          <w:p w14:paraId="07662CC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2" w:name="mip65353118"/>
            <w:bookmarkEnd w:id="392"/>
            <w:r w:rsidRPr="00C20292">
              <w:rPr>
                <w:rFonts w:ascii="Times New Roman" w:eastAsia="Times New Roman" w:hAnsi="Times New Roman" w:cs="Times New Roman"/>
                <w:bCs/>
                <w:sz w:val="24"/>
                <w:szCs w:val="24"/>
                <w:lang w:eastAsia="pl-PL"/>
              </w:rPr>
              <w:t xml:space="preserve">5. Jeżeli Komisja uzna, że protokół kryzysowy nie pozwala skutecznie zaradzić sytuacji kryzysowej lub nie zabezpiecza wykonywania praw podstawowych, </w:t>
            </w:r>
            <w:r w:rsidRPr="00C20292">
              <w:rPr>
                <w:rFonts w:ascii="Times New Roman" w:eastAsia="Times New Roman" w:hAnsi="Times New Roman" w:cs="Times New Roman"/>
                <w:bCs/>
                <w:sz w:val="24"/>
                <w:szCs w:val="24"/>
                <w:lang w:eastAsia="pl-PL"/>
              </w:rPr>
              <w:lastRenderedPageBreak/>
              <w:t>o którym mowa w ust. 4 lit. e), żąda, aby uczestnicy zmienili protokół kryzysowy, między innymi wprowadzając dodatkowe środki.</w:t>
            </w:r>
          </w:p>
          <w:p w14:paraId="75D0354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F985848"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27F8F4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2A7AD4C"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5AFF9AD"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1EDEE60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2D73E27"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49</w:t>
            </w:r>
          </w:p>
        </w:tc>
        <w:tc>
          <w:tcPr>
            <w:tcW w:w="1650" w:type="pct"/>
            <w:tcBorders>
              <w:top w:val="outset" w:sz="6" w:space="0" w:color="auto"/>
              <w:left w:val="outset" w:sz="6" w:space="0" w:color="auto"/>
              <w:bottom w:val="outset" w:sz="6" w:space="0" w:color="auto"/>
              <w:right w:val="outset" w:sz="6" w:space="0" w:color="auto"/>
            </w:tcBorders>
            <w:vAlign w:val="center"/>
          </w:tcPr>
          <w:p w14:paraId="367835F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Państwa członkowskie wyznaczają co najmniej jeden właściwy organ odpowiedzialny za nadzorowanie dostawców usług pośrednich i egzekwowanie niniejszego rozporządzenia (zwany dalej „właściwym organem”).</w:t>
            </w:r>
          </w:p>
          <w:p w14:paraId="3CBBD9E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3" w:name="mip65353123"/>
            <w:bookmarkEnd w:id="393"/>
            <w:r w:rsidRPr="00C20292">
              <w:rPr>
                <w:rFonts w:ascii="Times New Roman" w:eastAsia="Times New Roman" w:hAnsi="Times New Roman" w:cs="Times New Roman"/>
                <w:bCs/>
                <w:sz w:val="24"/>
                <w:szCs w:val="24"/>
                <w:lang w:eastAsia="pl-PL"/>
              </w:rPr>
              <w:t>2. Państwa członkowskie wyznaczają jeden ze swoich właściwych organów na koordynatora ds. usług cyfrowych. Koordynator ds. usług cyfrowych odpowiada za wszystkie kwestie związane z nadzorowaniem i egzekwowaniem niniejszego rozporządzenia w danym państwie członkowskim, chyba że zainteresowane państwo członkowskie powierzyło niektóre szczególne zadania lub sektory innym właściwym organom. Koordynator ds. usług cyfrowych w każdym wypadku odpowiada za zapewnienie na poziomie krajowym koordynacji w zakresie tych kwestii, a także za przyczynianie się do skutecznego i spójnego nadzorowania i egzekwowania niniejszego rozporządzenia w całej Unii.</w:t>
            </w:r>
          </w:p>
          <w:p w14:paraId="0DA2D5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W tym celu koordynatorzy ds. usług cyfrowych współpracują ze sobą, z innymi właściwymi organami krajowymi, z Radą Usług Cyfrowych i Komisją, bez uszczerbku dla przysługującej państwom członkowskim możliwości wprowadzenia mechanizmów współpracy i regularnej wymiany poglądów między koordynatorem ds. usług cyfrowych a innymi organami krajowymi, </w:t>
            </w:r>
            <w:r w:rsidRPr="00C20292">
              <w:rPr>
                <w:rFonts w:ascii="Times New Roman" w:eastAsia="Times New Roman" w:hAnsi="Times New Roman" w:cs="Times New Roman"/>
                <w:bCs/>
                <w:sz w:val="24"/>
                <w:szCs w:val="24"/>
                <w:lang w:eastAsia="pl-PL"/>
              </w:rPr>
              <w:lastRenderedPageBreak/>
              <w:t>w stosownych przypadkach, w celu wykonywania ich odpowiednich zadań.</w:t>
            </w:r>
          </w:p>
          <w:p w14:paraId="3AE16E2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W przypadku gdy państwo członkowskie oprócz koordynatora ds. usług cyfrowych wyznaczy co najmniej jeden właściwy organ, wówczas państwo to zapewnia, aby odpowiednie zadania tych organów i koordynatora ds. usług cyfrowych były jasno zdefiniowane oraz aby te organy i koordynator ściśle i skutecznie współpracowali ze sobą podczas wykonywania swoich zadań.</w:t>
            </w:r>
          </w:p>
          <w:p w14:paraId="754C1F5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4" w:name="mip65353124"/>
            <w:bookmarkEnd w:id="394"/>
            <w:r w:rsidRPr="00C20292">
              <w:rPr>
                <w:rFonts w:ascii="Times New Roman" w:eastAsia="Times New Roman" w:hAnsi="Times New Roman" w:cs="Times New Roman"/>
                <w:bCs/>
                <w:sz w:val="24"/>
                <w:szCs w:val="24"/>
                <w:lang w:eastAsia="pl-PL"/>
              </w:rPr>
              <w:t>3. Państwa członkowskie wyznaczają koordynatorów ds. usług cyfrowych do dnia 17 lutego 2024 r.</w:t>
            </w:r>
          </w:p>
          <w:p w14:paraId="045C386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Państwa członkowskie podają do wiadomości publicznej oraz przekazują Komisji i Radzie Usług Cyfrowych nazwę swojego właściwego organu wyznaczonego na koordynatora ds. usług cyfrowych wraz z jego danymi do kontaktu. Zainteresowane państwo członkowskie przekazuje Komisji i radzie Usług Cyfrowych nazwy innych właściwych organów, o których mowa w ust. 2, oraz ich odpowiednie zadania.</w:t>
            </w:r>
          </w:p>
          <w:p w14:paraId="60EBDC5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5" w:name="mip65353125"/>
            <w:bookmarkEnd w:id="395"/>
            <w:r w:rsidRPr="00C20292">
              <w:rPr>
                <w:rFonts w:ascii="Times New Roman" w:eastAsia="Times New Roman" w:hAnsi="Times New Roman" w:cs="Times New Roman"/>
                <w:bCs/>
                <w:sz w:val="24"/>
                <w:szCs w:val="24"/>
                <w:lang w:eastAsia="pl-PL"/>
              </w:rPr>
              <w:t>4. Przepisy mające zastosowanie do koordynatorów ds. usług cyfrowych określone w art. 50, 51 i 56 mają również zastosowanie do wszelkich innych właściwych organów wyznaczonych przez państwa członkowskie zgodnie z ust. 1 niniejszego artykułu.</w:t>
            </w:r>
          </w:p>
          <w:p w14:paraId="5371068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213DB08"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3EC69D05" w14:textId="71E94A26" w:rsidR="00C20292" w:rsidRPr="007E1E2C" w:rsidRDefault="009A2F3E" w:rsidP="00B03963">
            <w:pPr>
              <w:spacing w:after="0" w:line="240" w:lineRule="auto"/>
              <w:rPr>
                <w:rFonts w:ascii="Times New Roman" w:eastAsia="Times New Roman" w:hAnsi="Times New Roman" w:cs="Times New Roman"/>
                <w:sz w:val="24"/>
                <w:szCs w:val="24"/>
                <w:lang w:val="en-US" w:eastAsia="pl-PL"/>
              </w:rPr>
            </w:pPr>
            <w:r w:rsidRPr="007E1E2C">
              <w:rPr>
                <w:rFonts w:ascii="Times New Roman" w:eastAsia="Times New Roman" w:hAnsi="Times New Roman" w:cs="Times New Roman"/>
                <w:sz w:val="24"/>
                <w:szCs w:val="24"/>
                <w:lang w:val="en-US" w:eastAsia="pl-PL"/>
              </w:rPr>
              <w:t xml:space="preserve">Art. 1 pkt 1 lit b; Art. 1 pkt 3; </w:t>
            </w:r>
            <w:r w:rsidR="00001CCF" w:rsidRPr="007E1E2C">
              <w:rPr>
                <w:rFonts w:ascii="Times New Roman" w:eastAsia="Times New Roman" w:hAnsi="Times New Roman" w:cs="Times New Roman"/>
                <w:sz w:val="24"/>
                <w:szCs w:val="24"/>
                <w:lang w:val="en-US" w:eastAsia="pl-PL"/>
              </w:rPr>
              <w:t>Art. 1 pkt 5</w:t>
            </w:r>
            <w:r w:rsidRPr="007E1E2C">
              <w:rPr>
                <w:rFonts w:ascii="Times New Roman" w:eastAsia="Times New Roman" w:hAnsi="Times New Roman" w:cs="Times New Roman"/>
                <w:sz w:val="24"/>
                <w:szCs w:val="24"/>
                <w:lang w:val="en-US" w:eastAsia="pl-PL"/>
              </w:rPr>
              <w:t xml:space="preserve">; Art. </w:t>
            </w:r>
            <w:r w:rsidR="009C7AC9">
              <w:rPr>
                <w:rFonts w:ascii="Times New Roman" w:eastAsia="Times New Roman" w:hAnsi="Times New Roman" w:cs="Times New Roman"/>
                <w:sz w:val="24"/>
                <w:szCs w:val="24"/>
                <w:lang w:val="en-US" w:eastAsia="pl-PL"/>
              </w:rPr>
              <w:t>3</w:t>
            </w:r>
          </w:p>
        </w:tc>
        <w:tc>
          <w:tcPr>
            <w:tcW w:w="866" w:type="pct"/>
            <w:tcBorders>
              <w:top w:val="outset" w:sz="6" w:space="0" w:color="auto"/>
              <w:left w:val="outset" w:sz="6" w:space="0" w:color="auto"/>
              <w:bottom w:val="outset" w:sz="6" w:space="0" w:color="auto"/>
              <w:right w:val="outset" w:sz="6" w:space="0" w:color="auto"/>
            </w:tcBorders>
            <w:vAlign w:val="center"/>
          </w:tcPr>
          <w:p w14:paraId="5F88FA68" w14:textId="33542A39" w:rsidR="009C7AC9" w:rsidRP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w pkt 3 kropkę zastępuje się średnikiem i dodaje się pkt 4 w brzmieniu:</w:t>
            </w:r>
          </w:p>
          <w:p w14:paraId="378C609B" w14:textId="10FC3D68" w:rsid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 xml:space="preserve"> </w:t>
            </w:r>
            <w:r w:rsidRPr="009C7AC9">
              <w:rPr>
                <w:rFonts w:ascii="Times New Roman" w:eastAsia="Times New Roman" w:hAnsi="Times New Roman" w:cs="Times New Roman"/>
                <w:bCs/>
                <w:sz w:val="24"/>
                <w:szCs w:val="24"/>
                <w:lang w:eastAsia="pl-PL"/>
              </w:rPr>
              <w:t>zadania właściwych organów w rozumieniu rozporządzenia Parlamentu Europejskiego i Rady (UE) 2022/2065 z dnia 19 października 2022 r. w sprawie jednolitego rynku usług cyfrowych oraz zmiany dyrektywy 2000/31/WE (akt o usługach cyfrowych) (Dz. Urz. UE L 277 z 27.10.2022 r., str. 1), zwanego dalej „rozporządzeniem 2022/2065”, oraz koordynatora do spraw usług cyfrowych.”;</w:t>
            </w:r>
          </w:p>
          <w:p w14:paraId="37CC6E10" w14:textId="38A73542" w:rsidR="009C7AC9" w:rsidRDefault="009C7AC9" w:rsidP="009C7AC9">
            <w:pPr>
              <w:spacing w:after="0" w:line="240" w:lineRule="auto"/>
              <w:rPr>
                <w:rFonts w:ascii="Times New Roman" w:eastAsia="Times New Roman" w:hAnsi="Times New Roman" w:cs="Times New Roman"/>
                <w:bCs/>
                <w:sz w:val="24"/>
                <w:szCs w:val="24"/>
                <w:lang w:eastAsia="pl-PL"/>
              </w:rPr>
            </w:pPr>
          </w:p>
          <w:p w14:paraId="274BC3D6" w14:textId="57D034C5" w:rsidR="009C7AC9" w:rsidRP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w art. 3 pkt 3 otrzymuje brzmienie:</w:t>
            </w:r>
          </w:p>
          <w:p w14:paraId="01B3020B" w14:textId="274B9583" w:rsid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xml:space="preserve"> </w:t>
            </w:r>
            <w:r w:rsidRPr="009C7AC9">
              <w:rPr>
                <w:rFonts w:ascii="Times New Roman" w:eastAsia="Times New Roman" w:hAnsi="Times New Roman" w:cs="Times New Roman"/>
                <w:bCs/>
                <w:sz w:val="24"/>
                <w:szCs w:val="24"/>
                <w:lang w:eastAsia="pl-PL"/>
              </w:rPr>
              <w:t>świadczenia przez przedsiębiorcę telekomunikacyjnego usług telekomunikacyjnych, z wyłączeniem art. 22za – 22zy”;</w:t>
            </w:r>
          </w:p>
          <w:p w14:paraId="0A41B547" w14:textId="77777777" w:rsidR="009C7AC9" w:rsidRPr="007E1E2C" w:rsidRDefault="009C7AC9" w:rsidP="009C7AC9">
            <w:pPr>
              <w:spacing w:after="0" w:line="240" w:lineRule="auto"/>
              <w:rPr>
                <w:rFonts w:ascii="Times New Roman" w:eastAsia="Times New Roman" w:hAnsi="Times New Roman" w:cs="Times New Roman"/>
                <w:bCs/>
                <w:sz w:val="24"/>
                <w:szCs w:val="24"/>
                <w:lang w:eastAsia="pl-PL"/>
              </w:rPr>
            </w:pPr>
          </w:p>
          <w:p w14:paraId="5E19D8F2"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22a. 1. Właściwymi organami, o których mowa w art. 49 ust. 1 rozporządzenia 2022/2065, są:</w:t>
            </w:r>
          </w:p>
          <w:p w14:paraId="20A49A8D" w14:textId="07642A58"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C7AC9">
              <w:rPr>
                <w:rFonts w:ascii="Times New Roman" w:eastAsia="Times New Roman" w:hAnsi="Times New Roman" w:cs="Times New Roman"/>
                <w:sz w:val="24"/>
                <w:szCs w:val="24"/>
                <w:lang w:eastAsia="pl-PL"/>
              </w:rPr>
              <w:t xml:space="preserve">Prezes Urzędu Ochrony Konkurencji i Konsumentów, zwany dalej „Prezesem UOKiK” – w zakresie spraw, o których mowa w rozdziale III w sekcji 4 rozporządzenia 2022/2065 oraz innych spraw dotyczących ochrony konsumentów określonych w </w:t>
            </w:r>
            <w:r w:rsidRPr="009C7AC9">
              <w:rPr>
                <w:rFonts w:ascii="Times New Roman" w:eastAsia="Times New Roman" w:hAnsi="Times New Roman" w:cs="Times New Roman"/>
                <w:sz w:val="24"/>
                <w:szCs w:val="24"/>
                <w:lang w:eastAsia="pl-PL"/>
              </w:rPr>
              <w:lastRenderedPageBreak/>
              <w:t>rozporządzeniu 2022/2065;</w:t>
            </w:r>
          </w:p>
          <w:p w14:paraId="65C9D682" w14:textId="629C0F8C"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9C7AC9">
              <w:rPr>
                <w:rFonts w:ascii="Times New Roman" w:eastAsia="Times New Roman" w:hAnsi="Times New Roman" w:cs="Times New Roman"/>
                <w:sz w:val="24"/>
                <w:szCs w:val="24"/>
                <w:lang w:eastAsia="pl-PL"/>
              </w:rPr>
              <w:t>Prezes Urzędu Komunikacji Elektronicznej, zwany dalej „Prezesem UKE” – w zakresie spraw określonych w rozporządzeniu 2022/2065, innych niż wskazane w pkt 1</w:t>
            </w:r>
          </w:p>
          <w:p w14:paraId="0B37176A"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 zwani dalej „właściwymi organami”.</w:t>
            </w:r>
          </w:p>
          <w:p w14:paraId="5B89FD58"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22b. Koordynatorem do spraw usług cyfrowych, o którym mowa w art. 49 ust. 2 rozporządzenia 2022/2065, jest Prezes UKE.</w:t>
            </w:r>
          </w:p>
          <w:p w14:paraId="57C90FE1"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22c. 1. Prezes UKE, wykonując zadania koordynatora do spraw usług cyfrowych określone w rozporządzeniu 2022/2065, współdziała z Prezesem UOKiK.</w:t>
            </w:r>
          </w:p>
          <w:p w14:paraId="57730EB1"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lastRenderedPageBreak/>
              <w:t>2. Spory o właściwość pomiędzy właściwymi organami w zakresie spraw, o których mowa w art. 22a, rozstrzyga Prezes Rady Ministrów.</w:t>
            </w:r>
          </w:p>
          <w:p w14:paraId="740781FA"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22d. 1. Prezes UKE uczestniczy w posiedzeniach Europejskiej Rady do spraw Usług Cyfrowych.</w:t>
            </w:r>
          </w:p>
          <w:p w14:paraId="7F36F13D" w14:textId="5F124051" w:rsidR="009A2F3E" w:rsidRPr="007E1E2C"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2. Prezes UOKiK uczestniczy, wspólnie z Prezesem UKE, w posiedzeniu Europejskiej Rady do spraw Usług Cyfrowych, w przypadku, gdy przedmiotem posiedzenia są sprawy będące we właściwości Prezesa UOKiK.</w:t>
            </w:r>
          </w:p>
          <w:p w14:paraId="79D1A8F8" w14:textId="77777777" w:rsidR="009A2F3E" w:rsidRPr="007E1E2C" w:rsidRDefault="009A2F3E" w:rsidP="00001CCF">
            <w:pPr>
              <w:spacing w:after="0" w:line="240" w:lineRule="auto"/>
              <w:rPr>
                <w:rFonts w:ascii="Times New Roman" w:eastAsia="Times New Roman" w:hAnsi="Times New Roman" w:cs="Times New Roman"/>
                <w:sz w:val="24"/>
                <w:szCs w:val="24"/>
                <w:lang w:eastAsia="pl-PL"/>
              </w:rPr>
            </w:pPr>
          </w:p>
          <w:p w14:paraId="3FB0251A"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 xml:space="preserve">W ustawie z dnia 16 lutego 2007 r. o ochronie konkurencji i konsumentów (Dz. </w:t>
            </w:r>
            <w:r w:rsidRPr="009C7AC9">
              <w:rPr>
                <w:rFonts w:ascii="Times New Roman" w:eastAsia="Times New Roman" w:hAnsi="Times New Roman" w:cs="Times New Roman"/>
                <w:sz w:val="24"/>
                <w:szCs w:val="24"/>
                <w:lang w:eastAsia="pl-PL"/>
              </w:rPr>
              <w:lastRenderedPageBreak/>
              <w:t xml:space="preserve">U. z 2023 r. poz. 1689 i 1705) w art. 29 po ust. 2a dodaje się ust. 2b w brzmieniu: </w:t>
            </w:r>
          </w:p>
          <w:p w14:paraId="05678CA3" w14:textId="489D4891" w:rsidR="00C20292" w:rsidRPr="007E1E2C" w:rsidRDefault="009C7AC9" w:rsidP="00B03963">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„2b. Prezes Urzędu jest właściwym organem, o którym mowa w art. 49 ust. 1 rozporządzenia Parlamentu Europejskiego i Rady (UE) 2022/2065 z dnia 19 października 2022 r. w sprawie jednolitego rynku usług cyfrowych oraz zmiany dyrektywy 2000/31/WE (akt o usługach cyfrowych) (Dz. Urz. UE L 277 z 27.10.2022 r. str. 1), w zakresie spraw, o których mowa w rozdziale III sekcja 4 tego rozporządzenia oraz innych spraw dotyczących ochrony konsumentów, o których mowa w tym rozporządzeniu.”.</w:t>
            </w:r>
          </w:p>
        </w:tc>
        <w:tc>
          <w:tcPr>
            <w:tcW w:w="817" w:type="pct"/>
            <w:tcBorders>
              <w:top w:val="outset" w:sz="6" w:space="0" w:color="auto"/>
              <w:left w:val="outset" w:sz="6" w:space="0" w:color="auto"/>
              <w:bottom w:val="outset" w:sz="6" w:space="0" w:color="auto"/>
              <w:right w:val="outset" w:sz="6" w:space="0" w:color="auto"/>
            </w:tcBorders>
            <w:vAlign w:val="center"/>
          </w:tcPr>
          <w:p w14:paraId="708AFB7D" w14:textId="77777777" w:rsidR="00C20292" w:rsidRPr="00B03963" w:rsidRDefault="00C20292" w:rsidP="00001CCF">
            <w:pPr>
              <w:spacing w:after="0" w:line="240" w:lineRule="auto"/>
              <w:rPr>
                <w:rFonts w:ascii="Times New Roman" w:eastAsia="Times New Roman" w:hAnsi="Times New Roman" w:cs="Times New Roman"/>
                <w:sz w:val="20"/>
                <w:szCs w:val="20"/>
                <w:lang w:eastAsia="pl-PL"/>
              </w:rPr>
            </w:pPr>
          </w:p>
        </w:tc>
      </w:tr>
      <w:tr w:rsidR="00C20292" w:rsidRPr="00B03963" w14:paraId="0A1C458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82C02BE"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50</w:t>
            </w:r>
          </w:p>
        </w:tc>
        <w:tc>
          <w:tcPr>
            <w:tcW w:w="1650" w:type="pct"/>
            <w:tcBorders>
              <w:top w:val="outset" w:sz="6" w:space="0" w:color="auto"/>
              <w:left w:val="outset" w:sz="6" w:space="0" w:color="auto"/>
              <w:bottom w:val="outset" w:sz="6" w:space="0" w:color="auto"/>
              <w:right w:val="outset" w:sz="6" w:space="0" w:color="auto"/>
            </w:tcBorders>
            <w:vAlign w:val="center"/>
          </w:tcPr>
          <w:p w14:paraId="7B722F8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Państwa członkowskie zapewniają, aby koordynatorzy ds. usług cyfrowych wykonywali swoje zadania wynikające z niniejszego rozporządzenia w sposób bezstronny, przejrzysty i terminowy. Państwa członkowskie zapewniają, aby koordynatorzy ds. usług cyfrowych dysponowali wszelkimi zasobami niezbędnymi do wykonywania swoich zadań, w tym wystarczającymi zasobami technicznymi, finansowymi i kadrowymi w celu odpowiedniego nadzorowania wszystkich dostawców usług pośrednich podlegających ich kompetencji. Każde państwo członkowskie zapewnia, aby jego koordynator ds. usług cyfrowych miał wystarczającą autonomię w zarządzaniu swoim budżetem w ramach ogólnych limitów budżetowych, tak aby nie wpływać negatywnie na niezależność koordynatora ds. usług cyfrowych.</w:t>
            </w:r>
          </w:p>
          <w:p w14:paraId="6697301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6" w:name="mip65353128"/>
            <w:bookmarkEnd w:id="396"/>
            <w:r w:rsidRPr="00C20292">
              <w:rPr>
                <w:rFonts w:ascii="Times New Roman" w:eastAsia="Times New Roman" w:hAnsi="Times New Roman" w:cs="Times New Roman"/>
                <w:bCs/>
                <w:sz w:val="24"/>
                <w:szCs w:val="24"/>
                <w:lang w:eastAsia="pl-PL"/>
              </w:rPr>
              <w:t>2. Podczas wykonywania swoich zadań i uprawnień zgodnie z niniejszym rozporządzeniem koordynatorzy ds. usług cyfrowych działają w sposób w pełni niezależny. Pozostają oni wolni od jakichkolwiek bezpośrednich i pośrednich wpływów zewnętrznych, nie zwracają się do żadnego innego organu publicznego ani podmiotu prywatnego o instrukcje ani nie przyjmują takich instrukcji.</w:t>
            </w:r>
          </w:p>
          <w:p w14:paraId="511C52D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7" w:name="mip65353129"/>
            <w:bookmarkEnd w:id="397"/>
            <w:r w:rsidRPr="00C20292">
              <w:rPr>
                <w:rFonts w:ascii="Times New Roman" w:eastAsia="Times New Roman" w:hAnsi="Times New Roman" w:cs="Times New Roman"/>
                <w:bCs/>
                <w:sz w:val="24"/>
                <w:szCs w:val="24"/>
                <w:lang w:eastAsia="pl-PL"/>
              </w:rPr>
              <w:t xml:space="preserve">3. Ust. 2 niniejszego artykułu pozostaje bez uszczerbku dla zadań koordynatorów ds. usług cyfrowych w ramach systemu nadzorowania i egzekwowania przewidzianego w niniejszym rozporządzeniu oraz współpracy z innymi właściwymi organami zgodnie z art. 49 ust. 2. Ust. 2 niniejszego artykułu nie stanowią przeszkody w wykonywaniu kontroli sądowej i pozostają również bez uszczerbku dla proporcjonalnych wymogów </w:t>
            </w:r>
            <w:r w:rsidRPr="00C20292">
              <w:rPr>
                <w:rFonts w:ascii="Times New Roman" w:eastAsia="Times New Roman" w:hAnsi="Times New Roman" w:cs="Times New Roman"/>
                <w:bCs/>
                <w:sz w:val="24"/>
                <w:szCs w:val="24"/>
                <w:lang w:eastAsia="pl-PL"/>
              </w:rPr>
              <w:lastRenderedPageBreak/>
              <w:t>dotyczących odpowiedzialności w odniesieniu do ogólnych działań koordynatorów ds. usług cyfrowych, takich jak wydatki finansowe lub składanie sprawozdań parlamentom narodowym, pod warunkiem że wymogi te nie utrudniają osiągnięcia celów niniejszego rozporządzenia.</w:t>
            </w:r>
          </w:p>
          <w:p w14:paraId="46A311A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8E9A7DB"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300" w:type="pct"/>
            <w:tcBorders>
              <w:top w:val="outset" w:sz="6" w:space="0" w:color="auto"/>
              <w:left w:val="outset" w:sz="6" w:space="0" w:color="auto"/>
              <w:bottom w:val="outset" w:sz="6" w:space="0" w:color="auto"/>
              <w:right w:val="outset" w:sz="6" w:space="0" w:color="auto"/>
            </w:tcBorders>
            <w:vAlign w:val="center"/>
          </w:tcPr>
          <w:p w14:paraId="36D97B7D" w14:textId="77777777" w:rsidR="00C20292" w:rsidRPr="007E1E2C" w:rsidRDefault="00001CCF"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 1 pkt 5</w:t>
            </w:r>
            <w:r w:rsidR="006B0170" w:rsidRPr="007E1E2C">
              <w:rPr>
                <w:rFonts w:ascii="Times New Roman" w:eastAsia="Times New Roman" w:hAnsi="Times New Roman" w:cs="Times New Roman"/>
                <w:sz w:val="24"/>
                <w:szCs w:val="24"/>
                <w:lang w:eastAsia="pl-PL"/>
              </w:rPr>
              <w:t>;</w:t>
            </w:r>
          </w:p>
          <w:p w14:paraId="506338DC" w14:textId="438B2510" w:rsidR="006B0170" w:rsidRPr="007E1E2C" w:rsidRDefault="006B0170"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w:t>
            </w:r>
            <w:r w:rsidR="003C429C" w:rsidRPr="007E1E2C">
              <w:rPr>
                <w:rFonts w:ascii="Times New Roman" w:eastAsia="Times New Roman" w:hAnsi="Times New Roman" w:cs="Times New Roman"/>
                <w:sz w:val="24"/>
                <w:szCs w:val="24"/>
                <w:lang w:eastAsia="pl-PL"/>
              </w:rPr>
              <w:t xml:space="preserve"> </w:t>
            </w:r>
            <w:r w:rsidR="0012351D">
              <w:rPr>
                <w:rFonts w:ascii="Times New Roman" w:eastAsia="Times New Roman" w:hAnsi="Times New Roman" w:cs="Times New Roman"/>
                <w:sz w:val="24"/>
                <w:szCs w:val="24"/>
                <w:lang w:eastAsia="pl-PL"/>
              </w:rPr>
              <w:t>4</w:t>
            </w:r>
          </w:p>
        </w:tc>
        <w:tc>
          <w:tcPr>
            <w:tcW w:w="866" w:type="pct"/>
            <w:tcBorders>
              <w:top w:val="outset" w:sz="6" w:space="0" w:color="auto"/>
              <w:left w:val="outset" w:sz="6" w:space="0" w:color="auto"/>
              <w:bottom w:val="outset" w:sz="6" w:space="0" w:color="auto"/>
              <w:right w:val="outset" w:sz="6" w:space="0" w:color="auto"/>
            </w:tcBorders>
            <w:vAlign w:val="center"/>
          </w:tcPr>
          <w:p w14:paraId="11499502"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22a. 1. Właściwymi organami, o których mowa w art. 49 ust. 1 rozporządzenia 2022/2065, są:</w:t>
            </w:r>
          </w:p>
          <w:p w14:paraId="4EE62553" w14:textId="5E2FC498"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2351D">
              <w:rPr>
                <w:rFonts w:ascii="Times New Roman" w:eastAsia="Times New Roman" w:hAnsi="Times New Roman" w:cs="Times New Roman"/>
                <w:sz w:val="24"/>
                <w:szCs w:val="24"/>
                <w:lang w:eastAsia="pl-PL"/>
              </w:rPr>
              <w:t>Prezes Urzędu Ochrony Konkurencji i Konsumentów, zwany dalej „Prezesem UOKiK” – w zakresie spraw, o których mowa w rozdziale III w sekcji 4 rozporządzenia 2022/2065 oraz innych spraw dotyczących ochrony konsumentów określonych w rozporządzeniu 2022/2065;</w:t>
            </w:r>
          </w:p>
          <w:p w14:paraId="6E32B272" w14:textId="341E51FE"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12351D">
              <w:rPr>
                <w:rFonts w:ascii="Times New Roman" w:eastAsia="Times New Roman" w:hAnsi="Times New Roman" w:cs="Times New Roman"/>
                <w:sz w:val="24"/>
                <w:szCs w:val="24"/>
                <w:lang w:eastAsia="pl-PL"/>
              </w:rPr>
              <w:t>Prezes Urzędu Komunikacji Elektronicznej, zwany dalej „Prezesem UKE” – w zakresie spraw określonych w rozporządzeniu 2022/2065, innych niż wskazane w pkt 1</w:t>
            </w:r>
          </w:p>
          <w:p w14:paraId="29F4C2B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lastRenderedPageBreak/>
              <w:t>– zwani dalej „właściwymi organami”.</w:t>
            </w:r>
          </w:p>
          <w:p w14:paraId="2DDDBCC5"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22b. Koordynatorem do spraw usług cyfrowych, o którym mowa w art. 49 ust. 2 rozporządzenia 2022/2065, jest Prezes UKE.</w:t>
            </w:r>
          </w:p>
          <w:p w14:paraId="2E9F9B72"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22c. 1. Prezes UKE, wykonując zadania koordynatora do spraw usług cyfrowych określone w rozporządzeniu 2022/2065, współdziała z Prezesem UOKiK.</w:t>
            </w:r>
          </w:p>
          <w:p w14:paraId="3C1B4200"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2. Spory o właściwość pomiędzy właściwymi organami w zakresie spraw, o których mowa w art. 22a, rozstrzyga Prezes Rady Ministrów.</w:t>
            </w:r>
          </w:p>
          <w:p w14:paraId="7CBFCED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Art. 22d. 1. Prezes UKE uczestniczy w posiedzeniach Europejskiej Rady do </w:t>
            </w:r>
            <w:r w:rsidRPr="0012351D">
              <w:rPr>
                <w:rFonts w:ascii="Times New Roman" w:eastAsia="Times New Roman" w:hAnsi="Times New Roman" w:cs="Times New Roman"/>
                <w:sz w:val="24"/>
                <w:szCs w:val="24"/>
                <w:lang w:eastAsia="pl-PL"/>
              </w:rPr>
              <w:lastRenderedPageBreak/>
              <w:t>spraw Usług Cyfrowych.</w:t>
            </w:r>
          </w:p>
          <w:p w14:paraId="656E197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2. Prezes UOKiK uczestniczy, wspólnie z Prezesem UKE, w posiedzeniu Europejskiej Rady do spraw Usług Cyfrowych, w przypadku, gdy przedmiotem posiedzenia są sprawy będące we właściwości Prezesa UOKiK.</w:t>
            </w:r>
          </w:p>
          <w:p w14:paraId="4BD2E515"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22e. Prezes UOKiK przekazuje Prezesowi UKE roczną informację, zawierającą elementy, o których mowa w art. 55 ust. 1 i 2 rozporządzenia 2022/2065, w terminie do dnia 31 marca roku następującego po roku, którego dotyczy informacja.</w:t>
            </w:r>
          </w:p>
          <w:p w14:paraId="24169FA1" w14:textId="74AB3915" w:rsid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Art. 22f. Właściwe organy przekazują Prezesowi Urzędu </w:t>
            </w:r>
            <w:r w:rsidRPr="0012351D">
              <w:rPr>
                <w:rFonts w:ascii="Times New Roman" w:eastAsia="Times New Roman" w:hAnsi="Times New Roman" w:cs="Times New Roman"/>
                <w:sz w:val="24"/>
                <w:szCs w:val="24"/>
                <w:lang w:eastAsia="pl-PL"/>
              </w:rPr>
              <w:lastRenderedPageBreak/>
              <w:t>Ochrony Danych Osobowych, na jego wniosek, informacje związane z przetwarzaniem danych osobowych, uzyskane w wyniku przeprowadzonych kontroli i postępowań.</w:t>
            </w:r>
          </w:p>
          <w:p w14:paraId="1A0A27E5" w14:textId="02EEB94C" w:rsidR="0012351D" w:rsidRDefault="0012351D" w:rsidP="00001CCF">
            <w:pPr>
              <w:spacing w:after="0" w:line="240" w:lineRule="auto"/>
              <w:rPr>
                <w:rFonts w:ascii="Times New Roman" w:eastAsia="Times New Roman" w:hAnsi="Times New Roman" w:cs="Times New Roman"/>
                <w:sz w:val="24"/>
                <w:szCs w:val="24"/>
                <w:lang w:eastAsia="pl-PL"/>
              </w:rPr>
            </w:pPr>
          </w:p>
          <w:p w14:paraId="416987FE"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 xml:space="preserve">Art. 4. 1. Limit wydatków Prezesa Urzędu Komunikacji Elektronicznej w latach 2024 2033, będących skutkiem finansowym ustawy, wynosi 19 143 026 zł, z tym że w poszczególnych latach limit wynosi w: </w:t>
            </w:r>
          </w:p>
          <w:p w14:paraId="08930407"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w:t>
            </w:r>
            <w:r w:rsidRPr="00DA25A1">
              <w:rPr>
                <w:rFonts w:ascii="Times New Roman" w:eastAsia="Times New Roman" w:hAnsi="Times New Roman" w:cs="Times New Roman"/>
                <w:sz w:val="24"/>
                <w:szCs w:val="24"/>
                <w:lang w:eastAsia="pl-PL"/>
              </w:rPr>
              <w:tab/>
              <w:t xml:space="preserve">2024 r. – 570 000 zł; </w:t>
            </w:r>
          </w:p>
          <w:p w14:paraId="0B0E317A"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2)</w:t>
            </w:r>
            <w:r w:rsidRPr="00DA25A1">
              <w:rPr>
                <w:rFonts w:ascii="Times New Roman" w:eastAsia="Times New Roman" w:hAnsi="Times New Roman" w:cs="Times New Roman"/>
                <w:sz w:val="24"/>
                <w:szCs w:val="24"/>
                <w:lang w:eastAsia="pl-PL"/>
              </w:rPr>
              <w:tab/>
              <w:t xml:space="preserve">2025 r. – 1 854 000 zł; </w:t>
            </w:r>
          </w:p>
          <w:p w14:paraId="3A8CB9E3"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3)</w:t>
            </w:r>
            <w:r w:rsidRPr="00DA25A1">
              <w:rPr>
                <w:rFonts w:ascii="Times New Roman" w:eastAsia="Times New Roman" w:hAnsi="Times New Roman" w:cs="Times New Roman"/>
                <w:sz w:val="24"/>
                <w:szCs w:val="24"/>
                <w:lang w:eastAsia="pl-PL"/>
              </w:rPr>
              <w:tab/>
              <w:t xml:space="preserve">2026 r. – 1 905 912 zł; </w:t>
            </w:r>
          </w:p>
          <w:p w14:paraId="43C40584"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4)</w:t>
            </w:r>
            <w:r w:rsidRPr="00DA25A1">
              <w:rPr>
                <w:rFonts w:ascii="Times New Roman" w:eastAsia="Times New Roman" w:hAnsi="Times New Roman" w:cs="Times New Roman"/>
                <w:sz w:val="24"/>
                <w:szCs w:val="24"/>
                <w:lang w:eastAsia="pl-PL"/>
              </w:rPr>
              <w:tab/>
              <w:t xml:space="preserve">2027 r. – 1 959 277 zł; </w:t>
            </w:r>
          </w:p>
          <w:p w14:paraId="521480CE"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lastRenderedPageBreak/>
              <w:t>5)</w:t>
            </w:r>
            <w:r w:rsidRPr="00DA25A1">
              <w:rPr>
                <w:rFonts w:ascii="Times New Roman" w:eastAsia="Times New Roman" w:hAnsi="Times New Roman" w:cs="Times New Roman"/>
                <w:sz w:val="24"/>
                <w:szCs w:val="24"/>
                <w:lang w:eastAsia="pl-PL"/>
              </w:rPr>
              <w:tab/>
              <w:t xml:space="preserve">2028 r. – 2 008 259 zł; </w:t>
            </w:r>
          </w:p>
          <w:p w14:paraId="779E2F3B"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6)</w:t>
            </w:r>
            <w:r w:rsidRPr="00DA25A1">
              <w:rPr>
                <w:rFonts w:ascii="Times New Roman" w:eastAsia="Times New Roman" w:hAnsi="Times New Roman" w:cs="Times New Roman"/>
                <w:sz w:val="24"/>
                <w:szCs w:val="24"/>
                <w:lang w:eastAsia="pl-PL"/>
              </w:rPr>
              <w:tab/>
              <w:t xml:space="preserve">2029 r. – 2 060 473 zł; </w:t>
            </w:r>
          </w:p>
          <w:p w14:paraId="0A86E6D1"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7)</w:t>
            </w:r>
            <w:r w:rsidRPr="00DA25A1">
              <w:rPr>
                <w:rFonts w:ascii="Times New Roman" w:eastAsia="Times New Roman" w:hAnsi="Times New Roman" w:cs="Times New Roman"/>
                <w:sz w:val="24"/>
                <w:szCs w:val="24"/>
                <w:lang w:eastAsia="pl-PL"/>
              </w:rPr>
              <w:tab/>
              <w:t xml:space="preserve">2030 r. – 2 114 045 zł; </w:t>
            </w:r>
          </w:p>
          <w:p w14:paraId="7451A77B"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8)</w:t>
            </w:r>
            <w:r w:rsidRPr="00DA25A1">
              <w:rPr>
                <w:rFonts w:ascii="Times New Roman" w:eastAsia="Times New Roman" w:hAnsi="Times New Roman" w:cs="Times New Roman"/>
                <w:sz w:val="24"/>
                <w:szCs w:val="24"/>
                <w:lang w:eastAsia="pl-PL"/>
              </w:rPr>
              <w:tab/>
              <w:t xml:space="preserve">2031 r. – 2 169 010 zł; </w:t>
            </w:r>
          </w:p>
          <w:p w14:paraId="7B93056D"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9)</w:t>
            </w:r>
            <w:r w:rsidRPr="00DA25A1">
              <w:rPr>
                <w:rFonts w:ascii="Times New Roman" w:eastAsia="Times New Roman" w:hAnsi="Times New Roman" w:cs="Times New Roman"/>
                <w:sz w:val="24"/>
                <w:szCs w:val="24"/>
                <w:lang w:eastAsia="pl-PL"/>
              </w:rPr>
              <w:tab/>
              <w:t xml:space="preserve">2032 r. – 2 223 235 zł; </w:t>
            </w:r>
          </w:p>
          <w:p w14:paraId="7E8D4154" w14:textId="77777777" w:rsid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10)</w:t>
            </w:r>
            <w:r w:rsidRPr="00DA25A1">
              <w:rPr>
                <w:rFonts w:ascii="Times New Roman" w:eastAsia="Times New Roman" w:hAnsi="Times New Roman" w:cs="Times New Roman"/>
                <w:sz w:val="24"/>
                <w:szCs w:val="24"/>
                <w:lang w:eastAsia="pl-PL"/>
              </w:rPr>
              <w:tab/>
              <w:t xml:space="preserve">2033 r. – 2 278 815 zł. </w:t>
            </w:r>
          </w:p>
          <w:p w14:paraId="51AB6BAF" w14:textId="1CBC4AC6" w:rsidR="0012351D" w:rsidRPr="0012351D" w:rsidRDefault="0012351D" w:rsidP="00DA25A1">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2. W przypadku przekroczenia lub zagrożenia przekroczeniem przyjętych na dany rok budżetowy maksymalnych limitów wydatków określonych w ust. 1, stosuje się mechanizm korygujący polegający na racjonalizacji wydatków budżetu państwa będących skutkiem finansowym ustawy lub na ograniczeniu kosztów. </w:t>
            </w:r>
          </w:p>
          <w:p w14:paraId="384EEA9F"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lastRenderedPageBreak/>
              <w:t xml:space="preserve">3. Organem właściwym do monitorowania wykorzystania limitu wydatków, o którym mowa w ust. 1, jest Prezes Urzędu Komunikacji Elektronicznej. </w:t>
            </w:r>
          </w:p>
          <w:p w14:paraId="468BABA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4. Organem właściwym do wdrożenia mechanizmu korygującego, o którym mowa w ust. 2, jest Prezes Urzędu Komunikacji Elektronicznej. </w:t>
            </w:r>
          </w:p>
          <w:p w14:paraId="7C8B8B69"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 xml:space="preserve">5. Limit wydatków Prezesa Urzędu Ochrony Konkurencji i Konkurencji w latach 2024 2033, będących skutkiem finansowym ustawy, wynosi 6 381 010 zł, z tym że w poszczególnych latach limit wynosi w: </w:t>
            </w:r>
          </w:p>
          <w:p w14:paraId="10704444"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w:t>
            </w:r>
            <w:r w:rsidRPr="00DA25A1">
              <w:rPr>
                <w:rFonts w:ascii="Times New Roman" w:eastAsia="Times New Roman" w:hAnsi="Times New Roman" w:cs="Times New Roman"/>
                <w:sz w:val="24"/>
                <w:szCs w:val="24"/>
                <w:lang w:eastAsia="pl-PL"/>
              </w:rPr>
              <w:tab/>
              <w:t xml:space="preserve">2024 r. – 190 000 zł; </w:t>
            </w:r>
          </w:p>
          <w:p w14:paraId="3DF7A7C4"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lastRenderedPageBreak/>
              <w:t>2)</w:t>
            </w:r>
            <w:r w:rsidRPr="00DA25A1">
              <w:rPr>
                <w:rFonts w:ascii="Times New Roman" w:eastAsia="Times New Roman" w:hAnsi="Times New Roman" w:cs="Times New Roman"/>
                <w:sz w:val="24"/>
                <w:szCs w:val="24"/>
                <w:lang w:eastAsia="pl-PL"/>
              </w:rPr>
              <w:tab/>
              <w:t xml:space="preserve">2025 r. – 618 000 zł; </w:t>
            </w:r>
          </w:p>
          <w:p w14:paraId="60EBD37B"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3)</w:t>
            </w:r>
            <w:r w:rsidRPr="00DA25A1">
              <w:rPr>
                <w:rFonts w:ascii="Times New Roman" w:eastAsia="Times New Roman" w:hAnsi="Times New Roman" w:cs="Times New Roman"/>
                <w:sz w:val="24"/>
                <w:szCs w:val="24"/>
                <w:lang w:eastAsia="pl-PL"/>
              </w:rPr>
              <w:tab/>
              <w:t xml:space="preserve">2026 r. – 635 304 zł; </w:t>
            </w:r>
          </w:p>
          <w:p w14:paraId="521D0840"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4)</w:t>
            </w:r>
            <w:r w:rsidRPr="00DA25A1">
              <w:rPr>
                <w:rFonts w:ascii="Times New Roman" w:eastAsia="Times New Roman" w:hAnsi="Times New Roman" w:cs="Times New Roman"/>
                <w:sz w:val="24"/>
                <w:szCs w:val="24"/>
                <w:lang w:eastAsia="pl-PL"/>
              </w:rPr>
              <w:tab/>
              <w:t xml:space="preserve">2027 r. – 653 093 zł; </w:t>
            </w:r>
          </w:p>
          <w:p w14:paraId="3ED24EAD"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5)</w:t>
            </w:r>
            <w:r w:rsidRPr="00DA25A1">
              <w:rPr>
                <w:rFonts w:ascii="Times New Roman" w:eastAsia="Times New Roman" w:hAnsi="Times New Roman" w:cs="Times New Roman"/>
                <w:sz w:val="24"/>
                <w:szCs w:val="24"/>
                <w:lang w:eastAsia="pl-PL"/>
              </w:rPr>
              <w:tab/>
              <w:t xml:space="preserve">2028 r. – 669 420 zł; </w:t>
            </w:r>
          </w:p>
          <w:p w14:paraId="25210B01"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6)</w:t>
            </w:r>
            <w:r w:rsidRPr="00DA25A1">
              <w:rPr>
                <w:rFonts w:ascii="Times New Roman" w:eastAsia="Times New Roman" w:hAnsi="Times New Roman" w:cs="Times New Roman"/>
                <w:sz w:val="24"/>
                <w:szCs w:val="24"/>
                <w:lang w:eastAsia="pl-PL"/>
              </w:rPr>
              <w:tab/>
              <w:t xml:space="preserve">2029 r. – 686 825 zł; </w:t>
            </w:r>
          </w:p>
          <w:p w14:paraId="7FAFFC20"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7)</w:t>
            </w:r>
            <w:r w:rsidRPr="00DA25A1">
              <w:rPr>
                <w:rFonts w:ascii="Times New Roman" w:eastAsia="Times New Roman" w:hAnsi="Times New Roman" w:cs="Times New Roman"/>
                <w:sz w:val="24"/>
                <w:szCs w:val="24"/>
                <w:lang w:eastAsia="pl-PL"/>
              </w:rPr>
              <w:tab/>
              <w:t xml:space="preserve">2030 r. – 704 682 zł; </w:t>
            </w:r>
          </w:p>
          <w:p w14:paraId="1D6864DE"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8)</w:t>
            </w:r>
            <w:r w:rsidRPr="00DA25A1">
              <w:rPr>
                <w:rFonts w:ascii="Times New Roman" w:eastAsia="Times New Roman" w:hAnsi="Times New Roman" w:cs="Times New Roman"/>
                <w:sz w:val="24"/>
                <w:szCs w:val="24"/>
                <w:lang w:eastAsia="pl-PL"/>
              </w:rPr>
              <w:tab/>
              <w:t xml:space="preserve">2031 r. – 723 003 zł; </w:t>
            </w:r>
          </w:p>
          <w:p w14:paraId="48F25B42"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9)</w:t>
            </w:r>
            <w:r w:rsidRPr="00DA25A1">
              <w:rPr>
                <w:rFonts w:ascii="Times New Roman" w:eastAsia="Times New Roman" w:hAnsi="Times New Roman" w:cs="Times New Roman"/>
                <w:sz w:val="24"/>
                <w:szCs w:val="24"/>
                <w:lang w:eastAsia="pl-PL"/>
              </w:rPr>
              <w:tab/>
              <w:t xml:space="preserve">2032 r. – 741 078 zł; </w:t>
            </w:r>
          </w:p>
          <w:p w14:paraId="66F9012F" w14:textId="77777777" w:rsid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10)</w:t>
            </w:r>
            <w:r w:rsidRPr="00DA25A1">
              <w:rPr>
                <w:rFonts w:ascii="Times New Roman" w:eastAsia="Times New Roman" w:hAnsi="Times New Roman" w:cs="Times New Roman"/>
                <w:sz w:val="24"/>
                <w:szCs w:val="24"/>
                <w:lang w:eastAsia="pl-PL"/>
              </w:rPr>
              <w:tab/>
              <w:t xml:space="preserve">2033 r. – 759 605 zł. </w:t>
            </w:r>
          </w:p>
          <w:p w14:paraId="5BFF0482" w14:textId="6DB57FE9" w:rsidR="0012351D" w:rsidRPr="0012351D" w:rsidRDefault="0012351D" w:rsidP="00DA25A1">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6. W przypadku przekroczenia lub zagrożenia przekroczeniem przyjętych na dany rok budżetowy maksymalnych limitów wydatków określonych w ust. 5, stosuje się mechanizm korygujący polegający na racjonalizacji </w:t>
            </w:r>
            <w:r w:rsidRPr="0012351D">
              <w:rPr>
                <w:rFonts w:ascii="Times New Roman" w:eastAsia="Times New Roman" w:hAnsi="Times New Roman" w:cs="Times New Roman"/>
                <w:sz w:val="24"/>
                <w:szCs w:val="24"/>
                <w:lang w:eastAsia="pl-PL"/>
              </w:rPr>
              <w:lastRenderedPageBreak/>
              <w:t xml:space="preserve">wydatków budżetu państwa będących skutkiem finansowym ustawy lub na ograniczeniu kosztów. </w:t>
            </w:r>
          </w:p>
          <w:p w14:paraId="615CC41E"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7. Organem właściwym do monitorowania wykorzystania limitu wydatków, o którym mowa w ust. 5, jest Prezes Urzędu Ochrony Konkurencji i Konsumentów. </w:t>
            </w:r>
          </w:p>
          <w:p w14:paraId="16E15C81" w14:textId="6BDDA64D" w:rsidR="00C20292"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8. Organem właściwym do wdrożenia mechanizmu korygującego, o którym mowa w ust. 6, jest Prezes Urzędu Ochrony Konkurencji i Konsumentów.</w:t>
            </w:r>
          </w:p>
        </w:tc>
        <w:tc>
          <w:tcPr>
            <w:tcW w:w="817" w:type="pct"/>
            <w:tcBorders>
              <w:top w:val="outset" w:sz="6" w:space="0" w:color="auto"/>
              <w:left w:val="outset" w:sz="6" w:space="0" w:color="auto"/>
              <w:bottom w:val="outset" w:sz="6" w:space="0" w:color="auto"/>
              <w:right w:val="outset" w:sz="6" w:space="0" w:color="auto"/>
            </w:tcBorders>
            <w:vAlign w:val="center"/>
          </w:tcPr>
          <w:p w14:paraId="5EA69083" w14:textId="77777777" w:rsidR="00001CCF" w:rsidRPr="00001CCF" w:rsidRDefault="00001CCF" w:rsidP="00001CCF">
            <w:pPr>
              <w:spacing w:after="0" w:line="240" w:lineRule="auto"/>
              <w:rPr>
                <w:rFonts w:ascii="Times New Roman" w:eastAsia="Times New Roman" w:hAnsi="Times New Roman" w:cs="Times New Roman"/>
                <w:sz w:val="20"/>
                <w:szCs w:val="20"/>
                <w:lang w:eastAsia="pl-PL"/>
              </w:rPr>
            </w:pPr>
          </w:p>
          <w:p w14:paraId="3702CEA7" w14:textId="77777777" w:rsidR="00001CCF" w:rsidRPr="00001CCF" w:rsidRDefault="00001CCF" w:rsidP="00001CCF">
            <w:pPr>
              <w:spacing w:after="0" w:line="240" w:lineRule="auto"/>
              <w:rPr>
                <w:rFonts w:ascii="Times New Roman" w:eastAsia="Times New Roman" w:hAnsi="Times New Roman" w:cs="Times New Roman"/>
                <w:sz w:val="20"/>
                <w:szCs w:val="20"/>
                <w:lang w:eastAsia="pl-PL"/>
              </w:rPr>
            </w:pPr>
          </w:p>
          <w:p w14:paraId="01BEA713" w14:textId="77777777" w:rsidR="00C20292" w:rsidRPr="00B03963" w:rsidRDefault="00C20292" w:rsidP="00001CCF">
            <w:pPr>
              <w:spacing w:after="0" w:line="240" w:lineRule="auto"/>
              <w:rPr>
                <w:rFonts w:ascii="Times New Roman" w:eastAsia="Times New Roman" w:hAnsi="Times New Roman" w:cs="Times New Roman"/>
                <w:sz w:val="20"/>
                <w:szCs w:val="20"/>
                <w:lang w:eastAsia="pl-PL"/>
              </w:rPr>
            </w:pPr>
          </w:p>
        </w:tc>
      </w:tr>
      <w:tr w:rsidR="00C20292" w:rsidRPr="00B03963" w14:paraId="4BC1B9B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9A49D77"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51</w:t>
            </w:r>
          </w:p>
        </w:tc>
        <w:tc>
          <w:tcPr>
            <w:tcW w:w="1650" w:type="pct"/>
            <w:tcBorders>
              <w:top w:val="outset" w:sz="6" w:space="0" w:color="auto"/>
              <w:left w:val="outset" w:sz="6" w:space="0" w:color="auto"/>
              <w:bottom w:val="outset" w:sz="6" w:space="0" w:color="auto"/>
              <w:right w:val="outset" w:sz="6" w:space="0" w:color="auto"/>
            </w:tcBorders>
            <w:vAlign w:val="center"/>
          </w:tcPr>
          <w:p w14:paraId="3B39E95D" w14:textId="77777777" w:rsidR="00C20292" w:rsidRPr="00C20292" w:rsidRDefault="00001CCF" w:rsidP="00C20292">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00C20292" w:rsidRPr="00C20292">
              <w:rPr>
                <w:rFonts w:ascii="Times New Roman" w:eastAsia="Times New Roman" w:hAnsi="Times New Roman" w:cs="Times New Roman"/>
                <w:bCs/>
                <w:sz w:val="24"/>
                <w:szCs w:val="24"/>
                <w:lang w:eastAsia="pl-PL"/>
              </w:rPr>
              <w:t xml:space="preserve">. W przypadku gdy jest to konieczne do wykonywania zadań wynikających z niniejszego rozporządzenia, koordynatorom ds. usług cyfrowych przysługują następujące uprawnienia w zakresie czynności sprawdzających, w odniesieniu do praktyk dostawców </w:t>
            </w:r>
            <w:r w:rsidR="00C20292" w:rsidRPr="00C20292">
              <w:rPr>
                <w:rFonts w:ascii="Times New Roman" w:eastAsia="Times New Roman" w:hAnsi="Times New Roman" w:cs="Times New Roman"/>
                <w:bCs/>
                <w:sz w:val="24"/>
                <w:szCs w:val="24"/>
                <w:lang w:eastAsia="pl-PL"/>
              </w:rPr>
              <w:lastRenderedPageBreak/>
              <w:t>usług pośrednich podlegających kompetencji ich państwa członkowskiego:</w:t>
            </w:r>
          </w:p>
          <w:p w14:paraId="37BA6B2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8" w:name="mip65353133"/>
            <w:bookmarkEnd w:id="398"/>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uprawnienie do żądania od takich dostawców, a także wszelkich innych osób działających w celach związanych z ich działalnością handlową, gospodarczą, rzemieślniczą lub zawodową, w przypadku których można zasadnie oczekiwać, że dysponują informacjami związanymi z podejrzeniem naruszenia niniejszego rozporządzenia, w tym od organizacji przeprowadzających audyty, o których mowa w art. 37 i art. 75 ust. 2, udzielenia takich informacji bez zbędnej zwłoki;</w:t>
            </w:r>
          </w:p>
          <w:p w14:paraId="05AE87C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9" w:name="mip65353134"/>
            <w:bookmarkEnd w:id="399"/>
            <w:r w:rsidRPr="00C20292">
              <w:rPr>
                <w:rFonts w:ascii="Times New Roman" w:eastAsia="Times New Roman" w:hAnsi="Times New Roman" w:cs="Times New Roman"/>
                <w:bCs/>
                <w:sz w:val="24"/>
                <w:szCs w:val="24"/>
                <w:lang w:eastAsia="pl-PL"/>
              </w:rPr>
              <w:t>b) uprawnienie do prowadzenia kontroli lub zwrócenia się do organu sądowego w ich państwie członkowskim o nakazanie przeprowadzenia kontroli we wszelkich pomieszczeniach, których tacy dostawcy lub takie osoby używają do celów związanych z ich działalnością handlową, gospodarczą, rzemieślniczą lub zawodową, lub do żądania tego od innych organów publicznych w celu zbadania, zajęcia, wykonania lub uzyskania kopii informacji związanych z podejrzeniem naruszenia w jakiejkolwiek postaci, niezależnie od nośnika, na jakim są przechowywane;</w:t>
            </w:r>
          </w:p>
          <w:p w14:paraId="139A818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0" w:name="mip65353135"/>
            <w:bookmarkEnd w:id="400"/>
            <w:r w:rsidRPr="00C20292">
              <w:rPr>
                <w:rFonts w:ascii="Times New Roman" w:eastAsia="Times New Roman" w:hAnsi="Times New Roman" w:cs="Times New Roman"/>
                <w:bCs/>
                <w:sz w:val="24"/>
                <w:szCs w:val="24"/>
                <w:lang w:eastAsia="pl-PL"/>
              </w:rPr>
              <w:t>c) uprawnienie do żądania, aby członek personelu lub przedstawiciel takich dostawców lub osób złożył wyjaśnienia w odniesieniu do wszelkich informacji związanych z podejrzeniem naruszenia oraz do rejestracji za ich zgodą, za pomocą wszelkich środków technicznych, odpowiedzi.</w:t>
            </w:r>
          </w:p>
          <w:p w14:paraId="2967FB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1" w:name="mip65353136"/>
            <w:bookmarkEnd w:id="401"/>
            <w:r w:rsidRPr="00C20292">
              <w:rPr>
                <w:rFonts w:ascii="Times New Roman" w:eastAsia="Times New Roman" w:hAnsi="Times New Roman" w:cs="Times New Roman"/>
                <w:bCs/>
                <w:sz w:val="24"/>
                <w:szCs w:val="24"/>
                <w:lang w:eastAsia="pl-PL"/>
              </w:rPr>
              <w:t xml:space="preserve">2. W przypadku gdy jest to konieczne do wykonywania zadań wynikających z niniejszego rozporządzenia, koordynatorom ds. usług cyfrowych przysługują </w:t>
            </w:r>
            <w:r w:rsidRPr="00C20292">
              <w:rPr>
                <w:rFonts w:ascii="Times New Roman" w:eastAsia="Times New Roman" w:hAnsi="Times New Roman" w:cs="Times New Roman"/>
                <w:bCs/>
                <w:sz w:val="24"/>
                <w:szCs w:val="24"/>
                <w:lang w:eastAsia="pl-PL"/>
              </w:rPr>
              <w:lastRenderedPageBreak/>
              <w:t>następujące uprawnienia w zakresie egzekwowania w odniesieniu do dostawców usług pośrednich podlegających kompetencji ich państwa członkowskiego:</w:t>
            </w:r>
          </w:p>
          <w:p w14:paraId="15244C5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2" w:name="mip65353138"/>
            <w:bookmarkEnd w:id="402"/>
            <w:r w:rsidRPr="00C20292">
              <w:rPr>
                <w:rFonts w:ascii="Times New Roman" w:eastAsia="Times New Roman" w:hAnsi="Times New Roman" w:cs="Times New Roman"/>
                <w:bCs/>
                <w:sz w:val="24"/>
                <w:szCs w:val="24"/>
                <w:lang w:eastAsia="pl-PL"/>
              </w:rPr>
              <w:t>a)</w:t>
            </w:r>
          </w:p>
          <w:p w14:paraId="2C91D96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zatwierdzania zobowiązań proponowanych przez takich dostawców w związku z przestrzeganiem przez nich niniejszego rozporządzenia oraz do uczynienia takich zobowiązań wiążącymi;</w:t>
            </w:r>
          </w:p>
          <w:p w14:paraId="724F4EC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3" w:name="mip65353139"/>
            <w:bookmarkEnd w:id="403"/>
            <w:r w:rsidRPr="00C20292">
              <w:rPr>
                <w:rFonts w:ascii="Times New Roman" w:eastAsia="Times New Roman" w:hAnsi="Times New Roman" w:cs="Times New Roman"/>
                <w:bCs/>
                <w:sz w:val="24"/>
                <w:szCs w:val="24"/>
                <w:lang w:eastAsia="pl-PL"/>
              </w:rPr>
              <w:t>b)</w:t>
            </w:r>
          </w:p>
          <w:p w14:paraId="678D8E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nakazania zaprzestania naruszeń i, w stosownych przypadkach, nakładania środków zaradczych proporcjonalnych do naruszenia i niezbędnych do skutecznego zakończenia naruszenia lub zwrócenia się do organu sądowego w ich państwie członkowskim o dokonanie takich czynności;</w:t>
            </w:r>
          </w:p>
          <w:p w14:paraId="3C900C8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4" w:name="mip65353140"/>
            <w:bookmarkEnd w:id="404"/>
            <w:r w:rsidRPr="00C20292">
              <w:rPr>
                <w:rFonts w:ascii="Times New Roman" w:eastAsia="Times New Roman" w:hAnsi="Times New Roman" w:cs="Times New Roman"/>
                <w:bCs/>
                <w:sz w:val="24"/>
                <w:szCs w:val="24"/>
                <w:lang w:eastAsia="pl-PL"/>
              </w:rPr>
              <w:t>c)</w:t>
            </w:r>
          </w:p>
          <w:p w14:paraId="7D3C5AA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nakładania grzywien lub zwrócenia się do organu sądowego w ich państwie członkowskim o nałożenie grzywien zgodnie z art. 52 za nieprzestrzeganie niniejszego rozporządzenia, w tym za pomocą jakiegokolwiek nakazu wydanego w toku czynności sprawdzających na podstawie ust. 1 niniejszego artykułu;</w:t>
            </w:r>
          </w:p>
          <w:p w14:paraId="0F6F5FF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5" w:name="mip65353141"/>
            <w:bookmarkEnd w:id="405"/>
            <w:r w:rsidRPr="00C20292">
              <w:rPr>
                <w:rFonts w:ascii="Times New Roman" w:eastAsia="Times New Roman" w:hAnsi="Times New Roman" w:cs="Times New Roman"/>
                <w:bCs/>
                <w:sz w:val="24"/>
                <w:szCs w:val="24"/>
                <w:lang w:eastAsia="pl-PL"/>
              </w:rPr>
              <w:t>d)</w:t>
            </w:r>
          </w:p>
          <w:p w14:paraId="3EC1345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 uprawnienie do nakładania okresowych kar pieniężnych lub zwrócenia się do organu sądowego w ich państwie członkowskim o nałożenie okresowych kar pieniężnych zgodnie z art. 52, aby zapewnić zaprzestanie naruszenia zgodnie z nakazem wydanym na podstawie lit. b) niniejszego akapitu lub za </w:t>
            </w:r>
            <w:r w:rsidRPr="00C20292">
              <w:rPr>
                <w:rFonts w:ascii="Times New Roman" w:eastAsia="Times New Roman" w:hAnsi="Times New Roman" w:cs="Times New Roman"/>
                <w:bCs/>
                <w:sz w:val="24"/>
                <w:szCs w:val="24"/>
                <w:lang w:eastAsia="pl-PL"/>
              </w:rPr>
              <w:lastRenderedPageBreak/>
              <w:t>niewykonanie jakiegokolwiek nakazu wydanego w toku czynności sprawdzających na podstawie ust. 1 niniejszego artykułu;</w:t>
            </w:r>
          </w:p>
          <w:p w14:paraId="15029F0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6" w:name="mip65353142"/>
            <w:bookmarkEnd w:id="406"/>
            <w:r w:rsidRPr="00C20292">
              <w:rPr>
                <w:rFonts w:ascii="Times New Roman" w:eastAsia="Times New Roman" w:hAnsi="Times New Roman" w:cs="Times New Roman"/>
                <w:bCs/>
                <w:sz w:val="24"/>
                <w:szCs w:val="24"/>
                <w:lang w:eastAsia="pl-PL"/>
              </w:rPr>
              <w:t>e)</w:t>
            </w:r>
          </w:p>
          <w:p w14:paraId="209B1E0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przyjmowania środków tymczasowych lub zwrócenia się do właściwego krajowego organu sądowego w ich państwie członkowskim o przyjęcie środków tymczasowych, aby zapobiec ryzyku wyrządzenia poważnych szkód.</w:t>
            </w:r>
          </w:p>
          <w:p w14:paraId="79DB56D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7" w:name="mip65353143"/>
            <w:bookmarkEnd w:id="407"/>
            <w:r w:rsidRPr="00C20292">
              <w:rPr>
                <w:rFonts w:ascii="Times New Roman" w:eastAsia="Times New Roman" w:hAnsi="Times New Roman" w:cs="Times New Roman"/>
                <w:bCs/>
                <w:sz w:val="24"/>
                <w:szCs w:val="24"/>
                <w:lang w:eastAsia="pl-PL"/>
              </w:rPr>
              <w:t>W odniesieniu do akapitu pierwszego lit. c) i d), koordynatorom ds. usług cyfrowych również przysługują uprawnienia w zakresie egzekwowania określone w tych literach w odniesieniu do innych osób, o których mowa w ust. 1, w przypadku niewykonania jakiegokolwiek nakazu wydanego wobec nich na podstawie tego ustępu. Mogą oni wykonywać te uprawnienia w zakresie egzekwowania wyłącznie po przekazaniu takim innym osobom z odpowiednim wyprzedzeniem wszystkich istotnych informacji związanych z takimi nakazami, w tym informacji dotyczących obowiązującego terminu, grzywien lub okresowych kar pieniężnych, które mogą zostać nałożone za niewykonanie nakazu, oraz możliwości odwołania się.</w:t>
            </w:r>
          </w:p>
          <w:p w14:paraId="6E9E882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8" w:name="mip65353144"/>
            <w:bookmarkEnd w:id="408"/>
            <w:r w:rsidRPr="00C20292">
              <w:rPr>
                <w:rFonts w:ascii="Times New Roman" w:eastAsia="Times New Roman" w:hAnsi="Times New Roman" w:cs="Times New Roman"/>
                <w:bCs/>
                <w:sz w:val="24"/>
                <w:szCs w:val="24"/>
                <w:lang w:eastAsia="pl-PL"/>
              </w:rPr>
              <w:t xml:space="preserve">3. W przypadku gdy jest to konieczne do wykonywania zadań wynikających z niniejszego rozporządzenia, koordynatorom ds. usług cyfrowych w odniesieniu do dostawców usług pośrednich podlegających kompetencji ich państwa członkowskiego – jeżeli wszystkie inne uprawnienia przewidziane w niniejszym artykule mające na celu doprowadzenie do zaprzestania naruszenia zostały wyczerpane, a naruszenie nie zostało </w:t>
            </w:r>
            <w:r w:rsidRPr="00C20292">
              <w:rPr>
                <w:rFonts w:ascii="Times New Roman" w:eastAsia="Times New Roman" w:hAnsi="Times New Roman" w:cs="Times New Roman"/>
                <w:bCs/>
                <w:sz w:val="24"/>
                <w:szCs w:val="24"/>
                <w:lang w:eastAsia="pl-PL"/>
              </w:rPr>
              <w:lastRenderedPageBreak/>
              <w:t>usunięte lub nadal trwa </w:t>
            </w:r>
            <w:r w:rsidRPr="00C20292">
              <w:rPr>
                <w:rFonts w:ascii="Times New Roman" w:eastAsia="Times New Roman" w:hAnsi="Times New Roman" w:cs="Times New Roman"/>
                <w:b/>
                <w:bCs/>
                <w:sz w:val="24"/>
                <w:szCs w:val="24"/>
                <w:lang w:eastAsia="pl-PL"/>
              </w:rPr>
              <w:t>i</w:t>
            </w:r>
            <w:r w:rsidRPr="00C20292">
              <w:rPr>
                <w:rFonts w:ascii="Times New Roman" w:eastAsia="Times New Roman" w:hAnsi="Times New Roman" w:cs="Times New Roman"/>
                <w:bCs/>
                <w:sz w:val="24"/>
                <w:szCs w:val="24"/>
                <w:lang w:eastAsia="pl-PL"/>
              </w:rPr>
              <w:t> wyrządza poważne szkody, których nie można uniknąć w drodze wykonania innych uprawnień dostępnych na mocy prawa Unii lub prawa krajowego – przysługuje również uprawnienie do przyjęcia następujących środków:</w:t>
            </w:r>
          </w:p>
          <w:p w14:paraId="52DB617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9" w:name="mip65353146"/>
            <w:bookmarkEnd w:id="409"/>
            <w:r w:rsidRPr="00C20292">
              <w:rPr>
                <w:rFonts w:ascii="Times New Roman" w:eastAsia="Times New Roman" w:hAnsi="Times New Roman" w:cs="Times New Roman"/>
                <w:bCs/>
                <w:sz w:val="24"/>
                <w:szCs w:val="24"/>
                <w:lang w:eastAsia="pl-PL"/>
              </w:rPr>
              <w:t>a)</w:t>
            </w:r>
          </w:p>
          <w:p w14:paraId="45361B5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żądania, aby organ zarządzający tych dostawców bez zbędnej zwłoki zbadał sytuację, przyjął i przedłożył plan działania określający niezbędne środki mające na celu zaprzestanie naruszenia, zapewnił przyjęcie takich środków przez dostawcę i przedłożył sprawozdanie z przyjętych środków;</w:t>
            </w:r>
          </w:p>
          <w:p w14:paraId="47C2E88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0" w:name="mip65353147"/>
            <w:bookmarkEnd w:id="410"/>
            <w:r w:rsidRPr="00C20292">
              <w:rPr>
                <w:rFonts w:ascii="Times New Roman" w:eastAsia="Times New Roman" w:hAnsi="Times New Roman" w:cs="Times New Roman"/>
                <w:bCs/>
                <w:sz w:val="24"/>
                <w:szCs w:val="24"/>
                <w:lang w:eastAsia="pl-PL"/>
              </w:rPr>
              <w:t>b)</w:t>
            </w:r>
          </w:p>
          <w:p w14:paraId="1B5ECD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w przypadku gdy koordynator ds. usług cyfrowych uzna, że dostawca usług pośrednich nie spełnił w wystarczający sposób wymogów, o których mowa w lit. a), że naruszenie nie zostało usunięte lub nadal trwa </w:t>
            </w:r>
            <w:r w:rsidRPr="00C20292">
              <w:rPr>
                <w:rFonts w:ascii="Times New Roman" w:eastAsia="Times New Roman" w:hAnsi="Times New Roman" w:cs="Times New Roman"/>
                <w:b/>
                <w:bCs/>
                <w:sz w:val="24"/>
                <w:szCs w:val="24"/>
                <w:lang w:eastAsia="pl-PL"/>
              </w:rPr>
              <w:t>i</w:t>
            </w:r>
            <w:r w:rsidRPr="00C20292">
              <w:rPr>
                <w:rFonts w:ascii="Times New Roman" w:eastAsia="Times New Roman" w:hAnsi="Times New Roman" w:cs="Times New Roman"/>
                <w:bCs/>
                <w:sz w:val="24"/>
                <w:szCs w:val="24"/>
                <w:lang w:eastAsia="pl-PL"/>
              </w:rPr>
              <w:t> wyrządza poważne szkody oraz że naruszenie to wiąże się z przestępstwem zagrażającym życiu lub bezpieczeństwu osób – zwrócenia się do organu sądowego swojego państwa członkowskiego z wnioskiem o nakazanie tymczasowego ograniczenia dostępu odbiorców do usługi, której dotyczy naruszenie, lub – wyłącznie gdy nie jest to wykonalne z przyczyn technicznych – do interfejsu internetowego dostawcy usług pośrednich, na którym dochodzi do naruszenia.</w:t>
            </w:r>
          </w:p>
          <w:p w14:paraId="1F03130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1" w:name="mip65353148"/>
            <w:bookmarkEnd w:id="411"/>
            <w:r w:rsidRPr="00C20292">
              <w:rPr>
                <w:rFonts w:ascii="Times New Roman" w:eastAsia="Times New Roman" w:hAnsi="Times New Roman" w:cs="Times New Roman"/>
                <w:bCs/>
                <w:sz w:val="24"/>
                <w:szCs w:val="24"/>
                <w:lang w:eastAsia="pl-PL"/>
              </w:rPr>
              <w:t xml:space="preserve">Koordynator ds. usług cyfrowych – z wyjątkiem sytuacji, w której działa na wniosek Komisji, o którym mowa w art. 82 – przed złożeniem wniosku, o którym mowa w akapicie pierwszym lit. b) niniejszego ustępu, zwraca się do zainteresowanych stron o przedstawianie pisemnych uwag w wyznaczonym terminie nie </w:t>
            </w:r>
            <w:r w:rsidRPr="00C20292">
              <w:rPr>
                <w:rFonts w:ascii="Times New Roman" w:eastAsia="Times New Roman" w:hAnsi="Times New Roman" w:cs="Times New Roman"/>
                <w:bCs/>
                <w:sz w:val="24"/>
                <w:szCs w:val="24"/>
                <w:lang w:eastAsia="pl-PL"/>
              </w:rPr>
              <w:lastRenderedPageBreak/>
              <w:t>krótszym niż dwa tygodnie, opisując środki, o które zamierza wnioskować, i określając zamierzonego adresata lub zamierzonych adresatów tych środków. Dostawca usług pośrednich, zamierzony adresat lub zamierzeni adresaci oraz jakakolwiek inna osoba trzecia wykazująca prawnie uzasadniony interes są uprawnieni do udziału w postępowaniu przed właściwym organem sądowym. Jakikolwiek nakazany środek musi być proporcjonalny do charakteru, ciężaru, powtarzalności i czasu trwania naruszenia i nie może ograniczać w nienależyty sposób dostępu odbiorców danej usługi do zgodnych z prawem informacji.</w:t>
            </w:r>
          </w:p>
          <w:p w14:paraId="53FE755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Ograniczenie dostępu obowiązuje przez cztery tygodnie, z zastrzeżeniem możliwości, którą dysponuje właściwy organ sądowy i która polega na umożliwieniu za pomocą wydanego nakazu koordynatorowi ds. usług cyfrowych przedłużenia tego okresu o kolejne okresy tej samej długości, z zastrzeżeniem maksymalnej liczby przedłużeń określonej przez ten organ sądowy. Koordynator ds. usług cyfrowych przedłuża taki okres wyłącznie wówczas, gdy, uwzględniając prawa i interesy wszystkich stron, których dotyczy to ograniczenie, oraz wszystkie mające znaczenie okoliczności, w tym wszelkie informacje, jakie mogą mu przekazać dostawca usług pośrednich, adresat lub adresaci oraz jakakolwiek inna osoba trzecia, która wykazała prawnie uzasadniony interes, uzna iż spełnione zostały oba poniższe warunki:</w:t>
            </w:r>
          </w:p>
          <w:p w14:paraId="63E9985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2" w:name="mip65353149"/>
            <w:bookmarkEnd w:id="412"/>
            <w:r w:rsidRPr="00C20292">
              <w:rPr>
                <w:rFonts w:ascii="Times New Roman" w:eastAsia="Times New Roman" w:hAnsi="Times New Roman" w:cs="Times New Roman"/>
                <w:bCs/>
                <w:sz w:val="24"/>
                <w:szCs w:val="24"/>
                <w:lang w:eastAsia="pl-PL"/>
              </w:rPr>
              <w:t>a)</w:t>
            </w:r>
          </w:p>
          <w:p w14:paraId="138587B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dostawca usług pośrednich nie przyjął niezbędnych środków w celu zaprzestania naruszenia;</w:t>
            </w:r>
          </w:p>
          <w:p w14:paraId="04B3351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3" w:name="mip65353150"/>
            <w:bookmarkEnd w:id="413"/>
            <w:r w:rsidRPr="00C20292">
              <w:rPr>
                <w:rFonts w:ascii="Times New Roman" w:eastAsia="Times New Roman" w:hAnsi="Times New Roman" w:cs="Times New Roman"/>
                <w:bCs/>
                <w:sz w:val="24"/>
                <w:szCs w:val="24"/>
                <w:lang w:eastAsia="pl-PL"/>
              </w:rPr>
              <w:t>b)</w:t>
            </w:r>
          </w:p>
          <w:p w14:paraId="6A0992F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lastRenderedPageBreak/>
              <w:t> tymczasowe ograniczenie nie ogranicza w nienależyty sposób dostępu odbiorców usługi do zgodnych z prawem informacji, biorąc pod uwagę liczbę odbiorców, których ograniczenie dotyczy, oraz to, czy istnieją jakiekolwiek odpowiednie i łatwo dostępne rozwiązania alternatywne.</w:t>
            </w:r>
          </w:p>
          <w:p w14:paraId="0C5904F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4" w:name="mip65353151"/>
            <w:bookmarkEnd w:id="414"/>
            <w:r w:rsidRPr="00C20292">
              <w:rPr>
                <w:rFonts w:ascii="Times New Roman" w:eastAsia="Times New Roman" w:hAnsi="Times New Roman" w:cs="Times New Roman"/>
                <w:bCs/>
                <w:sz w:val="24"/>
                <w:szCs w:val="24"/>
                <w:lang w:eastAsia="pl-PL"/>
              </w:rPr>
              <w:t>W przypadku gdy koordynator ds. usług cyfrowych uzna, że warunki określone w akapicie trzecim lit. a) i b) zostały spełnione, lecz nie może dokonać kolejnego przedłużenia okresu na podstawie akapitu trzeciego, składa nowy wniosek do właściwego organu sądowego, o którym mowa w akapicie pierwszym lit. b).</w:t>
            </w:r>
          </w:p>
          <w:p w14:paraId="4E20911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5" w:name="mip65353152"/>
            <w:bookmarkEnd w:id="415"/>
            <w:r w:rsidRPr="00C20292">
              <w:rPr>
                <w:rFonts w:ascii="Times New Roman" w:eastAsia="Times New Roman" w:hAnsi="Times New Roman" w:cs="Times New Roman"/>
                <w:bCs/>
                <w:sz w:val="24"/>
                <w:szCs w:val="24"/>
                <w:lang w:eastAsia="pl-PL"/>
              </w:rPr>
              <w:t>4. Uprawnienia wymienione w ust. 1, 2 i 3 pozostają bez uszczerbku dla sekcji 3.</w:t>
            </w:r>
          </w:p>
          <w:p w14:paraId="526BB20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6" w:name="mip65353153"/>
            <w:bookmarkEnd w:id="416"/>
            <w:r w:rsidRPr="00C20292">
              <w:rPr>
                <w:rFonts w:ascii="Times New Roman" w:eastAsia="Times New Roman" w:hAnsi="Times New Roman" w:cs="Times New Roman"/>
                <w:bCs/>
                <w:sz w:val="24"/>
                <w:szCs w:val="24"/>
                <w:lang w:eastAsia="pl-PL"/>
              </w:rPr>
              <w:t>5. Środki przyjęte przez koordynatorów ds. usług cyfrowych w ramach wykonania uprawnień wymienionych w ust. 1, 2 i 3 muszą być skuteczne, odstraszające i proporcjonalne, biorąc pod uwagę w szczególności charakter, ciężar, powtarzalność i czas trwania naruszenia lub podejrzenia naruszenia, którego dotyczą te środki, a w stosownych przypadkach także zdolność ekonomiczną, techniczną i operacyjną danego dostawcy określonych usług pośrednich.</w:t>
            </w:r>
          </w:p>
          <w:p w14:paraId="089A25C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7" w:name="mip65353154"/>
            <w:bookmarkEnd w:id="417"/>
            <w:r w:rsidRPr="00C20292">
              <w:rPr>
                <w:rFonts w:ascii="Times New Roman" w:eastAsia="Times New Roman" w:hAnsi="Times New Roman" w:cs="Times New Roman"/>
                <w:bCs/>
                <w:sz w:val="24"/>
                <w:szCs w:val="24"/>
                <w:lang w:eastAsia="pl-PL"/>
              </w:rPr>
              <w:t xml:space="preserve">6. Państwa członkowskie ustanawiają szczególne zasady i procedury dotyczące wykonania uprawnień na podstawie ust. 1, 2 i 3 i zapewniają, aby wykonywanie tych uprawnień podlegało odpowiednim zabezpieczeniom ustanowionym w mającym zastosowanie prawie krajowym zgodnym z Kartą oraz z ogólnymi zasadami prawa Unii. W szczególności takie środki przyjmuje się wyłącznie w zgodności z prawem do poszanowania życia prywatnego i prawem </w:t>
            </w:r>
            <w:r w:rsidRPr="00C20292">
              <w:rPr>
                <w:rFonts w:ascii="Times New Roman" w:eastAsia="Times New Roman" w:hAnsi="Times New Roman" w:cs="Times New Roman"/>
                <w:bCs/>
                <w:sz w:val="24"/>
                <w:szCs w:val="24"/>
                <w:lang w:eastAsia="pl-PL"/>
              </w:rPr>
              <w:lastRenderedPageBreak/>
              <w:t>do obrony, w tym z prawem do bycia wysłuchanym i prawem dostępu do akt, oraz z zastrzeżeniem prawa do skutecznego środka prawnego przysługujących wszystkim stronom, których środki dotyczą.</w:t>
            </w:r>
          </w:p>
          <w:p w14:paraId="1CA88F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9920DCE" w14:textId="77777777" w:rsidR="00C20292" w:rsidRPr="007E1E2C" w:rsidRDefault="00001CCF"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432851D5" w14:textId="77777777" w:rsidR="00C20292" w:rsidRPr="007E1E2C" w:rsidRDefault="00001CCF"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43A7032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Art. 22zc. 1. Właściwy organ wszczyna z urzędu postępowanie w sprawie naruszenia obowiązków </w:t>
            </w:r>
            <w:r w:rsidRPr="002D67AB">
              <w:rPr>
                <w:rFonts w:ascii="Times New Roman" w:eastAsia="Times New Roman" w:hAnsi="Times New Roman" w:cs="Times New Roman"/>
                <w:sz w:val="24"/>
                <w:szCs w:val="24"/>
                <w:lang w:eastAsia="pl-PL"/>
              </w:rPr>
              <w:lastRenderedPageBreak/>
              <w:t xml:space="preserve">wynikających z rozporządzenia 2022/2065. </w:t>
            </w:r>
          </w:p>
          <w:p w14:paraId="79314E9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 Stroną postępowania jest każdy, wobec kogo zostało wszczęte postępowanie w sprawie naruszenia obowiązków wynikających z rozporządzenia 2022/2065.</w:t>
            </w:r>
          </w:p>
          <w:p w14:paraId="73A15CC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Właściwy organ wydaje postanowienie o wszczęciu postępowania w sprawie naruszenia obowiązków wynikających z rozporządzenia 2022/2065 oraz zawiadamia o tym stronę postępowania.</w:t>
            </w:r>
          </w:p>
          <w:p w14:paraId="10725C9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Art. 22zd. 1. W toku postępowania, o którym mowa w art. 22zc ust. 1, właściwy organ może przeprowadzić kontrolę podmiotu, </w:t>
            </w:r>
            <w:r w:rsidRPr="002D67AB">
              <w:rPr>
                <w:rFonts w:ascii="Times New Roman" w:eastAsia="Times New Roman" w:hAnsi="Times New Roman" w:cs="Times New Roman"/>
                <w:sz w:val="24"/>
                <w:szCs w:val="24"/>
                <w:lang w:eastAsia="pl-PL"/>
              </w:rPr>
              <w:lastRenderedPageBreak/>
              <w:t>wobec którego zostało wszczęte postępowanie, zwanego dalej „podmiotem kontrolowanym”, w zakresie objętym tym postępowaniem.</w:t>
            </w:r>
          </w:p>
          <w:p w14:paraId="0E56321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 Właściwy organ wszczyna kontrolę z urzędu.</w:t>
            </w:r>
          </w:p>
          <w:p w14:paraId="1BCD8404"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Osoby upoważnione do przeprowadzenia kontroli są uprawnione do:</w:t>
            </w:r>
          </w:p>
          <w:p w14:paraId="364E3C22" w14:textId="63F4CC95"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wstępu do obiektów i pomieszczeń podmiotu kontrolowanego;</w:t>
            </w:r>
          </w:p>
          <w:p w14:paraId="7265C468" w14:textId="1E3D29C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wglądu do dokumentów zawierających dane będące przedmiotem kontroli;</w:t>
            </w:r>
          </w:p>
          <w:p w14:paraId="452CC4BD" w14:textId="6FCE939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przetwarzania danych osobowych w zakresie objętym przedmiotem kontroli;</w:t>
            </w:r>
          </w:p>
          <w:p w14:paraId="61846358" w14:textId="5FACA2D6"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żądania udzielenia ustnych lub pisemnych wyjaśnień od pracowników podmiotu kontrolowanego;</w:t>
            </w:r>
          </w:p>
          <w:p w14:paraId="2EE41B42" w14:textId="151CDB12"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zabezpieczania dokumentów i innych materiałów, z zachowaniem przepisów o ochronie informacji niejawnych i innych informacji prawnie chronionych.</w:t>
            </w:r>
          </w:p>
          <w:p w14:paraId="7FF68937"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4. Kontrola może być wykonywana przez osoby upoważnione po okazaniu upoważnienia do przeprowadzenia kontroli wraz z dokumentem tożsamości wskazanym w tym upoważnieniu albo legitymacji służbowej.</w:t>
            </w:r>
          </w:p>
          <w:p w14:paraId="2FFB05C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 Upoważnienie do przeprowadzenia kontroli zawiera:</w:t>
            </w:r>
          </w:p>
          <w:p w14:paraId="4C1A8F5E" w14:textId="023408B2"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wskazanie podstawy prawnej kontroli;</w:t>
            </w:r>
          </w:p>
          <w:p w14:paraId="31FAF9B1" w14:textId="6AD2FC3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oznaczenie organu kontroli;</w:t>
            </w:r>
          </w:p>
          <w:p w14:paraId="0449CE66" w14:textId="5DE7CE5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datę i miejsce wystawienia;</w:t>
            </w:r>
          </w:p>
          <w:p w14:paraId="1E7FE364" w14:textId="06E7C5E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imię i nazwisko upoważnionego pracownika uprawnionego do przeprowadzenia kontroli;</w:t>
            </w:r>
          </w:p>
          <w:p w14:paraId="2B433FFB" w14:textId="1AFB6E2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określenie stanowiska służbowego upoważnionego pracownika uprawnionego do przeprowadzenia kontroli wraz z informacją o jednostce go zatrudniającej;</w:t>
            </w:r>
          </w:p>
          <w:p w14:paraId="4DFA530E" w14:textId="30F33141"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serię i numer dokumentu tożsamości upoważnionego pracownika uprawnionego do przeprowadzenia kontroli albo numer </w:t>
            </w:r>
            <w:r w:rsidRPr="002D67AB">
              <w:rPr>
                <w:rFonts w:ascii="Times New Roman" w:eastAsia="Times New Roman" w:hAnsi="Times New Roman" w:cs="Times New Roman"/>
                <w:sz w:val="24"/>
                <w:szCs w:val="24"/>
                <w:lang w:eastAsia="pl-PL"/>
              </w:rPr>
              <w:lastRenderedPageBreak/>
              <w:t>jego legitymacji służbowej;</w:t>
            </w:r>
          </w:p>
          <w:p w14:paraId="175115E2" w14:textId="549C762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datę ważności upoważnienia;</w:t>
            </w:r>
          </w:p>
          <w:p w14:paraId="1CC131C1" w14:textId="49BAEB3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oznaczenie podmiotu kontrolowanego;</w:t>
            </w:r>
          </w:p>
          <w:p w14:paraId="3A9E8ADC" w14:textId="60DC71F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określenie zakresu przedmiotowego kontroli;</w:t>
            </w:r>
          </w:p>
          <w:p w14:paraId="6F41FA47" w14:textId="196B7F5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wskazanie daty rozpoczęcia i przewidywanego terminu zakończenia kontroli;</w:t>
            </w:r>
          </w:p>
          <w:p w14:paraId="512B6642" w14:textId="01134579"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imię, nazwisko oraz podpis osoby udzielającej upoważnienia z podaniem zajmowanego stanowiska;</w:t>
            </w:r>
          </w:p>
          <w:p w14:paraId="08FEE48C" w14:textId="16517E61"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pouczenie o prawach i obowiązkach kontrolowanej osoby.</w:t>
            </w:r>
          </w:p>
          <w:p w14:paraId="359277EC"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6. O planowanej kontroli zawiadamia się kierownika podmiotu kontrolowanego, podając </w:t>
            </w:r>
            <w:r w:rsidRPr="002D67AB">
              <w:rPr>
                <w:rFonts w:ascii="Times New Roman" w:eastAsia="Times New Roman" w:hAnsi="Times New Roman" w:cs="Times New Roman"/>
                <w:sz w:val="24"/>
                <w:szCs w:val="24"/>
                <w:lang w:eastAsia="pl-PL"/>
              </w:rPr>
              <w:lastRenderedPageBreak/>
              <w:t>przewidywany czas trwania kontroli.</w:t>
            </w:r>
          </w:p>
          <w:p w14:paraId="4F0F60E4"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7. W przypadku, gdy w trakcie przeprowadzania kontroli, zaistnieje konieczność wydłużenia czasu trwania kontroli, organ właściwy może przedłużyć ważność upoważnienia, o czym niezwłocznie informuje podmiot kontrolowany.</w:t>
            </w:r>
          </w:p>
          <w:p w14:paraId="1C04E199"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8. Kierownik podmiotu kontrolowanego, osoba upoważniona lub inny pracownik podmiotu kontrolowanego, który może być uznany za osobę, o której mowa w art. 97 ustawy z dnia 23 kwietnia 1964 r. – Kodeks cywilny (Dz. U z 2023 r. poz. 1610, 1615, 1890 i 1933), jak również kontrolowana osoba </w:t>
            </w:r>
            <w:r w:rsidRPr="002D67AB">
              <w:rPr>
                <w:rFonts w:ascii="Times New Roman" w:eastAsia="Times New Roman" w:hAnsi="Times New Roman" w:cs="Times New Roman"/>
                <w:sz w:val="24"/>
                <w:szCs w:val="24"/>
                <w:lang w:eastAsia="pl-PL"/>
              </w:rPr>
              <w:lastRenderedPageBreak/>
              <w:t>fizyczna jest obowiązana udzielać kontrolującemu, wszelkich potrzebnych informacji oraz zapewnić mu:</w:t>
            </w:r>
          </w:p>
          <w:p w14:paraId="024F6B19" w14:textId="329205A9"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warunki sprawnego przeprowadzenia kontroli; </w:t>
            </w:r>
          </w:p>
          <w:p w14:paraId="3BCC609E" w14:textId="5DD40E2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dostęp do materiałów, dokumentów oraz innych danych niezbędnych do przeprowadzenia kontroli, danych urządzeń, aparatury i sieci kontrolowanego podmiotu; </w:t>
            </w:r>
          </w:p>
          <w:p w14:paraId="2AA372A1" w14:textId="7D003C0A"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wstęp do obiektów, nieruchomości i pomieszczeń podmiotu kontrolowanego.</w:t>
            </w:r>
          </w:p>
          <w:p w14:paraId="5B71642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9. Podmiot kontrolowany może wnieść sprzeciw wobec podjęcia i wykonywania </w:t>
            </w:r>
            <w:r w:rsidRPr="002D67AB">
              <w:rPr>
                <w:rFonts w:ascii="Times New Roman" w:eastAsia="Times New Roman" w:hAnsi="Times New Roman" w:cs="Times New Roman"/>
                <w:sz w:val="24"/>
                <w:szCs w:val="24"/>
                <w:lang w:eastAsia="pl-PL"/>
              </w:rPr>
              <w:lastRenderedPageBreak/>
              <w:t>kontroli z naruszeniem przepisów. Jeżeli kontrola dotyczy osoby fizycznej niebędącej przedsiębiorcą, przepisy art. 59 ustawy z dnia 6 marca 2018 r. – Prawo przedsiębiorców stosuje się odpowiednio.</w:t>
            </w:r>
          </w:p>
          <w:p w14:paraId="281CFC7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10. W czynnościach kontrolnych mogą brać udział osoby posiadające wiedzę specjalistyczną, niebędące pracownikami właściwego organu, po okazaniu upoważnienia organu przeprowadzającego kontrolę, o której mowa w ust. 1, do wykonywania czynności kontrolnych.</w:t>
            </w:r>
          </w:p>
          <w:p w14:paraId="7B0D830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11. Czynności kontrolne mogą być </w:t>
            </w:r>
            <w:r w:rsidRPr="002D67AB">
              <w:rPr>
                <w:rFonts w:ascii="Times New Roman" w:eastAsia="Times New Roman" w:hAnsi="Times New Roman" w:cs="Times New Roman"/>
                <w:sz w:val="24"/>
                <w:szCs w:val="24"/>
                <w:lang w:eastAsia="pl-PL"/>
              </w:rPr>
              <w:lastRenderedPageBreak/>
              <w:t>prowadzone w sposób zdalny za pomocą środków komunikacji elektronicznej, jeżeli może to usprawnić przeprowadzenie kontroli lub przemawia za tym charakter prowadzonej przez podmiot działalności.</w:t>
            </w:r>
          </w:p>
          <w:p w14:paraId="506930D6"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12. Z przeprowadzonej kontroli sporządza się projekt wystąpienia pokontrolnego i przekazuje go podmiotowi kontrolowanemu.</w:t>
            </w:r>
          </w:p>
          <w:p w14:paraId="6E8354A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13. Projekt wystąpienia pokontrolnego zawiera w szczególności:</w:t>
            </w:r>
          </w:p>
          <w:p w14:paraId="3F54C0B3" w14:textId="2CBA776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określenie zakresu kontroli;</w:t>
            </w:r>
          </w:p>
          <w:p w14:paraId="31716812" w14:textId="54628804"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oznaczenie podmiotu kontrolowanego;</w:t>
            </w:r>
          </w:p>
          <w:p w14:paraId="66B25A98" w14:textId="64D7892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datę rozpoczęcia i zakończenia kontroli;</w:t>
            </w:r>
          </w:p>
          <w:p w14:paraId="634A742D" w14:textId="548DDA6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imiona i nazwiska osób kontrolujących;</w:t>
            </w:r>
          </w:p>
          <w:p w14:paraId="3A57BEF6" w14:textId="0AD35095"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opis przebiegu kontroli;</w:t>
            </w:r>
          </w:p>
          <w:p w14:paraId="5345AA53" w14:textId="5B828B3F"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ustalenia z przeprowadzonej kontroli;</w:t>
            </w:r>
          </w:p>
          <w:p w14:paraId="32A40C84" w14:textId="336C72F0"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informację o stwierdzeniu naruszeń lub ich braku;</w:t>
            </w:r>
          </w:p>
          <w:p w14:paraId="5A81000A" w14:textId="372E039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zalecenia pokontrolne, jeżeli w toku kontroli stwierdzono, że jest zasadne usunięcie stwierdzonych naruszeń.</w:t>
            </w:r>
          </w:p>
          <w:p w14:paraId="21EB628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14. Od otrzymanego projektu wystąpienia pokontrolnego kontrolowanemu przysługuje prawo wniesienia do właściwego organu zastrzeżeń, w terminie 14 dni od dnia doręczenia projektu wystąpienia pokontrolnego.</w:t>
            </w:r>
          </w:p>
          <w:p w14:paraId="5E3018F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15. Kontrolujący niezwłocznie po </w:t>
            </w:r>
            <w:r w:rsidRPr="002D67AB">
              <w:rPr>
                <w:rFonts w:ascii="Times New Roman" w:eastAsia="Times New Roman" w:hAnsi="Times New Roman" w:cs="Times New Roman"/>
                <w:sz w:val="24"/>
                <w:szCs w:val="24"/>
                <w:lang w:eastAsia="pl-PL"/>
              </w:rPr>
              <w:lastRenderedPageBreak/>
              <w:t>rozpatrzeniu zastrzeżeń, przekazuje stanowisko do wniesionych zastrzeżeń wraz z wystąpieniem pokontrolnym lub w przypadku niewniesienia zastrzeżeń, przekazuje wyłącznie wystąpienie pokontrolne.</w:t>
            </w:r>
          </w:p>
          <w:p w14:paraId="763B2EA5"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16. Od wystąpienia pokontrolnego nie przysługują środki odwoławcze.</w:t>
            </w:r>
          </w:p>
          <w:p w14:paraId="57796B7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17. Protokół podpisują kontrolujący oraz kierownik kontrolowanej jednostki lub osoba przez niego upoważniona, a w przypadku kontrolowania osoby fizycznej – kontrolowana osoba fizyczna.</w:t>
            </w:r>
          </w:p>
          <w:p w14:paraId="681DD534"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18. Do czynności kontrolnych, o których mowa w ust. 6–13, stosuje się przepisy o ochronie informacji niejawnych oraz o tajemnicy telekomunikacyjnej, a także o ochronie danych osobowych.</w:t>
            </w:r>
          </w:p>
          <w:p w14:paraId="5B89259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22ze. 1. Właściwy organ wydaje decyzję o naruszeniu przez dostawcę usług pośrednich obowiązków wynikających z rozporządzenia 2022/2065, nakazującą zaprzestania naruszeń, jeżeli stwierdzi naruszenie obowiązków wynikających z rozporządzenia 2022/2065.</w:t>
            </w:r>
          </w:p>
          <w:p w14:paraId="377351A5"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W decyzji, o której mowa w ust. 1, właściwy organ może </w:t>
            </w:r>
            <w:r w:rsidRPr="002D67AB">
              <w:rPr>
                <w:rFonts w:ascii="Times New Roman" w:eastAsia="Times New Roman" w:hAnsi="Times New Roman" w:cs="Times New Roman"/>
                <w:sz w:val="24"/>
                <w:szCs w:val="24"/>
                <w:lang w:eastAsia="pl-PL"/>
              </w:rPr>
              <w:lastRenderedPageBreak/>
              <w:t>zawierać środki usunięcia skutków naruszenia obowiązków wynikające z rozporządzenia 2022/2065 w celu zapewnienia wykonania nakazu.</w:t>
            </w:r>
          </w:p>
          <w:p w14:paraId="5E0FE73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Środki, o których mowa w ust. 2, powinny być proporcjonalne do wagi i rodzaju naruszenia oraz konieczne do usunięcia jego skutków.</w:t>
            </w:r>
          </w:p>
          <w:p w14:paraId="2326966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Art. 22zf. Jeżeli w wyniku postępowania, o którym mowa w art. 22zc ust. 1, stwierdzono, że dostawca usług pośrednich nie wypełnia odnoszących się do niego obowiązków wynikających z rozporządzenia 2022/2065 lub </w:t>
            </w:r>
            <w:r w:rsidRPr="002D67AB">
              <w:rPr>
                <w:rFonts w:ascii="Times New Roman" w:eastAsia="Times New Roman" w:hAnsi="Times New Roman" w:cs="Times New Roman"/>
                <w:sz w:val="24"/>
                <w:szCs w:val="24"/>
                <w:lang w:eastAsia="pl-PL"/>
              </w:rPr>
              <w:lastRenderedPageBreak/>
              <w:t>decyzji, o której mowa w ust. 1, wydanej przez właściwy organ, organ ten może nałożyć karę, o której mowa w art. 22zr.</w:t>
            </w:r>
          </w:p>
          <w:p w14:paraId="1A65C531"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22zg. 1. Nie wydaje się decyzji, o której mowa w art. 22ze ust. 1, jeżeli dostawca usług pośrednich zaprzestał w trakcie prowadzonego postępowania naruszania obowiązków wynikających z rozporządzenia 2022/2065.</w:t>
            </w:r>
          </w:p>
          <w:p w14:paraId="4D4AAA5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W przypadku określonym w ust. 1, właściwy organ wydaje decyzję o naruszeniu przez dostawcę usług pośrednich obowiązków wynikających z rozporządzenia 2022/2065 i </w:t>
            </w:r>
            <w:r w:rsidRPr="002D67AB">
              <w:rPr>
                <w:rFonts w:ascii="Times New Roman" w:eastAsia="Times New Roman" w:hAnsi="Times New Roman" w:cs="Times New Roman"/>
                <w:sz w:val="24"/>
                <w:szCs w:val="24"/>
                <w:lang w:eastAsia="pl-PL"/>
              </w:rPr>
              <w:lastRenderedPageBreak/>
              <w:t>stwierdzającą zaniechanie ich stosowania.</w:t>
            </w:r>
          </w:p>
          <w:p w14:paraId="44768927"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Ciężar udowodnienia zaprzestania naruszania obowiązków, o których mowa w ust. 1, spoczywa na przedsiębiorcy.</w:t>
            </w:r>
          </w:p>
          <w:p w14:paraId="12786F11"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22zh. 1. Jeżeli w toku postępowania w sprawie naruszenia przepisów rozporządzenia 2022/2065 zostanie uprawdopodobnione, na podstawie okoliczności sprawy, że dostawca usług pośrednich:</w:t>
            </w:r>
          </w:p>
          <w:p w14:paraId="3149A71C" w14:textId="4108A7A9"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naruszył obowiązki wynikające z rozporządzenia 2022/2065 i zobowiąże się do podjęcia lub zaniechania określonych działań zmierzających do </w:t>
            </w:r>
            <w:r w:rsidRPr="002D67AB">
              <w:rPr>
                <w:rFonts w:ascii="Times New Roman" w:eastAsia="Times New Roman" w:hAnsi="Times New Roman" w:cs="Times New Roman"/>
                <w:sz w:val="24"/>
                <w:szCs w:val="24"/>
                <w:lang w:eastAsia="pl-PL"/>
              </w:rPr>
              <w:lastRenderedPageBreak/>
              <w:t>zakończenia naruszenia oraz usunięcia jego skutków;</w:t>
            </w:r>
          </w:p>
          <w:p w14:paraId="719C9F08" w14:textId="2BEF678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zaprzestał naruszania przepisów rozporządzenia 2022/2065 i zobowiąże się do usunięcia skutków tego naruszenia</w:t>
            </w:r>
          </w:p>
          <w:p w14:paraId="208DE926" w14:textId="052B63C2" w:rsidR="002D67AB" w:rsidRPr="002D67AB" w:rsidRDefault="002D67AB" w:rsidP="002D67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właściwy organ może, w drodze decyzji, zobowiązać dostawcę usług pośrednich do wykonania tych zobowiązań.</w:t>
            </w:r>
          </w:p>
          <w:p w14:paraId="7F36185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W decyzji, o której mowa w ust. 1, właściwy organ może określić termin wykonania zobowiązań lub zobowiązać dostawcę usług pośrednich do złożenia jednokrotnego lub wielokrotnego oświadczenia o treści i w formie określonej w decyzji, lub do </w:t>
            </w:r>
            <w:r w:rsidRPr="002D67AB">
              <w:rPr>
                <w:rFonts w:ascii="Times New Roman" w:eastAsia="Times New Roman" w:hAnsi="Times New Roman" w:cs="Times New Roman"/>
                <w:sz w:val="24"/>
                <w:szCs w:val="24"/>
                <w:lang w:eastAsia="pl-PL"/>
              </w:rPr>
              <w:lastRenderedPageBreak/>
              <w:t xml:space="preserve">publikacji decyzji w całości lub w części na koszt przedsiębiorcy. </w:t>
            </w:r>
          </w:p>
          <w:p w14:paraId="5951A58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3. W decyzji, o której mowa w ust. 1, właściwy organ nakłada na dostawcę usług pośrednich obowiązek składania w wyznaczonym terminie informacji o stopniu realizacji zobowiązań. </w:t>
            </w:r>
          </w:p>
          <w:p w14:paraId="2C478B00"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4. Właściwy organ może z urzędu uchylić decyzję, o której mowa w ust. 1, w przypadku gdy:</w:t>
            </w:r>
          </w:p>
          <w:p w14:paraId="4FAC54DE" w14:textId="2130E966"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została ona wydana w oparciu o nieprawdziwe, niekompletne lub wprowadzające w błąd informacje lub dokumenty;</w:t>
            </w:r>
          </w:p>
          <w:p w14:paraId="2140A8A2" w14:textId="23557413"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dostawca usług pośrednich nie wykonuje zobowiązań lub obowiązków, o </w:t>
            </w:r>
            <w:r w:rsidRPr="002D67AB">
              <w:rPr>
                <w:rFonts w:ascii="Times New Roman" w:eastAsia="Times New Roman" w:hAnsi="Times New Roman" w:cs="Times New Roman"/>
                <w:sz w:val="24"/>
                <w:szCs w:val="24"/>
                <w:lang w:eastAsia="pl-PL"/>
              </w:rPr>
              <w:lastRenderedPageBreak/>
              <w:t>których mowa w ust. 1-3.</w:t>
            </w:r>
          </w:p>
          <w:p w14:paraId="48921C7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 Właściwy organ może, za zgodą dostawcy usług pośrednich, z urzędu uchylić decyzję, o której mowa w ust. 1, w przypadku gdy nastąpiła zmiana okoliczności, mających istotny wpływ na wydanie decyzji.</w:t>
            </w:r>
          </w:p>
          <w:p w14:paraId="285B550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6. W przypadku uchylenia decyzji właściwy organ orzeka co do istoty sprawy.</w:t>
            </w:r>
          </w:p>
          <w:p w14:paraId="52DAC0A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7. Jeżeli po upływie 30 dni od dnia doręczenia decyzji, o której mowa w ust. 1, lub upływie terminu, o którym mowa w ust. 2, dostawca usług pośrednich nie podjął działań zmierzających do zakończenia naruszenia lub usunięcia jego </w:t>
            </w:r>
            <w:r w:rsidRPr="002D67AB">
              <w:rPr>
                <w:rFonts w:ascii="Times New Roman" w:eastAsia="Times New Roman" w:hAnsi="Times New Roman" w:cs="Times New Roman"/>
                <w:sz w:val="24"/>
                <w:szCs w:val="24"/>
                <w:lang w:eastAsia="pl-PL"/>
              </w:rPr>
              <w:lastRenderedPageBreak/>
              <w:t>skutków, właściwy organ może nałożyć karę, o której mowa w art. 22zr, chyba że na podstawie art. 22zf zostało już wszczęte postępowanie w sprawie nałożenia kary za niewypełnianie tych obowiązków.</w:t>
            </w:r>
          </w:p>
          <w:p w14:paraId="2D1E3E02"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22zi. 1. Właściwy organ bez wszczynania postępowania może wystąpić do dostawcy usług pośrednich w sprawie podejrzenia naruszenia obowiązków wynikających z rozporządzenia 2022/2065.</w:t>
            </w:r>
          </w:p>
          <w:p w14:paraId="7C3D9D0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Dostawca usług pośrednich, do którego właściwy organ skierował wystąpienie, może w terminie określonym przez ten organ przekazać stanowisko </w:t>
            </w:r>
            <w:r w:rsidRPr="002D67AB">
              <w:rPr>
                <w:rFonts w:ascii="Times New Roman" w:eastAsia="Times New Roman" w:hAnsi="Times New Roman" w:cs="Times New Roman"/>
                <w:sz w:val="24"/>
                <w:szCs w:val="24"/>
                <w:lang w:eastAsia="pl-PL"/>
              </w:rPr>
              <w:lastRenderedPageBreak/>
              <w:t>w sprawie, której dotyczy wystąpienie.</w:t>
            </w:r>
          </w:p>
          <w:p w14:paraId="62BF031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Termin, o którym mowa w ust. 2, nie może być krótszy niż 14 dni, licząc od dnia doręczenia wystąpienia dostawcy usług pośrednich.</w:t>
            </w:r>
          </w:p>
          <w:p w14:paraId="50A63EA2" w14:textId="761F79EE" w:rsidR="00C20292" w:rsidRPr="007E1E2C"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22zj. W zakresie nieuregulowanym w ustawie do postępowań administracyjnych, o których mowa w rozdziale 4b - 4e, stosuje się przepisy ustawy z dnia 14 czerwca 1960 r. – Kodeks postępowania administracyjnego (Dz. U. z 2023 r. poz. 775).</w:t>
            </w:r>
          </w:p>
        </w:tc>
        <w:tc>
          <w:tcPr>
            <w:tcW w:w="817" w:type="pct"/>
            <w:tcBorders>
              <w:top w:val="outset" w:sz="6" w:space="0" w:color="auto"/>
              <w:left w:val="outset" w:sz="6" w:space="0" w:color="auto"/>
              <w:bottom w:val="outset" w:sz="6" w:space="0" w:color="auto"/>
              <w:right w:val="outset" w:sz="6" w:space="0" w:color="auto"/>
            </w:tcBorders>
            <w:vAlign w:val="center"/>
          </w:tcPr>
          <w:p w14:paraId="14BDADD0"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676557F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1FD6675"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52</w:t>
            </w:r>
          </w:p>
        </w:tc>
        <w:tc>
          <w:tcPr>
            <w:tcW w:w="1650" w:type="pct"/>
            <w:tcBorders>
              <w:top w:val="outset" w:sz="6" w:space="0" w:color="auto"/>
              <w:left w:val="outset" w:sz="6" w:space="0" w:color="auto"/>
              <w:bottom w:val="outset" w:sz="6" w:space="0" w:color="auto"/>
              <w:right w:val="outset" w:sz="6" w:space="0" w:color="auto"/>
            </w:tcBorders>
            <w:vAlign w:val="center"/>
          </w:tcPr>
          <w:p w14:paraId="5150885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Państwa członkowskie ustanawiają przepisy dotyczące sankcji mających zastosowanie w przypadku naruszeń niniejszego rozporządzenia przez dostawców usług pośrednich podlegających ich kompetencji oraz przyjmują wszelkie środki niezbędne do zapewnienia ich wykonania zgodnie z art. 51.</w:t>
            </w:r>
          </w:p>
          <w:p w14:paraId="198A884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8" w:name="mip65353157"/>
            <w:bookmarkEnd w:id="418"/>
            <w:r w:rsidRPr="00C20292">
              <w:rPr>
                <w:rFonts w:ascii="Times New Roman" w:eastAsia="Times New Roman" w:hAnsi="Times New Roman" w:cs="Times New Roman"/>
                <w:bCs/>
                <w:sz w:val="24"/>
                <w:szCs w:val="24"/>
                <w:lang w:eastAsia="pl-PL"/>
              </w:rPr>
              <w:t xml:space="preserve">2. Sankcje muszą być skuteczne, proporcjonalne i odstraszające. Państwa członkowskie powiadamiają </w:t>
            </w:r>
            <w:r w:rsidRPr="00C20292">
              <w:rPr>
                <w:rFonts w:ascii="Times New Roman" w:eastAsia="Times New Roman" w:hAnsi="Times New Roman" w:cs="Times New Roman"/>
                <w:bCs/>
                <w:sz w:val="24"/>
                <w:szCs w:val="24"/>
                <w:lang w:eastAsia="pl-PL"/>
              </w:rPr>
              <w:lastRenderedPageBreak/>
              <w:t>Komisję o tych przepisach i środkach, a także niezwłocznie powiadamiają ją o wszelkich późniejszych zmianach mających na nie wpływ.</w:t>
            </w:r>
          </w:p>
          <w:p w14:paraId="729A16F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9" w:name="mip65353158"/>
            <w:bookmarkEnd w:id="419"/>
            <w:r w:rsidRPr="00C20292">
              <w:rPr>
                <w:rFonts w:ascii="Times New Roman" w:eastAsia="Times New Roman" w:hAnsi="Times New Roman" w:cs="Times New Roman"/>
                <w:bCs/>
                <w:sz w:val="24"/>
                <w:szCs w:val="24"/>
                <w:lang w:eastAsia="pl-PL"/>
              </w:rPr>
              <w:t>3. Państwa członkowskie zapewniają, aby maksymalna wysokość grzywien, które mogą być nałożone za niewypełnienie obowiązku ustanowionego w niniejszym rozporządzeniu, wynosiła 6 % rocznego światowego obrotu danego dostawcy usług pośrednich w poprzednim roku obrotowym. Państwa członkowskie zapewniają, aby maksymalna wysokość grzywny, która może być nałożona za udzielenie nieprawidłowych, niekompletnych lub wprowadzających w błąd informacji, nieudzielenie odpowiedzi lub niepoprawienie nieprawidłowych, niekompletnych lub wprowadzających w błąd informacji oraz niepoddanie się kontroli wynosiła 1 % rocznego dochodu lub światowego obrotu danego dostawcy usług pośrednich lub danej osoby w poprzednim roku obrotowym.</w:t>
            </w:r>
          </w:p>
          <w:p w14:paraId="1C706E3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0" w:name="mip65353159"/>
            <w:bookmarkEnd w:id="420"/>
            <w:r w:rsidRPr="00C20292">
              <w:rPr>
                <w:rFonts w:ascii="Times New Roman" w:eastAsia="Times New Roman" w:hAnsi="Times New Roman" w:cs="Times New Roman"/>
                <w:bCs/>
                <w:sz w:val="24"/>
                <w:szCs w:val="24"/>
                <w:lang w:eastAsia="pl-PL"/>
              </w:rPr>
              <w:t>4. Państwa członkowskie zapewniają, aby maksymalna dzienna wysokość okresowej kary pieniężnej wynosiła 5 % średniego dziennego światowego obrotu lub dochodu danego dostawcy usług pośrednich w poprzednim roku obrotowym, a kara ta była naliczana począwszy od daty wskazanej w odnośnej decyzji.</w:t>
            </w:r>
          </w:p>
          <w:p w14:paraId="2040A4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AF83888" w14:textId="77777777" w:rsidR="00C20292" w:rsidRPr="00F94F1E" w:rsidRDefault="00001CCF"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4F9DB244" w14:textId="4B42D66E" w:rsidR="00C20292" w:rsidRPr="00F94F1E" w:rsidRDefault="00001CCF"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Art. 1 pkt 5</w:t>
            </w:r>
            <w:r w:rsidR="009A2F3E" w:rsidRPr="00F94F1E">
              <w:rPr>
                <w:rFonts w:ascii="Times New Roman" w:eastAsia="Times New Roman" w:hAnsi="Times New Roman" w:cs="Times New Roman"/>
                <w:sz w:val="24"/>
                <w:szCs w:val="24"/>
                <w:lang w:eastAsia="pl-PL"/>
              </w:rPr>
              <w:t>;</w:t>
            </w:r>
          </w:p>
        </w:tc>
        <w:tc>
          <w:tcPr>
            <w:tcW w:w="866" w:type="pct"/>
            <w:tcBorders>
              <w:top w:val="outset" w:sz="6" w:space="0" w:color="auto"/>
              <w:left w:val="outset" w:sz="6" w:space="0" w:color="auto"/>
              <w:bottom w:val="outset" w:sz="6" w:space="0" w:color="auto"/>
              <w:right w:val="outset" w:sz="6" w:space="0" w:color="auto"/>
            </w:tcBorders>
            <w:vAlign w:val="center"/>
          </w:tcPr>
          <w:p w14:paraId="72960A48"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22zr. 1. Właściwy organ, może nałożyć na dostawcę usług pośrednich obowiązanego do przestrzegania przepisów </w:t>
            </w:r>
            <w:r w:rsidRPr="00B20502">
              <w:rPr>
                <w:rFonts w:ascii="Times New Roman" w:eastAsia="Times New Roman" w:hAnsi="Times New Roman" w:cs="Times New Roman"/>
                <w:sz w:val="24"/>
                <w:szCs w:val="24"/>
                <w:lang w:eastAsia="pl-PL"/>
              </w:rPr>
              <w:lastRenderedPageBreak/>
              <w:t xml:space="preserve">rozporządzenia 2022/2065, w drodze decyzji, administracyjną karę pieniężną w wysokości nie większej niż 6% światowego obrotu osiągniętego przez ten podmiot w roku obrotowym poprzedzającym rok nałożenia kary, jeżeli nie wypełnia on obowiązki określone w art. 11-12, art. 14-18, art. 20-21, art. 22 ust. 1, art. 23-28 i art. 30-32 rozporządzenia 2022/2065. </w:t>
            </w:r>
          </w:p>
          <w:p w14:paraId="011555BC"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2. Właściwy organ w zakresie objętym jego właściwością, może nałożyć na dostawcę usług pośrednich obowiązanego do przestrzegania przepisów rozporządzenia 2022/2065, w drodze decyzji, administracyjną karę </w:t>
            </w:r>
            <w:r w:rsidRPr="00B20502">
              <w:rPr>
                <w:rFonts w:ascii="Times New Roman" w:eastAsia="Times New Roman" w:hAnsi="Times New Roman" w:cs="Times New Roman"/>
                <w:sz w:val="24"/>
                <w:szCs w:val="24"/>
                <w:lang w:eastAsia="pl-PL"/>
              </w:rPr>
              <w:lastRenderedPageBreak/>
              <w:t xml:space="preserve">pieniężną w wysokości nie większej niż 1% rocznego dochodu lub światowego obrotu danego podmiotu w roku obrotowym poprzedzającym rok nałożenia kary, jeżeli: </w:t>
            </w:r>
          </w:p>
          <w:p w14:paraId="2A86BE3A" w14:textId="43222548"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 xml:space="preserve">utrudnia lub uniemożliwia wykonywanie czynności kontrolnych przez właściwy organ; </w:t>
            </w:r>
          </w:p>
          <w:p w14:paraId="0E3C8201" w14:textId="794C8120"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nie wypełnia obowiązków związanych z udzieleniem informacji, o których mowa w art. 51 ust. 1 rozporządzenia 2022/2065.</w:t>
            </w:r>
          </w:p>
          <w:p w14:paraId="4254118E"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3. Właściwy organ w zakresie objętym jego właściwością, może nałożyć na dostawcę usług pośrednich obowiązanego do przestrzegania przepisów </w:t>
            </w:r>
            <w:r w:rsidRPr="00B20502">
              <w:rPr>
                <w:rFonts w:ascii="Times New Roman" w:eastAsia="Times New Roman" w:hAnsi="Times New Roman" w:cs="Times New Roman"/>
                <w:sz w:val="24"/>
                <w:szCs w:val="24"/>
                <w:lang w:eastAsia="pl-PL"/>
              </w:rPr>
              <w:lastRenderedPageBreak/>
              <w:t xml:space="preserve">rozporządzenia 2022/2065, w drodze decyzji, okresową karę pieniężną, której maksymalna dzienna wysokość wynosi nie więcej niż 5% średniego dziennego światowego obrotu lub dochodu danego podmiotu osiągniętego w roku obrotowym poprzedzającym rok nałożenia kary. Karę pieniężną nakłada się, licząc od daty wskazanej w decyzji. </w:t>
            </w:r>
          </w:p>
          <w:p w14:paraId="2E3244B9"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4. Administracyjne kary pieniężne, o których mowa w ust. 1-3, mogą zostać nałożone także w przypadku, gdy dostawca usług pośrednich zaprzestał naruszania prawa lub naprawił wyrządzoną szkodę, jeżeli właściwy organ uzna, że przemawiają za tym czas trwania, </w:t>
            </w:r>
            <w:r w:rsidRPr="00B20502">
              <w:rPr>
                <w:rFonts w:ascii="Times New Roman" w:eastAsia="Times New Roman" w:hAnsi="Times New Roman" w:cs="Times New Roman"/>
                <w:sz w:val="24"/>
                <w:szCs w:val="24"/>
                <w:lang w:eastAsia="pl-PL"/>
              </w:rPr>
              <w:lastRenderedPageBreak/>
              <w:t>zakres lub skutki naruszenia.</w:t>
            </w:r>
          </w:p>
          <w:p w14:paraId="59833DFA"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22zs. Ustalając wysokość kary pieniężnej, właściwy organ, o którym mowa art. 22b, uwzględnia czas trwania, zakres lub skutki naruszenia, wcześniejsze naruszenia popełnione przez ukaranego dostawcę usług pośrednich, o którym mowa w art. 22zr, dotychczasową działalność podmiotu oraz jego możliwości finansowe. </w:t>
            </w:r>
          </w:p>
          <w:p w14:paraId="1AED98AF"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22zt. 1. Dostawca usług pośrednich jest obowiązany do dostarczenia właściwemu organowi na każde jego żądanie, w terminie 30 dni od dnia doręczenia żądania, danych niezbędnych do </w:t>
            </w:r>
            <w:r w:rsidRPr="00B20502">
              <w:rPr>
                <w:rFonts w:ascii="Times New Roman" w:eastAsia="Times New Roman" w:hAnsi="Times New Roman" w:cs="Times New Roman"/>
                <w:sz w:val="24"/>
                <w:szCs w:val="24"/>
                <w:lang w:eastAsia="pl-PL"/>
              </w:rPr>
              <w:lastRenderedPageBreak/>
              <w:t>określenia podstawy wymiaru kary pieniężnej. W przypadku niedostarczenia danych lub gdy dostarczone dane uniemożliwiają ustalenie podstawy wymiaru kary, właściwy organ może ustalić podstawę wymiaru kary pieniężnej w sposób szacunkowy, uwzględniając wielkość dostawcy usług pośrednich, specyfikę prowadzonej przez niego działalności lub ogólnie dostępne dane finansowe dotyczące dostawcy usług pośrednich, nie mniejszą jednak niż kwota 500 000 zł.</w:t>
            </w:r>
          </w:p>
          <w:p w14:paraId="28072487"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2. W przypadku gdy dostawca usług pośrednich powstał w wyniku połączenia lub przekształcenia </w:t>
            </w:r>
            <w:r w:rsidRPr="00B20502">
              <w:rPr>
                <w:rFonts w:ascii="Times New Roman" w:eastAsia="Times New Roman" w:hAnsi="Times New Roman" w:cs="Times New Roman"/>
                <w:sz w:val="24"/>
                <w:szCs w:val="24"/>
                <w:lang w:eastAsia="pl-PL"/>
              </w:rPr>
              <w:lastRenderedPageBreak/>
              <w:t>innych przedsiębiorców, obliczając wysokość jego obrotu, o którym mowa w art. 22zr ust. 1 i 2, właściwy organ uwzględnia obrót osiągnięty przez tych dostawców usług pośrednich w roku obrotowym poprzedzającym rok nałożenia kary.</w:t>
            </w:r>
          </w:p>
          <w:p w14:paraId="3511164D"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3. W przypadku gdy dostawca usług pośrednich w roku obrotowym poprzedzającym rok nałożenia kary nie osiągnął obrotu lub osiągnął obrót w wysokości nieprzekraczającej równowartości 500 000 złotych właściwy organ nakładając administracyjną karę pieniężną na podstawie art. 22zr ust. 1 i 2 uwzględnia średni obrót osiągnięty przez </w:t>
            </w:r>
            <w:r w:rsidRPr="00B20502">
              <w:rPr>
                <w:rFonts w:ascii="Times New Roman" w:eastAsia="Times New Roman" w:hAnsi="Times New Roman" w:cs="Times New Roman"/>
                <w:sz w:val="24"/>
                <w:szCs w:val="24"/>
                <w:lang w:eastAsia="pl-PL"/>
              </w:rPr>
              <w:lastRenderedPageBreak/>
              <w:t>dostawcę usług pośrednich w trzech kolejnych latach obrotowych poprzedzających rok nałożenia kary.</w:t>
            </w:r>
          </w:p>
          <w:p w14:paraId="6B9157D8"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4. W przypadku gdy dostawca usług pośrednich nie osiągnął obrotu w okresie trzyletnim, o którym mowa w ust. 3, lub gdy obrót dostawcy usług pośrednich obliczony na podstawie tego przepisu nie przekracza równowartości 500 000 złotych właściwy organ, o którym mowa w art. 22b, może nałożyć na dostawcę usług pośrednich, w drodze decyzji, administracyjną karę pieniężną w wysokości nieprzekraczającej równowartości 15 000 złotych.</w:t>
            </w:r>
          </w:p>
          <w:p w14:paraId="41E3EB6F"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lastRenderedPageBreak/>
              <w:t>5. W przypadku gdy przed wydaniem decyzji dostawca usług pośrednich nie dysponuje danymi finansowymi niezbędnymi do ustalenia obrotu za rok obrotowy poprzedzający rok nałożenia kary, właściwy organ nakładając karę pieniężną na podstawie art. 22zr ust. 1 i 2, uwzględnia:</w:t>
            </w:r>
          </w:p>
          <w:p w14:paraId="5FCBE5CD" w14:textId="0DB46BF0"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obrót osiągnięty przez dostawcę usług pośrednich w roku obrotowym poprzedzającym ten rok;</w:t>
            </w:r>
          </w:p>
          <w:p w14:paraId="2C3BD991" w14:textId="02159525"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w przypadku, o którym mowa w ust. 4 – średni obrót osiągnięty przez dostawcę usług pośrednich w trzech kolejnych latach obrotowych poprzedzających ten rok.</w:t>
            </w:r>
          </w:p>
          <w:p w14:paraId="0F165F54"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lastRenderedPageBreak/>
              <w:t>Art. 22zu. Środki z administracyjnej kary pieniężnej, o której mowa w art. 22zr, stanowią dochód budżetu państwa.</w:t>
            </w:r>
          </w:p>
          <w:p w14:paraId="6853D036"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22zv. 1. Administracyjne kary pieniężne podlegają egzekucji w trybie przepisów o postępowaniu egzekucyjnym w administracji w zakresie egzekucji obowiązków o charakterze pieniężnym. </w:t>
            </w:r>
          </w:p>
          <w:p w14:paraId="109A4E40" w14:textId="7DECF6DE" w:rsidR="00C20292" w:rsidRPr="00F94F1E"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2. Administracyjną karę pieniężną uiszcza się w terminie 14 dni od dnia, w którym decyzja, o której mowa w art. 22zr ust. 1-3, stała się ostateczna.</w:t>
            </w:r>
          </w:p>
        </w:tc>
        <w:tc>
          <w:tcPr>
            <w:tcW w:w="817" w:type="pct"/>
            <w:tcBorders>
              <w:top w:val="outset" w:sz="6" w:space="0" w:color="auto"/>
              <w:left w:val="outset" w:sz="6" w:space="0" w:color="auto"/>
              <w:bottom w:val="outset" w:sz="6" w:space="0" w:color="auto"/>
              <w:right w:val="outset" w:sz="6" w:space="0" w:color="auto"/>
            </w:tcBorders>
            <w:vAlign w:val="center"/>
          </w:tcPr>
          <w:p w14:paraId="0AB89CD5"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134FA7B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5EC8E99"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53</w:t>
            </w:r>
          </w:p>
        </w:tc>
        <w:tc>
          <w:tcPr>
            <w:tcW w:w="1650" w:type="pct"/>
            <w:tcBorders>
              <w:top w:val="outset" w:sz="6" w:space="0" w:color="auto"/>
              <w:left w:val="outset" w:sz="6" w:space="0" w:color="auto"/>
              <w:bottom w:val="outset" w:sz="6" w:space="0" w:color="auto"/>
              <w:right w:val="outset" w:sz="6" w:space="0" w:color="auto"/>
            </w:tcBorders>
            <w:vAlign w:val="center"/>
          </w:tcPr>
          <w:p w14:paraId="4F2764B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Odbiorcom usługi, a także wszelkim podmiotom, organizacjom i zrzeszeniom upoważnionym do wykonywania w ich imieniu praw przyznanych niniejszym rozporządzeniem, przysługuje prawo do wniesienia skargi na dostawców usług pośrednich w </w:t>
            </w:r>
            <w:r w:rsidRPr="00C20292">
              <w:rPr>
                <w:rFonts w:ascii="Times New Roman" w:eastAsia="Times New Roman" w:hAnsi="Times New Roman" w:cs="Times New Roman"/>
                <w:bCs/>
                <w:sz w:val="24"/>
                <w:szCs w:val="24"/>
                <w:lang w:eastAsia="pl-PL"/>
              </w:rPr>
              <w:lastRenderedPageBreak/>
              <w:t>związku z zarzucanym naruszeniem niniejszego rozporządzenia do koordynatora ds. usług cyfrowych państwa członkowskiego, w którym znajduje się lub ma siedzibę odbiorca usługi. Koordynator ds. usług cyfrowych dokonuje oceny skargi i, w stosownych przypadkach, przekazuje ją koordynatorowi ds. usług cyfrowych właściwemu dla miejsca siedziby wraz z opinią, jeżeli zostanie to uznane za stosowne. Jeżeli skarga podlega kompetencji innego właściwego organu w jego państwie członkowskim, koordynator ds. usług cyfrowych otrzymujący skargę przekazuje ją temu organowi. W trakcie postępowania obie strony mają prawo do bycia wysłuchanymi i do otrzymania odpowiednich informacji na temat statusu skargi zgodnie z prawem krajowym.</w:t>
            </w:r>
          </w:p>
        </w:tc>
        <w:tc>
          <w:tcPr>
            <w:tcW w:w="788" w:type="pct"/>
            <w:tcBorders>
              <w:top w:val="outset" w:sz="6" w:space="0" w:color="auto"/>
              <w:left w:val="outset" w:sz="6" w:space="0" w:color="auto"/>
              <w:bottom w:val="outset" w:sz="6" w:space="0" w:color="auto"/>
              <w:right w:val="outset" w:sz="6" w:space="0" w:color="auto"/>
            </w:tcBorders>
            <w:vAlign w:val="center"/>
          </w:tcPr>
          <w:p w14:paraId="354E9D5D"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3F7C211"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Art. 1 pkt 5 </w:t>
            </w:r>
          </w:p>
        </w:tc>
        <w:tc>
          <w:tcPr>
            <w:tcW w:w="866" w:type="pct"/>
            <w:tcBorders>
              <w:top w:val="outset" w:sz="6" w:space="0" w:color="auto"/>
              <w:left w:val="outset" w:sz="6" w:space="0" w:color="auto"/>
              <w:bottom w:val="outset" w:sz="6" w:space="0" w:color="auto"/>
              <w:right w:val="outset" w:sz="6" w:space="0" w:color="auto"/>
            </w:tcBorders>
            <w:vAlign w:val="center"/>
          </w:tcPr>
          <w:p w14:paraId="35DD60D6"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 xml:space="preserve">Art. 22zq. 1. Do wniesienia skargi, o której mowa w art. 53 rozporządzenia 2022/2065, przepisy </w:t>
            </w:r>
            <w:r w:rsidRPr="00106740">
              <w:rPr>
                <w:rFonts w:ascii="Times New Roman" w:eastAsia="Times New Roman" w:hAnsi="Times New Roman" w:cs="Times New Roman"/>
                <w:sz w:val="24"/>
                <w:szCs w:val="24"/>
                <w:lang w:eastAsia="pl-PL"/>
              </w:rPr>
              <w:lastRenderedPageBreak/>
              <w:t>art. 22h ust. 1-3 stosuje się odpowiednio.</w:t>
            </w:r>
          </w:p>
          <w:p w14:paraId="08D8AF43"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 xml:space="preserve">2. Prezes UKE dokonuje oceny skargi. </w:t>
            </w:r>
          </w:p>
          <w:p w14:paraId="7BC855AF"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3. W przypadku, gdy w ocenie Prezesa UKE, właściwym do rozpatrzenia skargi jest Prezes UOKiK, Prezes UKE przekazuje skargę temu organowi i informuje o tym podmiot składający skargę.</w:t>
            </w:r>
          </w:p>
          <w:p w14:paraId="4F8C0B31"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4. Właściwy organ zawiadamia dostawcę usług pośrednich, którego skarga dotyczy, za pośrednictwem pojedynczego punktu kontaktowego, o którym mowa w art. 11 ust. 1 rozporządzenia 2022/2065, o wniesieniu skargi.</w:t>
            </w:r>
          </w:p>
          <w:p w14:paraId="4A9630F0"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 xml:space="preserve">5. Właściwy organ informuje </w:t>
            </w:r>
            <w:r w:rsidRPr="00106740">
              <w:rPr>
                <w:rFonts w:ascii="Times New Roman" w:eastAsia="Times New Roman" w:hAnsi="Times New Roman" w:cs="Times New Roman"/>
                <w:sz w:val="24"/>
                <w:szCs w:val="24"/>
                <w:lang w:eastAsia="pl-PL"/>
              </w:rPr>
              <w:lastRenderedPageBreak/>
              <w:t>wnoszącego skargę oraz dostawcę usług pośrednich, którego skarga dotyczy, o możliwości przedstawienia wszelkich dokumentów i wyjaśnień, które mogą mieć znaczenia dla rozpatrzenia skargi, w terminie 14 dni od dnia otrzymania informacji.</w:t>
            </w:r>
          </w:p>
          <w:p w14:paraId="6ABB8C86" w14:textId="7F1F7933" w:rsidR="00C20292" w:rsidRPr="00F94F1E"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6. Do przekazania dokumentów i wyjaśnień, o których mowa w ust. 5, przepisy art. 22h ust. 1-3 stosuje się odpowiednio.</w:t>
            </w:r>
          </w:p>
        </w:tc>
        <w:tc>
          <w:tcPr>
            <w:tcW w:w="817" w:type="pct"/>
            <w:tcBorders>
              <w:top w:val="outset" w:sz="6" w:space="0" w:color="auto"/>
              <w:left w:val="outset" w:sz="6" w:space="0" w:color="auto"/>
              <w:bottom w:val="outset" w:sz="6" w:space="0" w:color="auto"/>
              <w:right w:val="outset" w:sz="6" w:space="0" w:color="auto"/>
            </w:tcBorders>
            <w:vAlign w:val="center"/>
          </w:tcPr>
          <w:p w14:paraId="380AD9BB"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20DA08D9"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1E2B81A"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54</w:t>
            </w:r>
          </w:p>
        </w:tc>
        <w:tc>
          <w:tcPr>
            <w:tcW w:w="1650" w:type="pct"/>
            <w:tcBorders>
              <w:top w:val="outset" w:sz="6" w:space="0" w:color="auto"/>
              <w:left w:val="outset" w:sz="6" w:space="0" w:color="auto"/>
              <w:bottom w:val="outset" w:sz="6" w:space="0" w:color="auto"/>
              <w:right w:val="outset" w:sz="6" w:space="0" w:color="auto"/>
            </w:tcBorders>
            <w:vAlign w:val="center"/>
          </w:tcPr>
          <w:p w14:paraId="21BDB15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Odbiorcy usługi mają prawo dochodzić od dostawców usług pośrednich, zgodnie z prawem Unii i prawem krajowym, odszkodowania za wszelkie szkody lub straty poniesione w wyniku naruszenia przez tych dostawców ich obowiązków wynikających z niniejszego rozporządzenia.</w:t>
            </w:r>
          </w:p>
        </w:tc>
        <w:tc>
          <w:tcPr>
            <w:tcW w:w="788" w:type="pct"/>
            <w:tcBorders>
              <w:top w:val="outset" w:sz="6" w:space="0" w:color="auto"/>
              <w:left w:val="outset" w:sz="6" w:space="0" w:color="auto"/>
              <w:bottom w:val="outset" w:sz="6" w:space="0" w:color="auto"/>
              <w:right w:val="outset" w:sz="6" w:space="0" w:color="auto"/>
            </w:tcBorders>
            <w:vAlign w:val="center"/>
          </w:tcPr>
          <w:p w14:paraId="0549F044"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T</w:t>
            </w:r>
          </w:p>
        </w:tc>
        <w:tc>
          <w:tcPr>
            <w:tcW w:w="300" w:type="pct"/>
            <w:tcBorders>
              <w:top w:val="outset" w:sz="6" w:space="0" w:color="auto"/>
              <w:left w:val="outset" w:sz="6" w:space="0" w:color="auto"/>
              <w:bottom w:val="outset" w:sz="6" w:space="0" w:color="auto"/>
              <w:right w:val="outset" w:sz="6" w:space="0" w:color="auto"/>
            </w:tcBorders>
            <w:vAlign w:val="center"/>
          </w:tcPr>
          <w:p w14:paraId="00930C04"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0F2B6D1B"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 xml:space="preserve">Art. 22zk. W zakresie nieuregulowanym w rozporządzeniu 2022/2065, do roszczeń odbiorców usług z tytułu naruszenia przepisów rozporządzenia 2022/2065, o których </w:t>
            </w:r>
            <w:r w:rsidRPr="00E66C2B">
              <w:rPr>
                <w:rFonts w:ascii="Times New Roman" w:eastAsia="Times New Roman" w:hAnsi="Times New Roman" w:cs="Times New Roman"/>
                <w:sz w:val="24"/>
                <w:szCs w:val="24"/>
                <w:lang w:eastAsia="pl-PL"/>
              </w:rPr>
              <w:lastRenderedPageBreak/>
              <w:t>mowa w art. 54 tego rozporządzenia, stosuje się przepisy ustawy z dnia 23 kwietnia 1964 r. – Kodeks cywilny.</w:t>
            </w:r>
          </w:p>
          <w:p w14:paraId="10056B9E"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Art. 22zl. W sprawach o roszczenia z tytułu naruszenia przepisów rozporządzenia 2022/2065, o których mowa w art. 54 rozporządzenia 2022/2065, właściwy jest sąd okręgowy.</w:t>
            </w:r>
          </w:p>
          <w:p w14:paraId="3AFE58D3"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 xml:space="preserve">Art. 22zm. O wniesieniu pozwu oraz prawomocnym orzeczeniu kończącym postępowanie w sprawie o roszczenie z tytułu naruszenia przepisów rozporządzenia 2022/2065, o którym mowa w art. 54 tego rozporządzenia, sąd zawiadamia niezwłocznie Prezesa UKE. </w:t>
            </w:r>
          </w:p>
          <w:p w14:paraId="4AA27AFB"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lastRenderedPageBreak/>
              <w:t xml:space="preserve">Art. 22zn. 1. W sprawach o roszczenia z tytułu naruszenia przepisów rozporządzenia 2022/2065, które mogą być dochodzone w postępowaniu przed sądem, Prezes UKE może wytaczać powództwa na rzecz odbiorcy usługi z tytułu naruszenia przepisów rozporządzenia 2022/2065, za jego zgodą, a także wstępować, za zgodą powoda, do postępowania w każdym jego stadium. </w:t>
            </w:r>
          </w:p>
          <w:p w14:paraId="5654D157"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 xml:space="preserve">2. W przypadkach, o których mowa w ust. 1, do Prezesa UKE stosuje się odpowiednio art. 55-60 ustawy z dnia 17 listopada 1964 r. – Kodeks postępowania cywilnego (Dz. U. z </w:t>
            </w:r>
            <w:r w:rsidRPr="00E66C2B">
              <w:rPr>
                <w:rFonts w:ascii="Times New Roman" w:eastAsia="Times New Roman" w:hAnsi="Times New Roman" w:cs="Times New Roman"/>
                <w:sz w:val="24"/>
                <w:szCs w:val="24"/>
                <w:lang w:eastAsia="pl-PL"/>
              </w:rPr>
              <w:lastRenderedPageBreak/>
              <w:t xml:space="preserve">2023 r. poz. 1550, z </w:t>
            </w:r>
            <w:proofErr w:type="spellStart"/>
            <w:r w:rsidRPr="00E66C2B">
              <w:rPr>
                <w:rFonts w:ascii="Times New Roman" w:eastAsia="Times New Roman" w:hAnsi="Times New Roman" w:cs="Times New Roman"/>
                <w:sz w:val="24"/>
                <w:szCs w:val="24"/>
                <w:lang w:eastAsia="pl-PL"/>
              </w:rPr>
              <w:t>późn</w:t>
            </w:r>
            <w:proofErr w:type="spellEnd"/>
            <w:r w:rsidRPr="00E66C2B">
              <w:rPr>
                <w:rFonts w:ascii="Times New Roman" w:eastAsia="Times New Roman" w:hAnsi="Times New Roman" w:cs="Times New Roman"/>
                <w:sz w:val="24"/>
                <w:szCs w:val="24"/>
                <w:lang w:eastAsia="pl-PL"/>
              </w:rPr>
              <w:t>. zm. ).</w:t>
            </w:r>
          </w:p>
          <w:p w14:paraId="0EEFCE80"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Art. 22zo. Prezes UKE, jeżeli uzna, że przemawia za tym interes publiczny, przedstawia sądowi opinie w sprawie o roszczenie z tytułu naruszenia przepisów rozporządzenia 2022/2065.</w:t>
            </w:r>
          </w:p>
          <w:p w14:paraId="34F2C87B" w14:textId="28EA9F3A" w:rsidR="00C20292" w:rsidRPr="00F94F1E"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Art. 22zp. Do postępowania w sprawie o roszczenie z tytułu naruszenia przepisów rozporządzenia 2022/2065, o których mowa w art. 54 rozporządzenia 2022/2065, w zakresie nieuregulowanym niniejszą ustawą stosuje się przepisy ustawy z dnia 17 listopada 1964 r. – Kodeks postępowania cywilnego.</w:t>
            </w:r>
          </w:p>
        </w:tc>
        <w:tc>
          <w:tcPr>
            <w:tcW w:w="817" w:type="pct"/>
            <w:tcBorders>
              <w:top w:val="outset" w:sz="6" w:space="0" w:color="auto"/>
              <w:left w:val="outset" w:sz="6" w:space="0" w:color="auto"/>
              <w:bottom w:val="outset" w:sz="6" w:space="0" w:color="auto"/>
              <w:right w:val="outset" w:sz="6" w:space="0" w:color="auto"/>
            </w:tcBorders>
            <w:vAlign w:val="center"/>
          </w:tcPr>
          <w:p w14:paraId="6101E5CE"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0DD5079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7922DB8"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55</w:t>
            </w:r>
          </w:p>
        </w:tc>
        <w:tc>
          <w:tcPr>
            <w:tcW w:w="1650" w:type="pct"/>
            <w:tcBorders>
              <w:top w:val="outset" w:sz="6" w:space="0" w:color="auto"/>
              <w:left w:val="outset" w:sz="6" w:space="0" w:color="auto"/>
              <w:bottom w:val="outset" w:sz="6" w:space="0" w:color="auto"/>
              <w:right w:val="outset" w:sz="6" w:space="0" w:color="auto"/>
            </w:tcBorders>
            <w:vAlign w:val="center"/>
          </w:tcPr>
          <w:p w14:paraId="6DF0D1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Koordynatorzy ds. usług cyfrowych sporządzają sprawozdanie roczne ze swojej działalności na podstawie niniejszego rozporządzenia, uwzględniające liczbę skarg otrzymanych na podstawie art. 53 oraz przegląd działań następczych. Koordynatorzy ds. usług cyfrowych podają sprawozdania roczne do wiadomości publicznej w formacie nadającym się do odczytu maszynowego, z zastrzeżeniem obowiązujących przepisów dotyczących poufności informacji, o których mowa w art. 84, oraz przekazują je Komisji i Radzie Usług Cyfrowych.</w:t>
            </w:r>
          </w:p>
          <w:p w14:paraId="4A97485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1" w:name="mip65353164"/>
            <w:bookmarkEnd w:id="421"/>
            <w:r w:rsidRPr="00C20292">
              <w:rPr>
                <w:rFonts w:ascii="Times New Roman" w:eastAsia="Times New Roman" w:hAnsi="Times New Roman" w:cs="Times New Roman"/>
                <w:bCs/>
                <w:sz w:val="24"/>
                <w:szCs w:val="24"/>
                <w:lang w:eastAsia="pl-PL"/>
              </w:rPr>
              <w:t>2. Sprawozdanie roczne zawiera ponadto następujące informacje:</w:t>
            </w:r>
          </w:p>
          <w:p w14:paraId="28BEA971"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22" w:name="mip65353166"/>
            <w:bookmarkEnd w:id="422"/>
            <w:r>
              <w:rPr>
                <w:rFonts w:ascii="Times New Roman" w:eastAsia="Times New Roman" w:hAnsi="Times New Roman" w:cs="Times New Roman"/>
                <w:bCs/>
                <w:sz w:val="24"/>
                <w:szCs w:val="24"/>
                <w:lang w:eastAsia="pl-PL"/>
              </w:rPr>
              <w:t xml:space="preserve">a) </w:t>
            </w:r>
            <w:r w:rsidR="00C20292" w:rsidRPr="00C20292">
              <w:rPr>
                <w:rFonts w:ascii="Times New Roman" w:eastAsia="Times New Roman" w:hAnsi="Times New Roman" w:cs="Times New Roman"/>
                <w:bCs/>
                <w:sz w:val="24"/>
                <w:szCs w:val="24"/>
                <w:lang w:eastAsia="pl-PL"/>
              </w:rPr>
              <w:t>liczbę i przedmiot nakazów podjęcia działań przeciwko nielegalnym treściom oraz nakazów udzielenia informacji wydanych zgodnie z art. 9 i 10 przez krajowy organ sądowy lub administracyjny w państwie członkowskim danego koordynatora ds. usług cyfrowych;</w:t>
            </w:r>
          </w:p>
          <w:p w14:paraId="35770F3F"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23" w:name="mip65353167"/>
            <w:bookmarkEnd w:id="423"/>
            <w:r>
              <w:rPr>
                <w:rFonts w:ascii="Times New Roman" w:eastAsia="Times New Roman" w:hAnsi="Times New Roman" w:cs="Times New Roman"/>
                <w:bCs/>
                <w:sz w:val="24"/>
                <w:szCs w:val="24"/>
                <w:lang w:eastAsia="pl-PL"/>
              </w:rPr>
              <w:t xml:space="preserve">b) </w:t>
            </w:r>
            <w:r w:rsidR="00C20292" w:rsidRPr="00C20292">
              <w:rPr>
                <w:rFonts w:ascii="Times New Roman" w:eastAsia="Times New Roman" w:hAnsi="Times New Roman" w:cs="Times New Roman"/>
                <w:bCs/>
                <w:sz w:val="24"/>
                <w:szCs w:val="24"/>
                <w:lang w:eastAsia="pl-PL"/>
              </w:rPr>
              <w:t>działania podjęte w odpowiedzi na te nakazy, zgodnie z informacją przekazaną koordynatorowi ds. usług cyfrowych na podstawie art. 9 i 10.</w:t>
            </w:r>
          </w:p>
          <w:p w14:paraId="3390AA6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4" w:name="mip65353168"/>
            <w:bookmarkEnd w:id="424"/>
            <w:r w:rsidRPr="00C20292">
              <w:rPr>
                <w:rFonts w:ascii="Times New Roman" w:eastAsia="Times New Roman" w:hAnsi="Times New Roman" w:cs="Times New Roman"/>
                <w:bCs/>
                <w:sz w:val="24"/>
                <w:szCs w:val="24"/>
                <w:lang w:eastAsia="pl-PL"/>
              </w:rPr>
              <w:t>3. Jeżeli państwo członkowskie wyznaczyło kilka właściwych organów na podstawie art. 49, zapewnia, aby koordynator ds. usług cyfrowych sporządził jedno sprawozdanie obejmujące działalność wszystkich właściwych organów oraz aby koordynator ds. usług cyfrowych otrzymał wszystkie niezbędne w tym celu informacje oraz wsparcie potrzebne w tym zakresie od innych odpowiednich właściwych organów.</w:t>
            </w:r>
          </w:p>
          <w:p w14:paraId="4FE5BB9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B5B1E1F"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319F6BEC"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BFBFC59"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D0CC457"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1595997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08FDD81"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56</w:t>
            </w:r>
          </w:p>
        </w:tc>
        <w:tc>
          <w:tcPr>
            <w:tcW w:w="1650" w:type="pct"/>
            <w:tcBorders>
              <w:top w:val="outset" w:sz="6" w:space="0" w:color="auto"/>
              <w:left w:val="outset" w:sz="6" w:space="0" w:color="auto"/>
              <w:bottom w:val="outset" w:sz="6" w:space="0" w:color="auto"/>
              <w:right w:val="outset" w:sz="6" w:space="0" w:color="auto"/>
            </w:tcBorders>
            <w:vAlign w:val="center"/>
          </w:tcPr>
          <w:p w14:paraId="6A316E8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Państwo członkowskie, w którym znajduje się główne miejsce prowadzenia działalności dostawcy usług pośrednich, ma wyłączne uprawnienia w zakresie nadzorowania i egzekwowania niniejszego rozporządzenia, z wyjątkiem uprawnień przewidzianych w ust. 2, 3 i 4.</w:t>
            </w:r>
          </w:p>
          <w:p w14:paraId="056B55D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5" w:name="mip65353172"/>
            <w:bookmarkEnd w:id="425"/>
            <w:r w:rsidRPr="00C20292">
              <w:rPr>
                <w:rFonts w:ascii="Times New Roman" w:eastAsia="Times New Roman" w:hAnsi="Times New Roman" w:cs="Times New Roman"/>
                <w:bCs/>
                <w:sz w:val="24"/>
                <w:szCs w:val="24"/>
                <w:lang w:eastAsia="pl-PL"/>
              </w:rPr>
              <w:t>2. Komisja ma wyłączne uprawnienia w zakresie nadzorowania i egzekwowania rozdziału III sekcja 5.</w:t>
            </w:r>
          </w:p>
          <w:p w14:paraId="01C8F68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6" w:name="mip65353173"/>
            <w:bookmarkEnd w:id="426"/>
            <w:r w:rsidRPr="00C20292">
              <w:rPr>
                <w:rFonts w:ascii="Times New Roman" w:eastAsia="Times New Roman" w:hAnsi="Times New Roman" w:cs="Times New Roman"/>
                <w:bCs/>
                <w:sz w:val="24"/>
                <w:szCs w:val="24"/>
                <w:lang w:eastAsia="pl-PL"/>
              </w:rPr>
              <w:t>3. W odniesieniu do dostawców bardzo dużych platform internetowych i bardzo dużych wyszukiwarek internetowych Komisja ma uprawnienia w zakresie nadzorowania i egzekwowania niniejszego rozporządzenia inne niż określone w rozdziale III sekcja 5.</w:t>
            </w:r>
          </w:p>
          <w:p w14:paraId="15A6F96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7" w:name="mip65353174"/>
            <w:bookmarkEnd w:id="427"/>
            <w:r w:rsidRPr="00C20292">
              <w:rPr>
                <w:rFonts w:ascii="Times New Roman" w:eastAsia="Times New Roman" w:hAnsi="Times New Roman" w:cs="Times New Roman"/>
                <w:bCs/>
                <w:sz w:val="24"/>
                <w:szCs w:val="24"/>
                <w:lang w:eastAsia="pl-PL"/>
              </w:rPr>
              <w:t>4. Jeżeli Komisja nie wszczęła postępowania w sprawie tego samego naruszenia, państwo członkowskie, w którym znajduje się główne miejsce prowadzenia działalności dostawcy bardzo dużej platformy internetowej lub bardzo dużej wyszukiwarki internetowej, ma w odniesieniu do tych dostawców uprawnienia w zakresie nadzorowania i egzekwowania obowiązków wynikających z niniejszego rozporządzenia innych niż określone w rozdziale III sekcja 5.</w:t>
            </w:r>
          </w:p>
          <w:p w14:paraId="41B9D1A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8" w:name="mip65353175"/>
            <w:bookmarkEnd w:id="428"/>
            <w:r w:rsidRPr="00C20292">
              <w:rPr>
                <w:rFonts w:ascii="Times New Roman" w:eastAsia="Times New Roman" w:hAnsi="Times New Roman" w:cs="Times New Roman"/>
                <w:bCs/>
                <w:sz w:val="24"/>
                <w:szCs w:val="24"/>
                <w:lang w:eastAsia="pl-PL"/>
              </w:rPr>
              <w:t>5. Państwa członkowskie i Komisja nadzorują i egzekwują przepisy niniejszego rozporządzenia w ścisłej współpracy.</w:t>
            </w:r>
          </w:p>
          <w:p w14:paraId="10AC2B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9" w:name="mip65353176"/>
            <w:bookmarkEnd w:id="429"/>
            <w:r w:rsidRPr="00C20292">
              <w:rPr>
                <w:rFonts w:ascii="Times New Roman" w:eastAsia="Times New Roman" w:hAnsi="Times New Roman" w:cs="Times New Roman"/>
                <w:bCs/>
                <w:sz w:val="24"/>
                <w:szCs w:val="24"/>
                <w:lang w:eastAsia="pl-PL"/>
              </w:rPr>
              <w:t xml:space="preserve">6. Jeżeli dostawca usług pośrednich nie ma siedziby w Unii, państwo członkowskie, w którym jego przedstawiciel prawny ma miejsce zamieszkania lub siedzibę lub Komisja ma uprawnienia, stosownie do przypadku, zgodnie z ust. 1 i 4 niniejszego artykułu, </w:t>
            </w:r>
            <w:r w:rsidRPr="00C20292">
              <w:rPr>
                <w:rFonts w:ascii="Times New Roman" w:eastAsia="Times New Roman" w:hAnsi="Times New Roman" w:cs="Times New Roman"/>
                <w:bCs/>
                <w:sz w:val="24"/>
                <w:szCs w:val="24"/>
                <w:lang w:eastAsia="pl-PL"/>
              </w:rPr>
              <w:lastRenderedPageBreak/>
              <w:t>w zakresie nadzorowania i egzekwowania odpowiednich obowiązków wynikających z niniejszego rozporządzenia.</w:t>
            </w:r>
          </w:p>
          <w:p w14:paraId="37FCDE4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0" w:name="mip65353177"/>
            <w:bookmarkEnd w:id="430"/>
            <w:r w:rsidRPr="00C20292">
              <w:rPr>
                <w:rFonts w:ascii="Times New Roman" w:eastAsia="Times New Roman" w:hAnsi="Times New Roman" w:cs="Times New Roman"/>
                <w:bCs/>
                <w:sz w:val="24"/>
                <w:szCs w:val="24"/>
                <w:lang w:eastAsia="pl-PL"/>
              </w:rPr>
              <w:t>7. Jeżeli dostawca usług pośrednich nie wyznaczy przedstawiciela prawnego zgodnie z art. 13, wszystkie państwa członkowskie oraz – w przypadku dostawcy bardzo dużej platformy internetowej lub bardzo dużej wyszukiwarki internetowej – Komisja mają uprawnienia w zakresie nadzorowania i egzekwowania zgodnie z niniejszym artykułem.</w:t>
            </w:r>
          </w:p>
          <w:p w14:paraId="7AE81EF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W przypadku gdy koordynator ds. usług cyfrowych zamierza wykonywać swoje uprawnienia wynikające z niniejszego ustępu, powiadamia o tym wszystkich pozostałych koordynatorów ds. usług cyfrowych i Komisję oraz zapewnia, aby przestrzegane były mające zastosowanie gwarancje przyznane przez Kartę, w szczególności w celu uniknięcia sytuacji, w której to samo zachowanie byłoby karane więcej niż jeden raz za naruszenie obowiązków ustanowionych w niniejszym rozporządzeniu. W przypadku gdy Komisja zamierza wykonywać swoje uprawnienia wynikające z niniejszego ustępu, powiadamia o tym wszystkich pozostałych koordynatorów ds. usług cyfrowych. Po otrzymaniu powiadomienia na podstawie niniejszego ustępu inne państwa członkowskie nie wszczynają postępowania w sprawie tego samego naruszenia, o którym mowa</w:t>
            </w:r>
          </w:p>
          <w:p w14:paraId="35F9978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3377BD9"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2971131"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87B6B14"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C7B5C7"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268BD9E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72E368A"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57</w:t>
            </w:r>
          </w:p>
        </w:tc>
        <w:tc>
          <w:tcPr>
            <w:tcW w:w="1650" w:type="pct"/>
            <w:tcBorders>
              <w:top w:val="outset" w:sz="6" w:space="0" w:color="auto"/>
              <w:left w:val="outset" w:sz="6" w:space="0" w:color="auto"/>
              <w:bottom w:val="outset" w:sz="6" w:space="0" w:color="auto"/>
              <w:right w:val="outset" w:sz="6" w:space="0" w:color="auto"/>
            </w:tcBorders>
            <w:vAlign w:val="center"/>
          </w:tcPr>
          <w:p w14:paraId="32EF15B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1. Koordynatorzy ds. usług cyfrowych i Komisja ściśle współpracują i udzielają sobie wzajemnej pomocy w celu spójnego i efektywnego stosowania niniejszego </w:t>
            </w:r>
            <w:r w:rsidRPr="00C20292">
              <w:rPr>
                <w:rFonts w:ascii="Times New Roman" w:eastAsia="Times New Roman" w:hAnsi="Times New Roman" w:cs="Times New Roman"/>
                <w:bCs/>
                <w:sz w:val="24"/>
                <w:szCs w:val="24"/>
                <w:lang w:eastAsia="pl-PL"/>
              </w:rPr>
              <w:lastRenderedPageBreak/>
              <w:t>rozporządzenia. Wzajemna pomoc obejmuje w szczególności wymianę informacji zgodnie z niniejszym artykułem oraz spoczywający na koordynatorze ds. usług cyfrowych właściwym dla miejsca siedziby obowiązek informowania wszystkich koordynatorów ds. usług cyfrowych właściwych dla miejsca przeznaczenia, Rady Usług Cyfrowych i Komisji o podjęciu czynności sprawdzających oraz o zamiarze wydania ostatecznej decyzji, w tym jej oceny, w odniesieniu do danego dostawcy usług pośrednich.</w:t>
            </w:r>
          </w:p>
          <w:p w14:paraId="1920CF3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1" w:name="mip65353180"/>
            <w:bookmarkEnd w:id="431"/>
            <w:r w:rsidRPr="00C20292">
              <w:rPr>
                <w:rFonts w:ascii="Times New Roman" w:eastAsia="Times New Roman" w:hAnsi="Times New Roman" w:cs="Times New Roman"/>
                <w:bCs/>
                <w:sz w:val="24"/>
                <w:szCs w:val="24"/>
                <w:lang w:eastAsia="pl-PL"/>
              </w:rPr>
              <w:t>2. Na potrzeby czynności sprawdzających koordynator ds. usług cyfrowych właściwy dla miejsca siedziby może zwrócić się do innych koordynatorów ds. usług cyfrowych z wnioskiem o przekazanie konkretnych informacji będących w ich posiadaniu w odniesieniu do konkretnego dostawcy usług pośrednich lub o wykonanie przez nich uprawnień w zakresie czynności sprawdzających, o których mowa art. 51 ust. 1, w odniesieniu do konkretnych informacji znajdujących się w ich państwie członkowskim. W stosownych przypadkach koordynator ds. usług cyfrowych otrzymujący wniosek może zaangażować inne właściwe organy lub inne organy publiczne danego państwa członkowskiego.</w:t>
            </w:r>
          </w:p>
          <w:p w14:paraId="1AB9701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2" w:name="mip65353181"/>
            <w:bookmarkEnd w:id="432"/>
            <w:r w:rsidRPr="00C20292">
              <w:rPr>
                <w:rFonts w:ascii="Times New Roman" w:eastAsia="Times New Roman" w:hAnsi="Times New Roman" w:cs="Times New Roman"/>
                <w:bCs/>
                <w:sz w:val="24"/>
                <w:szCs w:val="24"/>
                <w:lang w:eastAsia="pl-PL"/>
              </w:rPr>
              <w:t>3. Koordynator ds. usług cyfrowych otrzymujący wniosek na podstawie ust. 2 realizuje taki wniosek i informuje koordynatora ds. usług cyfrowych właściwego dla miejsca siedziby o podjętych działaniach bez zbędnej zwłoki i nie później niż dwa miesiące od jego otrzymania, chyba że:</w:t>
            </w:r>
          </w:p>
          <w:p w14:paraId="570E8576"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3" w:name="mip65353183"/>
            <w:bookmarkEnd w:id="433"/>
            <w:r>
              <w:rPr>
                <w:rFonts w:ascii="Times New Roman" w:eastAsia="Times New Roman" w:hAnsi="Times New Roman" w:cs="Times New Roman"/>
                <w:bCs/>
                <w:sz w:val="24"/>
                <w:szCs w:val="24"/>
                <w:lang w:eastAsia="pl-PL"/>
              </w:rPr>
              <w:lastRenderedPageBreak/>
              <w:t xml:space="preserve">a) </w:t>
            </w:r>
            <w:r w:rsidR="00C20292" w:rsidRPr="00C20292">
              <w:rPr>
                <w:rFonts w:ascii="Times New Roman" w:eastAsia="Times New Roman" w:hAnsi="Times New Roman" w:cs="Times New Roman"/>
                <w:bCs/>
                <w:sz w:val="24"/>
                <w:szCs w:val="24"/>
                <w:lang w:eastAsia="pl-PL"/>
              </w:rPr>
              <w:t>zakres lub przedmiot wniosku nie jest wystarczająco sprecyzowany, uzasadniony lub proporcjonalny ze względu na cele czynności sprawdzających; lub</w:t>
            </w:r>
          </w:p>
          <w:p w14:paraId="6322EEE9"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4" w:name="mip65353184"/>
            <w:bookmarkEnd w:id="434"/>
            <w:r>
              <w:rPr>
                <w:rFonts w:ascii="Times New Roman" w:eastAsia="Times New Roman" w:hAnsi="Times New Roman" w:cs="Times New Roman"/>
                <w:bCs/>
                <w:sz w:val="24"/>
                <w:szCs w:val="24"/>
                <w:lang w:eastAsia="pl-PL"/>
              </w:rPr>
              <w:t xml:space="preserve">b) </w:t>
            </w:r>
            <w:r w:rsidR="00C20292" w:rsidRPr="00C20292">
              <w:rPr>
                <w:rFonts w:ascii="Times New Roman" w:eastAsia="Times New Roman" w:hAnsi="Times New Roman" w:cs="Times New Roman"/>
                <w:bCs/>
                <w:sz w:val="24"/>
                <w:szCs w:val="24"/>
                <w:lang w:eastAsia="pl-PL"/>
              </w:rPr>
              <w:t>ani koordynator ds. usług cyfrowych, do którego zwrócono się z wnioskiem, ani inny właściwy organ lub inny organ publiczny tego państwa członkowskiego nie są w posiadaniu informacji, których dotyczy wniosek, ani nie mają do nich dostępu; lub</w:t>
            </w:r>
          </w:p>
          <w:p w14:paraId="4E3441D3"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5" w:name="mip65353185"/>
            <w:bookmarkEnd w:id="435"/>
            <w:r>
              <w:rPr>
                <w:rFonts w:ascii="Times New Roman" w:eastAsia="Times New Roman" w:hAnsi="Times New Roman" w:cs="Times New Roman"/>
                <w:bCs/>
                <w:sz w:val="24"/>
                <w:szCs w:val="24"/>
                <w:lang w:eastAsia="pl-PL"/>
              </w:rPr>
              <w:t xml:space="preserve">c) </w:t>
            </w:r>
            <w:r w:rsidR="00C20292" w:rsidRPr="00C20292">
              <w:rPr>
                <w:rFonts w:ascii="Times New Roman" w:eastAsia="Times New Roman" w:hAnsi="Times New Roman" w:cs="Times New Roman"/>
                <w:bCs/>
                <w:sz w:val="24"/>
                <w:szCs w:val="24"/>
                <w:lang w:eastAsia="pl-PL"/>
              </w:rPr>
              <w:t>nie można zastosować się do wniosku bez naruszenia prawa Unii lub prawa krajowego.</w:t>
            </w:r>
          </w:p>
          <w:p w14:paraId="45CE2C0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6" w:name="mip65353186"/>
            <w:bookmarkEnd w:id="436"/>
            <w:r w:rsidRPr="00C20292">
              <w:rPr>
                <w:rFonts w:ascii="Times New Roman" w:eastAsia="Times New Roman" w:hAnsi="Times New Roman" w:cs="Times New Roman"/>
                <w:bCs/>
                <w:sz w:val="24"/>
                <w:szCs w:val="24"/>
                <w:lang w:eastAsia="pl-PL"/>
              </w:rPr>
              <w:t>Koordynator ds. usług cyfrowych otrzymujący wniosek uzasadnia swoją odmowę, przedkładając uzasadnioną odpowiedź w terminie określonym w akapicie pierwszym.</w:t>
            </w:r>
          </w:p>
          <w:p w14:paraId="117C8D8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24DF3E4"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33926418"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216C6B6"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ED1ED5E"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w:t>
            </w:r>
            <w:r w:rsidRPr="00F94F1E">
              <w:rPr>
                <w:rFonts w:ascii="Times New Roman" w:eastAsia="Times New Roman" w:hAnsi="Times New Roman" w:cs="Times New Roman"/>
                <w:sz w:val="24"/>
                <w:szCs w:val="24"/>
                <w:lang w:eastAsia="pl-PL"/>
              </w:rPr>
              <w:lastRenderedPageBreak/>
              <w:t>stosowany wprost nie wymaga wdrożenia</w:t>
            </w:r>
          </w:p>
        </w:tc>
      </w:tr>
      <w:tr w:rsidR="00C20292" w:rsidRPr="00B03963" w14:paraId="0D69BC1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3474CC"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58</w:t>
            </w:r>
          </w:p>
        </w:tc>
        <w:tc>
          <w:tcPr>
            <w:tcW w:w="1650" w:type="pct"/>
            <w:tcBorders>
              <w:top w:val="outset" w:sz="6" w:space="0" w:color="auto"/>
              <w:left w:val="outset" w:sz="6" w:space="0" w:color="auto"/>
              <w:bottom w:val="outset" w:sz="6" w:space="0" w:color="auto"/>
              <w:right w:val="outset" w:sz="6" w:space="0" w:color="auto"/>
            </w:tcBorders>
            <w:vAlign w:val="center"/>
          </w:tcPr>
          <w:p w14:paraId="1D71A12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O ile Komisja nie podjęła czynności sprawdzających w sprawie tego samego zarzucanego naruszenia, jeżeli koordynator ds. usług cyfrowych właściwy dla miejsca przeznaczenia ma powody, aby podejrzewać, że dostawca usługi pośredniej naruszył niniejsze rozporządzenie w sposób mający negatywny wpływ na odbiorców usługi w państwie członkowskim tego koordynatora ds. usług cyfrowych, może zwrócić się do koordynatora ds. usług cyfrowych właściwego dla miejsca siedziby z wnioskiem o dokonanie oceny sprawy oraz przyjęcie niezbędnych środków w ramach czynności sprawdzających i środków w ramach egzekwowania w celu zapewnienia przestrzegania niniejszego rozporządzenia.</w:t>
            </w:r>
          </w:p>
          <w:p w14:paraId="2B41513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7" w:name="mip65353189"/>
            <w:bookmarkEnd w:id="437"/>
            <w:r w:rsidRPr="00C20292">
              <w:rPr>
                <w:rFonts w:ascii="Times New Roman" w:eastAsia="Times New Roman" w:hAnsi="Times New Roman" w:cs="Times New Roman"/>
                <w:bCs/>
                <w:sz w:val="24"/>
                <w:szCs w:val="24"/>
                <w:lang w:eastAsia="pl-PL"/>
              </w:rPr>
              <w:t xml:space="preserve">2. O ile Komisja nie podjęła czynności sprawdzających w sprawie tego samego zarzucanego naruszenia, Rada </w:t>
            </w:r>
            <w:r w:rsidRPr="00C20292">
              <w:rPr>
                <w:rFonts w:ascii="Times New Roman" w:eastAsia="Times New Roman" w:hAnsi="Times New Roman" w:cs="Times New Roman"/>
                <w:bCs/>
                <w:sz w:val="24"/>
                <w:szCs w:val="24"/>
                <w:lang w:eastAsia="pl-PL"/>
              </w:rPr>
              <w:lastRenderedPageBreak/>
              <w:t>Usług Cyfrowych, na wniosek co najmniej trzech koordynatorów ds. usług cyfrowych właściwych dla miejsca przeznaczenia, którzy mają powody, aby podejrzewać, że określony dostawca usług pośrednich naruszył niniejsze rozporządzenie w sposób mający negatywny wpływ na odbiorców usługi w ich państwach członkowskich, może zwrócić się do koordynatora ds. usług cyfrowych właściwego dla miejsca siedziby z wnioskiem o dokonanie oceny oraz przyjęcie niezbędnych środków w ramach czynności sprawdzających i środków w ramach egzekwowania w celu zapewnienia przestrzegania niniejszego rozporządzenia.</w:t>
            </w:r>
          </w:p>
          <w:p w14:paraId="03D51C8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8" w:name="mip65353190"/>
            <w:bookmarkEnd w:id="438"/>
            <w:r w:rsidRPr="00C20292">
              <w:rPr>
                <w:rFonts w:ascii="Times New Roman" w:eastAsia="Times New Roman" w:hAnsi="Times New Roman" w:cs="Times New Roman"/>
                <w:bCs/>
                <w:sz w:val="24"/>
                <w:szCs w:val="24"/>
                <w:lang w:eastAsia="pl-PL"/>
              </w:rPr>
              <w:t>3. Wniosek, o którym mowa w ust. 1 lub 2, musi być należycie uzasadniony i zawierać co najmniej:</w:t>
            </w:r>
          </w:p>
          <w:p w14:paraId="21B3F1FC"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9" w:name="mip65353192"/>
            <w:bookmarkEnd w:id="439"/>
            <w:r>
              <w:rPr>
                <w:rFonts w:ascii="Times New Roman" w:eastAsia="Times New Roman" w:hAnsi="Times New Roman" w:cs="Times New Roman"/>
                <w:bCs/>
                <w:sz w:val="24"/>
                <w:szCs w:val="24"/>
                <w:lang w:eastAsia="pl-PL"/>
              </w:rPr>
              <w:t xml:space="preserve">a) </w:t>
            </w:r>
            <w:r w:rsidR="00C20292" w:rsidRPr="00C20292">
              <w:rPr>
                <w:rFonts w:ascii="Times New Roman" w:eastAsia="Times New Roman" w:hAnsi="Times New Roman" w:cs="Times New Roman"/>
                <w:bCs/>
                <w:sz w:val="24"/>
                <w:szCs w:val="24"/>
                <w:lang w:eastAsia="pl-PL"/>
              </w:rPr>
              <w:t>informacje na temat punktu kontaktowego danego dostawcy usług pośrednich, o którym to punkcie mowa w art. 11;</w:t>
            </w:r>
          </w:p>
          <w:p w14:paraId="0F5717F5"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40" w:name="mip65353193"/>
            <w:bookmarkEnd w:id="440"/>
            <w:r>
              <w:rPr>
                <w:rFonts w:ascii="Times New Roman" w:eastAsia="Times New Roman" w:hAnsi="Times New Roman" w:cs="Times New Roman"/>
                <w:bCs/>
                <w:sz w:val="24"/>
                <w:szCs w:val="24"/>
                <w:lang w:eastAsia="pl-PL"/>
              </w:rPr>
              <w:t xml:space="preserve">b) </w:t>
            </w:r>
            <w:r w:rsidR="00C20292" w:rsidRPr="00C20292">
              <w:rPr>
                <w:rFonts w:ascii="Times New Roman" w:eastAsia="Times New Roman" w:hAnsi="Times New Roman" w:cs="Times New Roman"/>
                <w:bCs/>
                <w:sz w:val="24"/>
                <w:szCs w:val="24"/>
                <w:lang w:eastAsia="pl-PL"/>
              </w:rPr>
              <w:t>opis stanu faktycznego, stosowne przepisy niniejszego rozporządzenia oraz powody, dla których koordynator ds. usług cyfrowych, który skierował wniosek, lub Rada Usług Cyfrowych podejrzewają, że dostawca naruszył niniejsze rozporządzenie, w tym opis negatywnych skutków zarzucanego naruszenia;</w:t>
            </w:r>
          </w:p>
          <w:p w14:paraId="1B3EC974"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41" w:name="mip65353194"/>
            <w:bookmarkEnd w:id="441"/>
            <w:r>
              <w:rPr>
                <w:rFonts w:ascii="Times New Roman" w:eastAsia="Times New Roman" w:hAnsi="Times New Roman" w:cs="Times New Roman"/>
                <w:bCs/>
                <w:sz w:val="24"/>
                <w:szCs w:val="24"/>
                <w:lang w:eastAsia="pl-PL"/>
              </w:rPr>
              <w:t xml:space="preserve">c) </w:t>
            </w:r>
            <w:r w:rsidR="00C20292" w:rsidRPr="00C20292">
              <w:rPr>
                <w:rFonts w:ascii="Times New Roman" w:eastAsia="Times New Roman" w:hAnsi="Times New Roman" w:cs="Times New Roman"/>
                <w:bCs/>
                <w:sz w:val="24"/>
                <w:szCs w:val="24"/>
                <w:lang w:eastAsia="pl-PL"/>
              </w:rPr>
              <w:t>jakiekolwiek inne informacje, które koordynator ds. usług cyfrowych, który skierował wniosek, lub Rada Usług Cyfrowych uznają za istotne, w tym w stosownych przypadkach informacje zgromadzone z własnej inicjatywy lub sugestie dotyczące przyjęcia konkretnych środków w ramach czynności sprawdzających lub środków w ramach egzekwowania, w tym środków tymczasowych.</w:t>
            </w:r>
          </w:p>
          <w:p w14:paraId="52C32A8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42" w:name="mip65353195"/>
            <w:bookmarkEnd w:id="442"/>
            <w:r w:rsidRPr="00C20292">
              <w:rPr>
                <w:rFonts w:ascii="Times New Roman" w:eastAsia="Times New Roman" w:hAnsi="Times New Roman" w:cs="Times New Roman"/>
                <w:bCs/>
                <w:sz w:val="24"/>
                <w:szCs w:val="24"/>
                <w:lang w:eastAsia="pl-PL"/>
              </w:rPr>
              <w:lastRenderedPageBreak/>
              <w:t>4. Koordynator ds. usług cyfrowych właściwy dla miejsca siedziby uwzględnia w jak największym stopniu wniosek na podstawie ust. 1 lub 2 niniejszego artykułu. Jeżeli stwierdzi, że dysponuje niewystarczającymi informacjami, aby uwzględnić wniosek, oraz że ma powody, aby uznać, że koordynator ds. usług cyfrowych, który skierował wniosek, lub Rada Usług Cyfrowych mogliby przekazać dodatkowe informacje, koordynator ds. usług cyfrowych właściwy dla miejsca siedziby może zwrócić się z wnioskiem o takie informacje zgodnie z art. 57, albo, alternatywnie, podjąć czynności sprawdzające na podstawie art. 60 ust. 1, w których bierze udział co najmniej koordynator ds. usług cyfrowych, który wystąpił z wnioskiem. Bieg terminu ustanowionego w ust. 5 niniejszego artykułu ulega zawieszeniu do czasu udzielenia takich dodatkowych informacji lub do czasu odrzucenia zaproszenia do wzięcia udziału we wspólnych czynnościach sprawdzających.</w:t>
            </w:r>
          </w:p>
          <w:p w14:paraId="244255A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43" w:name="mip65353196"/>
            <w:bookmarkEnd w:id="443"/>
            <w:r w:rsidRPr="00C20292">
              <w:rPr>
                <w:rFonts w:ascii="Times New Roman" w:eastAsia="Times New Roman" w:hAnsi="Times New Roman" w:cs="Times New Roman"/>
                <w:bCs/>
                <w:sz w:val="24"/>
                <w:szCs w:val="24"/>
                <w:lang w:eastAsia="pl-PL"/>
              </w:rPr>
              <w:t>5. Koordynator ds. usług cyfrowych właściwy dla miejsca siedziby, bez zbędnej zwłoki i w każdym wypadku nie później niż dwa miesiące od otrzymania wniosku na podstawie ust. 1 lub 2, przekazuje koordynatorowi ds. usług cyfrowych, który skierował wniosek, i Radzie Usług Cyfrowych ocenę podejrzenia naruszenia oraz wyjaśnienie dotyczące środków w ramach czynności sprawdzających lub środków w ramach egzekwowania przyjętych lub planowanych w związku z tym naruszeniem w celu zapewnienia przestrzegania niniejszego rozporządzenia.</w:t>
            </w:r>
          </w:p>
          <w:p w14:paraId="1FDCC9C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4349BAB" w14:textId="77777777" w:rsidR="00C20292"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144F5EB"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D9B0984"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FC9024A" w14:textId="77777777" w:rsidR="00C20292"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6761B5B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C622EF4"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59</w:t>
            </w:r>
          </w:p>
        </w:tc>
        <w:tc>
          <w:tcPr>
            <w:tcW w:w="1650" w:type="pct"/>
            <w:tcBorders>
              <w:top w:val="outset" w:sz="6" w:space="0" w:color="auto"/>
              <w:left w:val="outset" w:sz="6" w:space="0" w:color="auto"/>
              <w:bottom w:val="outset" w:sz="6" w:space="0" w:color="auto"/>
              <w:right w:val="outset" w:sz="6" w:space="0" w:color="auto"/>
            </w:tcBorders>
            <w:vAlign w:val="center"/>
          </w:tcPr>
          <w:p w14:paraId="4DB003A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przypadku braku przekazania w terminie określonym w art. 58 ust. 5, w przypadku braku zgody Rady Usług Cyfrowych na ocenę lub środki podjęte lub planowane na podstawie art. 58 ust. 5 lub w przypadkach, o których mowa w art. 60 ust. 3, rada Usług Cyfrowych może skierować sprawę do Komisji, przekazując jej wszystkie istotne informacje. Informacje te obejmują co najmniej wniosek lub zalecenie skierowane do koordynatora ds. usług cyfrowych właściwego dla miejsca siedziby, ocenę dokonaną przez tego koordynatora ds. usług cyfrowych, powody braku zgody oraz wszelkie dodatkowe informacje uzasadniające skierowanie sprawy.</w:t>
            </w:r>
          </w:p>
          <w:p w14:paraId="7488322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4" w:name="mip65353199"/>
            <w:bookmarkEnd w:id="444"/>
            <w:r w:rsidRPr="00965611">
              <w:rPr>
                <w:rFonts w:ascii="Times New Roman" w:eastAsia="Times New Roman" w:hAnsi="Times New Roman" w:cs="Times New Roman"/>
                <w:bCs/>
                <w:sz w:val="24"/>
                <w:szCs w:val="24"/>
                <w:lang w:eastAsia="pl-PL"/>
              </w:rPr>
              <w:t>2. Komisja dokonuje oceny sprawy w terminie dwóch miesięcy od przekazania sprawy zgodnie z ust. 1, po konsultacji z koordynatorem ds. usług cyfrowych właściwym dla miejsca siedziby.</w:t>
            </w:r>
          </w:p>
          <w:p w14:paraId="27F89C8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5" w:name="mip65353200"/>
            <w:bookmarkEnd w:id="445"/>
            <w:r w:rsidRPr="00965611">
              <w:rPr>
                <w:rFonts w:ascii="Times New Roman" w:eastAsia="Times New Roman" w:hAnsi="Times New Roman" w:cs="Times New Roman"/>
                <w:bCs/>
                <w:sz w:val="24"/>
                <w:szCs w:val="24"/>
                <w:lang w:eastAsia="pl-PL"/>
              </w:rPr>
              <w:t>3. Jeżeli na podstawie ust. 2 niniejszego artykułu Komisja uzna, że ocena lub środki w ramach czynności sprawdzających lub środki w ramach egzekwowania przyjęte lub planowane na podstawie art. 58 ust. 5 są niewystarczające, aby zapewnić skuteczne egzekwowanie, lub w inny sposób niezgodne z niniejszym rozporządzeniem, przekazuje swoje stanowisko koordynatorowi ds. usług cyfrowych właściwemu dla miejsca siedziby i Radzie Usług Cyfrowych oraz zwraca się do koordynatora ds. usług cyfrowych właściwego dla miejsca siedziby z wnioskiem o dokonanie przeglądu sprawy.</w:t>
            </w:r>
          </w:p>
          <w:p w14:paraId="079A57F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Koordynator ds. usług cyfrowych właściwy dla miejsca siedziby podejmuje niezbędne środki w ramach czynności sprawdzających lub środki w ramach </w:t>
            </w:r>
            <w:r w:rsidRPr="00965611">
              <w:rPr>
                <w:rFonts w:ascii="Times New Roman" w:eastAsia="Times New Roman" w:hAnsi="Times New Roman" w:cs="Times New Roman"/>
                <w:bCs/>
                <w:sz w:val="24"/>
                <w:szCs w:val="24"/>
                <w:lang w:eastAsia="pl-PL"/>
              </w:rPr>
              <w:lastRenderedPageBreak/>
              <w:t>egzekwowania w celu zapewnienia przestrzegania niniejszego rozporządzenia, uwzględniając w jak największym stopniu stanowisko i wniosek Komisji o dokonanie przeglądu. Koordynator ds. usług cyfrowych właściwy dla miejsca siedziby w terminie dwóch miesięcy od złożenia wniosku o dokonanie przeglądu informuje o przyjętych środkach Komisję oraz koordynatora ds. usług cyfrowych, który wystąpił z wnioskiem, lub Radę Usług Cyfrowych, którzy podjęli działania na podstawie art. 58 ust. 1 lub 2.</w:t>
            </w:r>
          </w:p>
          <w:p w14:paraId="472C6B0D" w14:textId="77777777" w:rsidR="00965611" w:rsidRPr="00C20292" w:rsidRDefault="00965611"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E13BBE6" w14:textId="77777777" w:rsidR="00965611"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61C28C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155BD1A"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44619D" w14:textId="77777777" w:rsidR="00965611"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F94F1E" w14:paraId="1D40CF7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A8482FF"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60 </w:t>
            </w:r>
          </w:p>
        </w:tc>
        <w:tc>
          <w:tcPr>
            <w:tcW w:w="1650" w:type="pct"/>
            <w:tcBorders>
              <w:top w:val="outset" w:sz="6" w:space="0" w:color="auto"/>
              <w:left w:val="outset" w:sz="6" w:space="0" w:color="auto"/>
              <w:bottom w:val="outset" w:sz="6" w:space="0" w:color="auto"/>
              <w:right w:val="outset" w:sz="6" w:space="0" w:color="auto"/>
            </w:tcBorders>
            <w:vAlign w:val="center"/>
          </w:tcPr>
          <w:p w14:paraId="38A24AD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Koordynator ds. usług cyfrowych właściwy dla miejsca siedziby może podjąć i prowadzić czynności sprawdzające z udziałem co najmniej jednego innego zainteresowanego koordynatora ds. usług cyfrowych:</w:t>
            </w:r>
          </w:p>
          <w:p w14:paraId="451E5B58"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46" w:name="mip65353204"/>
            <w:bookmarkEnd w:id="446"/>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 z własnej inicjatywy w celu zbadania zarzucanego naruszenia niniejszego rozporządzenia przez danego dostawcę usług pośrednich w kilku państwach członkowskich; lub</w:t>
            </w:r>
          </w:p>
          <w:p w14:paraId="38A32A1E"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47" w:name="mip65353205"/>
            <w:bookmarkEnd w:id="447"/>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na zalecenie Rady Usług Cyfrowych, działającej na wniosek co najmniej trzech koordynatorów ds. usług cyfrowych, zarzucającej, na podstawie uzasadnionego podejrzenia, naruszenie przez danego dostawcę usług pośrednich mające wpływ na odbiorców usługi w ich państwach członkowskich.</w:t>
            </w:r>
          </w:p>
          <w:p w14:paraId="669390F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8" w:name="mip65353206"/>
            <w:bookmarkEnd w:id="448"/>
            <w:r w:rsidRPr="00965611">
              <w:rPr>
                <w:rFonts w:ascii="Times New Roman" w:eastAsia="Times New Roman" w:hAnsi="Times New Roman" w:cs="Times New Roman"/>
                <w:bCs/>
                <w:sz w:val="24"/>
                <w:szCs w:val="24"/>
                <w:lang w:eastAsia="pl-PL"/>
              </w:rPr>
              <w:t xml:space="preserve">2. Każdy koordynator ds. usług cyfrowych, który wykaże prawnie uzasadniony interes w udziale we wspólnych czynnościach sprawdzających na podstawie ust. 1 może wystąpić z wnioskiem o taki udział. Wspólne czynności sprawdzających muszą zostać </w:t>
            </w:r>
            <w:r w:rsidRPr="00965611">
              <w:rPr>
                <w:rFonts w:ascii="Times New Roman" w:eastAsia="Times New Roman" w:hAnsi="Times New Roman" w:cs="Times New Roman"/>
                <w:bCs/>
                <w:sz w:val="24"/>
                <w:szCs w:val="24"/>
                <w:lang w:eastAsia="pl-PL"/>
              </w:rPr>
              <w:lastRenderedPageBreak/>
              <w:t>zakończone w terminie trzech miesięcy od ich podjęcia, chyba że uczestnicy uzgodnili inaczej.</w:t>
            </w:r>
          </w:p>
          <w:p w14:paraId="462E672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Koordynator ds. usług cyfrowych właściwy dla miejsca siedziby przekazuje swoje wstępne stanowisko w sprawie zarzucanego naruszenia wszystkim koordynatorom ds. usług cyfrowych, Komisji i Radzie Usług Cyfrowych nie później niż miesiąc po upływie terminu, o którym mowa w akapicie pierwszym. We wstępnym stanowisku uwzględnia się stanowiska wszystkich pozostałych koordynatorów ds. usług cyfrowych uczestniczących we wspólnych czynnościach sprawdzających. W stosownych przypadkach we wstępnym stanowisku określa się również przewidywane środki w ramach egzekwowania.</w:t>
            </w:r>
          </w:p>
          <w:p w14:paraId="7D37CE7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9" w:name="mip65353207"/>
            <w:bookmarkEnd w:id="449"/>
            <w:r w:rsidRPr="00965611">
              <w:rPr>
                <w:rFonts w:ascii="Times New Roman" w:eastAsia="Times New Roman" w:hAnsi="Times New Roman" w:cs="Times New Roman"/>
                <w:bCs/>
                <w:sz w:val="24"/>
                <w:szCs w:val="24"/>
                <w:lang w:eastAsia="pl-PL"/>
              </w:rPr>
              <w:t>3. Zgodnie z art. 59 Rada Usług Cyfrowych może przekazać sprawę Komisji, jeżeli:</w:t>
            </w:r>
          </w:p>
          <w:p w14:paraId="60F92EE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50" w:name="mip65353209"/>
            <w:bookmarkEnd w:id="450"/>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koordynator ds. usług cyfrowych właściwy dla miejsca siedziby nie przekazał swojego wstępnego stanowiska w terminie określonym w ust. 2;</w:t>
            </w:r>
          </w:p>
          <w:p w14:paraId="528A502E"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1" w:name="mip65353210"/>
            <w:bookmarkEnd w:id="451"/>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Rada Usług Cyfrowych zasadniczo nie zgadza się ze wstępnym stanowiskiem przekazanym przez koordynatora ds. usług cyfrowych właściwego dla miejsca siedziby; lub</w:t>
            </w:r>
          </w:p>
          <w:p w14:paraId="1F32C7E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2" w:name="mip65353211"/>
            <w:bookmarkEnd w:id="452"/>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koordynator ds. usług cyfrowych właściwy dla miejsca siedziby nie podjął natychmiast wspólnych czynności sprawdzających na podstawie zalecenia Rady Usług Cyfrowych zgodnie z ust. 1 lit. b).</w:t>
            </w:r>
          </w:p>
          <w:p w14:paraId="7A2AF46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53" w:name="mip65353212"/>
            <w:bookmarkEnd w:id="453"/>
            <w:r w:rsidRPr="00965611">
              <w:rPr>
                <w:rFonts w:ascii="Times New Roman" w:eastAsia="Times New Roman" w:hAnsi="Times New Roman" w:cs="Times New Roman"/>
                <w:bCs/>
                <w:sz w:val="24"/>
                <w:szCs w:val="24"/>
                <w:lang w:eastAsia="pl-PL"/>
              </w:rPr>
              <w:t xml:space="preserve">4. Prowadząc czynności sprawdzające uczestniczący w nich koordynatorzy ds. usług cyfrowych współpracują ze sobą w dobrej wierze, uwzględniając, w stosownych przypadkach, wskazówki koordynatora ds. usług cyfrowych właściwego dla miejsca siedziby </w:t>
            </w:r>
            <w:r w:rsidRPr="00965611">
              <w:rPr>
                <w:rFonts w:ascii="Times New Roman" w:eastAsia="Times New Roman" w:hAnsi="Times New Roman" w:cs="Times New Roman"/>
                <w:bCs/>
                <w:sz w:val="24"/>
                <w:szCs w:val="24"/>
                <w:lang w:eastAsia="pl-PL"/>
              </w:rPr>
              <w:lastRenderedPageBreak/>
              <w:t>i zalecenie Rady Usług Cyfrowych. Koordynatorzy ds. usług cyfrowych właściwi dla miejsca przeznaczenia uczestniczący we wspólnych czynnościach sprawdzających są uprawnieni, na wniosek koordynatora ds. usług cyfrowych właściwego dla miejsca siedziby lub po konsultacji z nim, do wykonywania swoich uprawnień w zakresie czynności sprawdzających, o których mowa w art. 51 ust. 1, w odniesieniu do dostawców usług pośrednich, których dotyczy zarzucane naruszenie, w odniesieniu do informacji i pomieszczeń znajdujących się na ich terytorium.</w:t>
            </w:r>
          </w:p>
          <w:p w14:paraId="5CEF024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8388A4F" w14:textId="4F241FAD" w:rsidR="00965611" w:rsidRPr="00F94F1E" w:rsidRDefault="006914AC"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C1ECAF9" w14:textId="207C3D21"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BF5D136" w14:textId="77777777" w:rsidR="00965611" w:rsidRPr="00F94F1E" w:rsidRDefault="00965611" w:rsidP="006914AC">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067E820" w14:textId="32988209" w:rsidR="00965611" w:rsidRPr="00F94F1E" w:rsidRDefault="006914AC" w:rsidP="00B03963">
            <w:pPr>
              <w:spacing w:after="0" w:line="240" w:lineRule="auto"/>
              <w:rPr>
                <w:rFonts w:ascii="Times New Roman" w:eastAsia="Times New Roman" w:hAnsi="Times New Roman" w:cs="Times New Roman"/>
                <w:sz w:val="24"/>
                <w:szCs w:val="24"/>
                <w:lang w:eastAsia="pl-PL"/>
              </w:rPr>
            </w:pPr>
            <w:r w:rsidRPr="006914AC">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0776A79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A64F3A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61</w:t>
            </w:r>
          </w:p>
        </w:tc>
        <w:tc>
          <w:tcPr>
            <w:tcW w:w="1650" w:type="pct"/>
            <w:tcBorders>
              <w:top w:val="outset" w:sz="6" w:space="0" w:color="auto"/>
              <w:left w:val="outset" w:sz="6" w:space="0" w:color="auto"/>
              <w:bottom w:val="outset" w:sz="6" w:space="0" w:color="auto"/>
              <w:right w:val="outset" w:sz="6" w:space="0" w:color="auto"/>
            </w:tcBorders>
            <w:vAlign w:val="center"/>
          </w:tcPr>
          <w:p w14:paraId="6DE3660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Ustanawia się niezależną grupę doradczą koordynatorów ds. usług cyfrowych do celów nadzoru dostawców usług pośrednich o nazwie „Europejska Rada ds. Usług Cyfrowych” (zwaną dalej „Radą Usług Cyfrowych”).</w:t>
            </w:r>
          </w:p>
          <w:p w14:paraId="47CE85D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54" w:name="mip65353216"/>
            <w:bookmarkEnd w:id="454"/>
            <w:r w:rsidRPr="00965611">
              <w:rPr>
                <w:rFonts w:ascii="Times New Roman" w:eastAsia="Times New Roman" w:hAnsi="Times New Roman" w:cs="Times New Roman"/>
                <w:bCs/>
                <w:sz w:val="24"/>
                <w:szCs w:val="24"/>
                <w:lang w:eastAsia="pl-PL"/>
              </w:rPr>
              <w:t>2. Rada Usług Cyfrowych doradza koordynatorom ds. usług cyfrowych i Komisji zgodnie z niniejszym rozporządzeniem, aby osiągnąć następujące cele:</w:t>
            </w:r>
          </w:p>
          <w:p w14:paraId="58F08A4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5" w:name="mip65353218"/>
            <w:bookmarkEnd w:id="455"/>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przyczynienie się do spójnego stosowania niniejszego rozporządzenia i skutecznej współpracy koordynatorów ds. usług cyfrowych i Komisji w odniesieniu do spraw objętych zakresem niniejszego rozporządzenia;</w:t>
            </w:r>
          </w:p>
          <w:p w14:paraId="1EF4A59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6" w:name="mip65353219"/>
            <w:bookmarkEnd w:id="456"/>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 xml:space="preserve">koordynowanie sporządzania wytycznych i prowadzenia analiz przez Komisję i koordynatorów ds. usług cyfrowych oraz inne właściwe organy dotyczących pojawiających się problemów na rynku wewnętrznym w odniesieniu do spraw objętych zakresem niniejszego rozporządzenia oraz współudział </w:t>
            </w:r>
            <w:r w:rsidR="00965611" w:rsidRPr="00965611">
              <w:rPr>
                <w:rFonts w:ascii="Times New Roman" w:eastAsia="Times New Roman" w:hAnsi="Times New Roman" w:cs="Times New Roman"/>
                <w:bCs/>
                <w:sz w:val="24"/>
                <w:szCs w:val="24"/>
                <w:lang w:eastAsia="pl-PL"/>
              </w:rPr>
              <w:lastRenderedPageBreak/>
              <w:t>w sporządzaniu takich wytycznych i prowadzeniu takich analiz;</w:t>
            </w:r>
          </w:p>
          <w:p w14:paraId="2A81AB16"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7" w:name="mip65353220"/>
            <w:bookmarkEnd w:id="457"/>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wspieranie koordynatorów ds. usług cyfrowych i Komisji w nadzorowaniu bardzo dużych platform internetowych.</w:t>
            </w:r>
          </w:p>
          <w:p w14:paraId="4B8D2FE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2747523"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8BE719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D19933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93092A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E10CE5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E08626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62</w:t>
            </w:r>
          </w:p>
        </w:tc>
        <w:tc>
          <w:tcPr>
            <w:tcW w:w="1650" w:type="pct"/>
            <w:tcBorders>
              <w:top w:val="outset" w:sz="6" w:space="0" w:color="auto"/>
              <w:left w:val="outset" w:sz="6" w:space="0" w:color="auto"/>
              <w:bottom w:val="outset" w:sz="6" w:space="0" w:color="auto"/>
              <w:right w:val="outset" w:sz="6" w:space="0" w:color="auto"/>
            </w:tcBorders>
            <w:vAlign w:val="center"/>
          </w:tcPr>
          <w:p w14:paraId="52B3469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Rada Usług Cyfrowych składa się z koordynatorów ds. usług cyfrowych, których reprezentują wysocy rangą urzędnicy. Niewyznaczenie przez jedno lub większą liczbę państw członkowskich koordynatora ds. usług cyfrowych nie uniemożliwia Radzie Usług Cyfrowych wykonywania jej zadań. Jeżeli prawo krajowe tak stanowi, w Radzie Usług Cyfrowych mogą zasiadać – obok koordynatorów ds. usług cyfrowych – inne właściwe organy, którym powierzono konkretny zakres odpowiedzialności operacyjnej za stosowanie i egzekwowanie niniejszego </w:t>
            </w:r>
            <w:bookmarkStart w:id="458" w:name="highlightHit_19"/>
            <w:bookmarkEnd w:id="458"/>
            <w:r w:rsidRPr="00965611">
              <w:rPr>
                <w:rFonts w:ascii="Times New Roman" w:eastAsia="Times New Roman" w:hAnsi="Times New Roman" w:cs="Times New Roman"/>
                <w:bCs/>
                <w:sz w:val="24"/>
                <w:szCs w:val="24"/>
                <w:lang w:eastAsia="pl-PL"/>
              </w:rPr>
              <w:t>rozporządzenia. Inne organy krajowe mogą być zapraszane na posiedzenia Rady </w:t>
            </w:r>
            <w:bookmarkStart w:id="459" w:name="highlightHit_20"/>
            <w:bookmarkEnd w:id="459"/>
            <w:r w:rsidRPr="00965611">
              <w:rPr>
                <w:rFonts w:ascii="Times New Roman" w:eastAsia="Times New Roman" w:hAnsi="Times New Roman" w:cs="Times New Roman"/>
                <w:bCs/>
                <w:sz w:val="24"/>
                <w:szCs w:val="24"/>
                <w:lang w:eastAsia="pl-PL"/>
              </w:rPr>
              <w:t>Usług </w:t>
            </w:r>
            <w:bookmarkStart w:id="460" w:name="highlightHit_21"/>
            <w:bookmarkEnd w:id="460"/>
            <w:r w:rsidRPr="00965611">
              <w:rPr>
                <w:rFonts w:ascii="Times New Roman" w:eastAsia="Times New Roman" w:hAnsi="Times New Roman" w:cs="Times New Roman"/>
                <w:bCs/>
                <w:sz w:val="24"/>
                <w:szCs w:val="24"/>
                <w:lang w:eastAsia="pl-PL"/>
              </w:rPr>
              <w:t>Cyfrowych, na których omawia się istotne dla nich kwestie.</w:t>
            </w:r>
          </w:p>
          <w:p w14:paraId="42A79B1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61" w:name="mip65353223"/>
            <w:bookmarkEnd w:id="461"/>
            <w:r w:rsidRPr="00965611">
              <w:rPr>
                <w:rFonts w:ascii="Times New Roman" w:eastAsia="Times New Roman" w:hAnsi="Times New Roman" w:cs="Times New Roman"/>
                <w:bCs/>
                <w:sz w:val="24"/>
                <w:szCs w:val="24"/>
                <w:lang w:eastAsia="pl-PL"/>
              </w:rPr>
              <w:t>2. Radzie </w:t>
            </w:r>
            <w:bookmarkStart w:id="462" w:name="highlightHit_22"/>
            <w:bookmarkEnd w:id="462"/>
            <w:r w:rsidRPr="00965611">
              <w:rPr>
                <w:rFonts w:ascii="Times New Roman" w:eastAsia="Times New Roman" w:hAnsi="Times New Roman" w:cs="Times New Roman"/>
                <w:bCs/>
                <w:sz w:val="24"/>
                <w:szCs w:val="24"/>
                <w:lang w:eastAsia="pl-PL"/>
              </w:rPr>
              <w:t>Usług </w:t>
            </w:r>
            <w:bookmarkStart w:id="463" w:name="highlightHit_23"/>
            <w:bookmarkEnd w:id="463"/>
            <w:r w:rsidRPr="00965611">
              <w:rPr>
                <w:rFonts w:ascii="Times New Roman" w:eastAsia="Times New Roman" w:hAnsi="Times New Roman" w:cs="Times New Roman"/>
                <w:bCs/>
                <w:sz w:val="24"/>
                <w:szCs w:val="24"/>
                <w:lang w:eastAsia="pl-PL"/>
              </w:rPr>
              <w:t>Cyfrowych przewodniczy Komisja. Komisja zwołuje posiedzenia i przygotowuje porządek obrad zgodnie z zadaniami Rady </w:t>
            </w:r>
            <w:bookmarkStart w:id="464" w:name="highlightHit_24"/>
            <w:bookmarkEnd w:id="464"/>
            <w:r w:rsidRPr="00965611">
              <w:rPr>
                <w:rFonts w:ascii="Times New Roman" w:eastAsia="Times New Roman" w:hAnsi="Times New Roman" w:cs="Times New Roman"/>
                <w:bCs/>
                <w:sz w:val="24"/>
                <w:szCs w:val="24"/>
                <w:lang w:eastAsia="pl-PL"/>
              </w:rPr>
              <w:t>Usług </w:t>
            </w:r>
            <w:bookmarkStart w:id="465" w:name="highlightHit_25"/>
            <w:bookmarkEnd w:id="465"/>
            <w:r w:rsidRPr="00965611">
              <w:rPr>
                <w:rFonts w:ascii="Times New Roman" w:eastAsia="Times New Roman" w:hAnsi="Times New Roman" w:cs="Times New Roman"/>
                <w:bCs/>
                <w:sz w:val="24"/>
                <w:szCs w:val="24"/>
                <w:lang w:eastAsia="pl-PL"/>
              </w:rPr>
              <w:t>Cyfrowych określonymi w niniejszym </w:t>
            </w:r>
            <w:bookmarkStart w:id="466" w:name="highlightHit_26"/>
            <w:bookmarkEnd w:id="466"/>
            <w:r w:rsidRPr="00965611">
              <w:rPr>
                <w:rFonts w:ascii="Times New Roman" w:eastAsia="Times New Roman" w:hAnsi="Times New Roman" w:cs="Times New Roman"/>
                <w:bCs/>
                <w:sz w:val="24"/>
                <w:szCs w:val="24"/>
                <w:lang w:eastAsia="pl-PL"/>
              </w:rPr>
              <w:t>rozporządzeniu oraz zgodnie z jej regulaminem wewnętrznym. Kiedy Rada </w:t>
            </w:r>
            <w:bookmarkStart w:id="467" w:name="highlightHit_27"/>
            <w:bookmarkEnd w:id="467"/>
            <w:r w:rsidRPr="00965611">
              <w:rPr>
                <w:rFonts w:ascii="Times New Roman" w:eastAsia="Times New Roman" w:hAnsi="Times New Roman" w:cs="Times New Roman"/>
                <w:bCs/>
                <w:sz w:val="24"/>
                <w:szCs w:val="24"/>
                <w:lang w:eastAsia="pl-PL"/>
              </w:rPr>
              <w:t>Usług </w:t>
            </w:r>
            <w:bookmarkStart w:id="468" w:name="highlightHit_28"/>
            <w:bookmarkEnd w:id="468"/>
            <w:r w:rsidRPr="00965611">
              <w:rPr>
                <w:rFonts w:ascii="Times New Roman" w:eastAsia="Times New Roman" w:hAnsi="Times New Roman" w:cs="Times New Roman"/>
                <w:bCs/>
                <w:sz w:val="24"/>
                <w:szCs w:val="24"/>
                <w:lang w:eastAsia="pl-PL"/>
              </w:rPr>
              <w:t>Cyfrowych otrzymuje wniosek </w:t>
            </w:r>
            <w:bookmarkStart w:id="469" w:name="highlightHit_29"/>
            <w:bookmarkEnd w:id="469"/>
            <w:r w:rsidRPr="00965611">
              <w:rPr>
                <w:rFonts w:ascii="Times New Roman" w:eastAsia="Times New Roman" w:hAnsi="Times New Roman" w:cs="Times New Roman"/>
                <w:bCs/>
                <w:sz w:val="24"/>
                <w:szCs w:val="24"/>
                <w:lang w:eastAsia="pl-PL"/>
              </w:rPr>
              <w:t>o przyjęcie zalecenia na podstawie niniejszego </w:t>
            </w:r>
            <w:bookmarkStart w:id="470" w:name="highlightHit_30"/>
            <w:bookmarkEnd w:id="470"/>
            <w:r w:rsidRPr="00965611">
              <w:rPr>
                <w:rFonts w:ascii="Times New Roman" w:eastAsia="Times New Roman" w:hAnsi="Times New Roman" w:cs="Times New Roman"/>
                <w:bCs/>
                <w:sz w:val="24"/>
                <w:szCs w:val="24"/>
                <w:lang w:eastAsia="pl-PL"/>
              </w:rPr>
              <w:t>rozporządzenia, natychmiast udostępnia ten wniosek innym koordynatorom ds. </w:t>
            </w:r>
            <w:bookmarkStart w:id="471" w:name="highlightHit_31"/>
            <w:bookmarkEnd w:id="471"/>
            <w:r w:rsidRPr="00965611">
              <w:rPr>
                <w:rFonts w:ascii="Times New Roman" w:eastAsia="Times New Roman" w:hAnsi="Times New Roman" w:cs="Times New Roman"/>
                <w:bCs/>
                <w:sz w:val="24"/>
                <w:szCs w:val="24"/>
                <w:lang w:eastAsia="pl-PL"/>
              </w:rPr>
              <w:t>usług </w:t>
            </w:r>
            <w:bookmarkStart w:id="472" w:name="highlightHit_32"/>
            <w:bookmarkEnd w:id="472"/>
            <w:r w:rsidRPr="00965611">
              <w:rPr>
                <w:rFonts w:ascii="Times New Roman" w:eastAsia="Times New Roman" w:hAnsi="Times New Roman" w:cs="Times New Roman"/>
                <w:bCs/>
                <w:sz w:val="24"/>
                <w:szCs w:val="24"/>
                <w:lang w:eastAsia="pl-PL"/>
              </w:rPr>
              <w:t>cyfrowych za pośrednictwem systemu wymiany informacji określonego w art. 85.</w:t>
            </w:r>
          </w:p>
          <w:p w14:paraId="32F4CC5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73" w:name="mip65353224"/>
            <w:bookmarkEnd w:id="473"/>
            <w:r w:rsidRPr="00965611">
              <w:rPr>
                <w:rFonts w:ascii="Times New Roman" w:eastAsia="Times New Roman" w:hAnsi="Times New Roman" w:cs="Times New Roman"/>
                <w:bCs/>
                <w:sz w:val="24"/>
                <w:szCs w:val="24"/>
                <w:lang w:eastAsia="pl-PL"/>
              </w:rPr>
              <w:lastRenderedPageBreak/>
              <w:t>3. Każde państwo członkowskie ma jeden głos. Komisji nie przysługuje prawo do głosowania.</w:t>
            </w:r>
          </w:p>
          <w:p w14:paraId="744F23E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Rada </w:t>
            </w:r>
            <w:bookmarkStart w:id="474" w:name="highlightHit_33"/>
            <w:bookmarkEnd w:id="474"/>
            <w:r w:rsidRPr="00965611">
              <w:rPr>
                <w:rFonts w:ascii="Times New Roman" w:eastAsia="Times New Roman" w:hAnsi="Times New Roman" w:cs="Times New Roman"/>
                <w:bCs/>
                <w:sz w:val="24"/>
                <w:szCs w:val="24"/>
                <w:lang w:eastAsia="pl-PL"/>
              </w:rPr>
              <w:t>Usług </w:t>
            </w:r>
            <w:bookmarkStart w:id="475" w:name="highlightHit_34"/>
            <w:bookmarkEnd w:id="475"/>
            <w:r w:rsidRPr="00965611">
              <w:rPr>
                <w:rFonts w:ascii="Times New Roman" w:eastAsia="Times New Roman" w:hAnsi="Times New Roman" w:cs="Times New Roman"/>
                <w:bCs/>
                <w:sz w:val="24"/>
                <w:szCs w:val="24"/>
                <w:lang w:eastAsia="pl-PL"/>
              </w:rPr>
              <w:t>Cyfrowych przyjmuje </w:t>
            </w:r>
            <w:bookmarkStart w:id="476" w:name="highlightHit_35"/>
            <w:bookmarkEnd w:id="476"/>
            <w:r w:rsidRPr="00965611">
              <w:rPr>
                <w:rFonts w:ascii="Times New Roman" w:eastAsia="Times New Roman" w:hAnsi="Times New Roman" w:cs="Times New Roman"/>
                <w:bCs/>
                <w:sz w:val="24"/>
                <w:szCs w:val="24"/>
                <w:lang w:eastAsia="pl-PL"/>
              </w:rPr>
              <w:t>akty zwykłą większością głosów. W przypadku przyjmowania zalecenia dla Komisji, </w:t>
            </w:r>
            <w:bookmarkStart w:id="477" w:name="highlightHit_36"/>
            <w:bookmarkEnd w:id="477"/>
            <w:r w:rsidRPr="00965611">
              <w:rPr>
                <w:rFonts w:ascii="Times New Roman" w:eastAsia="Times New Roman" w:hAnsi="Times New Roman" w:cs="Times New Roman"/>
                <w:bCs/>
                <w:sz w:val="24"/>
                <w:szCs w:val="24"/>
                <w:lang w:eastAsia="pl-PL"/>
              </w:rPr>
              <w:t>o którym mowa w art. 36 ust. 1 akapit pierwszy, Rada </w:t>
            </w:r>
            <w:bookmarkStart w:id="478" w:name="highlightHit_37"/>
            <w:bookmarkEnd w:id="478"/>
            <w:r w:rsidRPr="00965611">
              <w:rPr>
                <w:rFonts w:ascii="Times New Roman" w:eastAsia="Times New Roman" w:hAnsi="Times New Roman" w:cs="Times New Roman"/>
                <w:bCs/>
                <w:sz w:val="24"/>
                <w:szCs w:val="24"/>
                <w:lang w:eastAsia="pl-PL"/>
              </w:rPr>
              <w:t>Usług </w:t>
            </w:r>
            <w:bookmarkStart w:id="479" w:name="highlightHit_38"/>
            <w:bookmarkEnd w:id="479"/>
            <w:r w:rsidRPr="00965611">
              <w:rPr>
                <w:rFonts w:ascii="Times New Roman" w:eastAsia="Times New Roman" w:hAnsi="Times New Roman" w:cs="Times New Roman"/>
                <w:bCs/>
                <w:sz w:val="24"/>
                <w:szCs w:val="24"/>
                <w:lang w:eastAsia="pl-PL"/>
              </w:rPr>
              <w:t>Cyfrowych przeprowadza głosowanie w terminie 48 godzin od złożenia wniosku przez przewodniczącego Rady </w:t>
            </w:r>
            <w:bookmarkStart w:id="480" w:name="highlightHit_39"/>
            <w:bookmarkEnd w:id="480"/>
            <w:r w:rsidRPr="00965611">
              <w:rPr>
                <w:rFonts w:ascii="Times New Roman" w:eastAsia="Times New Roman" w:hAnsi="Times New Roman" w:cs="Times New Roman"/>
                <w:bCs/>
                <w:sz w:val="24"/>
                <w:szCs w:val="24"/>
                <w:lang w:eastAsia="pl-PL"/>
              </w:rPr>
              <w:t>Usług </w:t>
            </w:r>
            <w:bookmarkStart w:id="481" w:name="highlightHit_40"/>
            <w:bookmarkEnd w:id="481"/>
            <w:r w:rsidRPr="00965611">
              <w:rPr>
                <w:rFonts w:ascii="Times New Roman" w:eastAsia="Times New Roman" w:hAnsi="Times New Roman" w:cs="Times New Roman"/>
                <w:bCs/>
                <w:sz w:val="24"/>
                <w:szCs w:val="24"/>
                <w:lang w:eastAsia="pl-PL"/>
              </w:rPr>
              <w:t>Cyfrowych.</w:t>
            </w:r>
          </w:p>
          <w:p w14:paraId="1B21450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2" w:name="mip65353225"/>
            <w:bookmarkEnd w:id="482"/>
            <w:r w:rsidRPr="00965611">
              <w:rPr>
                <w:rFonts w:ascii="Times New Roman" w:eastAsia="Times New Roman" w:hAnsi="Times New Roman" w:cs="Times New Roman"/>
                <w:bCs/>
                <w:sz w:val="24"/>
                <w:szCs w:val="24"/>
                <w:lang w:eastAsia="pl-PL"/>
              </w:rPr>
              <w:t>4. Komisja udziela administracyjnego i analitycznego wsparcia na potrzeby działań Rady </w:t>
            </w:r>
            <w:bookmarkStart w:id="483" w:name="highlightHit_41"/>
            <w:bookmarkEnd w:id="483"/>
            <w:r w:rsidRPr="00965611">
              <w:rPr>
                <w:rFonts w:ascii="Times New Roman" w:eastAsia="Times New Roman" w:hAnsi="Times New Roman" w:cs="Times New Roman"/>
                <w:bCs/>
                <w:sz w:val="24"/>
                <w:szCs w:val="24"/>
                <w:lang w:eastAsia="pl-PL"/>
              </w:rPr>
              <w:t>Usług </w:t>
            </w:r>
            <w:bookmarkStart w:id="484" w:name="highlightHit_42"/>
            <w:bookmarkEnd w:id="484"/>
            <w:r w:rsidRPr="00965611">
              <w:rPr>
                <w:rFonts w:ascii="Times New Roman" w:eastAsia="Times New Roman" w:hAnsi="Times New Roman" w:cs="Times New Roman"/>
                <w:bCs/>
                <w:sz w:val="24"/>
                <w:szCs w:val="24"/>
                <w:lang w:eastAsia="pl-PL"/>
              </w:rPr>
              <w:t>Cyfrowych zgodnie z niniejszym </w:t>
            </w:r>
            <w:bookmarkStart w:id="485" w:name="highlightHit_43"/>
            <w:bookmarkEnd w:id="485"/>
            <w:r w:rsidRPr="00965611">
              <w:rPr>
                <w:rFonts w:ascii="Times New Roman" w:eastAsia="Times New Roman" w:hAnsi="Times New Roman" w:cs="Times New Roman"/>
                <w:bCs/>
                <w:sz w:val="24"/>
                <w:szCs w:val="24"/>
                <w:lang w:eastAsia="pl-PL"/>
              </w:rPr>
              <w:t>rozporządzeniem.</w:t>
            </w:r>
          </w:p>
          <w:p w14:paraId="666153B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6" w:name="mip65353226"/>
            <w:bookmarkEnd w:id="486"/>
            <w:r w:rsidRPr="00965611">
              <w:rPr>
                <w:rFonts w:ascii="Times New Roman" w:eastAsia="Times New Roman" w:hAnsi="Times New Roman" w:cs="Times New Roman"/>
                <w:bCs/>
                <w:sz w:val="24"/>
                <w:szCs w:val="24"/>
                <w:lang w:eastAsia="pl-PL"/>
              </w:rPr>
              <w:t>5. Rada Usług Cyfrowych może zapraszać ekspertów i obserwatorów do udziału w swoich posiedzeniach oraz może współpracować z innymi organami, jednostkami organizacyjnymi i grupami doradczymi Unii, a w stosownych przypadkach również z ekspertami zewnętrznymi. Rada Usług Cyfrowych podaje wyniki tej współpracy do wiadomości publicznej.</w:t>
            </w:r>
          </w:p>
          <w:p w14:paraId="3ED656B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7" w:name="mip65353227"/>
            <w:bookmarkEnd w:id="487"/>
            <w:r w:rsidRPr="00965611">
              <w:rPr>
                <w:rFonts w:ascii="Times New Roman" w:eastAsia="Times New Roman" w:hAnsi="Times New Roman" w:cs="Times New Roman"/>
                <w:bCs/>
                <w:sz w:val="24"/>
                <w:szCs w:val="24"/>
                <w:lang w:eastAsia="pl-PL"/>
              </w:rPr>
              <w:t>6. Rada Usług Cyfrowych może konsultować się z zainteresowanymi stronami i podaje wyniki takich konsultacji do wiadomości publicznej.</w:t>
            </w:r>
          </w:p>
          <w:p w14:paraId="3FC9C19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8" w:name="mip65353228"/>
            <w:bookmarkEnd w:id="488"/>
            <w:r w:rsidRPr="00965611">
              <w:rPr>
                <w:rFonts w:ascii="Times New Roman" w:eastAsia="Times New Roman" w:hAnsi="Times New Roman" w:cs="Times New Roman"/>
                <w:bCs/>
                <w:sz w:val="24"/>
                <w:szCs w:val="24"/>
                <w:lang w:eastAsia="pl-PL"/>
              </w:rPr>
              <w:t>7. Po uzyskaniu zgody Komisji Rada Usług Cyfrowych przyjmuje regulamin wewnętrzny.</w:t>
            </w:r>
          </w:p>
          <w:p w14:paraId="3A1565A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1EA55D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75EB2710"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62104EFE" w14:textId="77777777" w:rsidR="00316B92" w:rsidRPr="00316B92" w:rsidRDefault="00316B92" w:rsidP="00316B92">
            <w:pPr>
              <w:spacing w:after="0" w:line="240" w:lineRule="auto"/>
              <w:rPr>
                <w:rFonts w:ascii="Times New Roman" w:eastAsia="Times New Roman" w:hAnsi="Times New Roman" w:cs="Times New Roman"/>
                <w:sz w:val="24"/>
                <w:szCs w:val="24"/>
                <w:lang w:eastAsia="pl-PL"/>
              </w:rPr>
            </w:pPr>
            <w:r w:rsidRPr="00316B92">
              <w:rPr>
                <w:rFonts w:ascii="Times New Roman" w:eastAsia="Times New Roman" w:hAnsi="Times New Roman" w:cs="Times New Roman"/>
                <w:sz w:val="24"/>
                <w:szCs w:val="24"/>
                <w:lang w:eastAsia="pl-PL"/>
              </w:rPr>
              <w:t>Art. 22d. 1. Prezes UKE uczestniczy w posiedzeniach Europejskiej Rady do spraw Usług Cyfrowych.</w:t>
            </w:r>
          </w:p>
          <w:p w14:paraId="04A46402" w14:textId="26B34CED" w:rsidR="00316B92" w:rsidRDefault="00316B92" w:rsidP="00316B92">
            <w:pPr>
              <w:spacing w:after="0" w:line="240" w:lineRule="auto"/>
              <w:rPr>
                <w:rFonts w:ascii="Times New Roman" w:eastAsia="Times New Roman" w:hAnsi="Times New Roman" w:cs="Times New Roman"/>
                <w:sz w:val="24"/>
                <w:szCs w:val="24"/>
                <w:lang w:eastAsia="pl-PL"/>
              </w:rPr>
            </w:pPr>
            <w:r w:rsidRPr="00316B92">
              <w:rPr>
                <w:rFonts w:ascii="Times New Roman" w:eastAsia="Times New Roman" w:hAnsi="Times New Roman" w:cs="Times New Roman"/>
                <w:sz w:val="24"/>
                <w:szCs w:val="24"/>
                <w:lang w:eastAsia="pl-PL"/>
              </w:rPr>
              <w:t>2. Prezes UOKiK uczestniczy, wspólnie z Prezesem UKE, w posiedzeniu Europejskiej Rady do spraw Usług Cyfrowych, w przypadku, gdy przedmiotem posiedzenia są sprawy będące we właściwości Prezesa UOKiK.</w:t>
            </w:r>
          </w:p>
          <w:p w14:paraId="7B01E894" w14:textId="77777777" w:rsidR="00316B92" w:rsidRDefault="00316B92" w:rsidP="00D80E2E">
            <w:pPr>
              <w:spacing w:after="0" w:line="240" w:lineRule="auto"/>
              <w:rPr>
                <w:rFonts w:ascii="Times New Roman" w:eastAsia="Times New Roman" w:hAnsi="Times New Roman" w:cs="Times New Roman"/>
                <w:sz w:val="24"/>
                <w:szCs w:val="24"/>
                <w:lang w:eastAsia="pl-PL"/>
              </w:rPr>
            </w:pPr>
          </w:p>
          <w:p w14:paraId="00EE7279" w14:textId="77777777" w:rsidR="00965611" w:rsidRPr="00F94F1E" w:rsidRDefault="00965611" w:rsidP="00316B92">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6AA4B1F" w14:textId="77777777" w:rsidR="00965611" w:rsidRPr="00B03963" w:rsidRDefault="00965611" w:rsidP="00B03963">
            <w:pPr>
              <w:spacing w:after="0" w:line="240" w:lineRule="auto"/>
              <w:rPr>
                <w:rFonts w:ascii="Times New Roman" w:eastAsia="Times New Roman" w:hAnsi="Times New Roman" w:cs="Times New Roman"/>
                <w:sz w:val="20"/>
                <w:szCs w:val="20"/>
                <w:lang w:eastAsia="pl-PL"/>
              </w:rPr>
            </w:pPr>
          </w:p>
        </w:tc>
      </w:tr>
      <w:tr w:rsidR="00965611" w:rsidRPr="00B03963" w14:paraId="430FE77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5C7FA27"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63</w:t>
            </w:r>
          </w:p>
        </w:tc>
        <w:tc>
          <w:tcPr>
            <w:tcW w:w="1650" w:type="pct"/>
            <w:tcBorders>
              <w:top w:val="outset" w:sz="6" w:space="0" w:color="auto"/>
              <w:left w:val="outset" w:sz="6" w:space="0" w:color="auto"/>
              <w:bottom w:val="outset" w:sz="6" w:space="0" w:color="auto"/>
              <w:right w:val="outset" w:sz="6" w:space="0" w:color="auto"/>
            </w:tcBorders>
            <w:vAlign w:val="center"/>
          </w:tcPr>
          <w:p w14:paraId="23D4864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stosownych przypadkach, aby osiągnąć cele określone w art. 61 ust. 2, Rada Usług Cyfrowych w szczególności:</w:t>
            </w:r>
          </w:p>
          <w:p w14:paraId="2B2F4E85"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89" w:name="mip65353232"/>
            <w:bookmarkEnd w:id="489"/>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wspiera koordynację wspólnych czynności sprawdzających;</w:t>
            </w:r>
          </w:p>
          <w:p w14:paraId="50E4152A"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0" w:name="mip65353233"/>
            <w:bookmarkEnd w:id="490"/>
            <w:r>
              <w:rPr>
                <w:rFonts w:ascii="Times New Roman" w:eastAsia="Times New Roman" w:hAnsi="Times New Roman" w:cs="Times New Roman"/>
                <w:bCs/>
                <w:sz w:val="24"/>
                <w:szCs w:val="24"/>
                <w:lang w:eastAsia="pl-PL"/>
              </w:rPr>
              <w:lastRenderedPageBreak/>
              <w:t xml:space="preserve">b) </w:t>
            </w:r>
            <w:r w:rsidR="00965611" w:rsidRPr="00965611">
              <w:rPr>
                <w:rFonts w:ascii="Times New Roman" w:eastAsia="Times New Roman" w:hAnsi="Times New Roman" w:cs="Times New Roman"/>
                <w:bCs/>
                <w:sz w:val="24"/>
                <w:szCs w:val="24"/>
                <w:lang w:eastAsia="pl-PL"/>
              </w:rPr>
              <w:t>wspiera właściwe organy w analizowaniu sprawozdań i wyników audytów bardzo dużych platform internetowych lub bardzo dużych wyszukiwarek internetowych przekazywanych na podstawie niniejszego rozporządzenia;</w:t>
            </w:r>
          </w:p>
          <w:p w14:paraId="590CC5B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1" w:name="mip65353234"/>
            <w:bookmarkEnd w:id="491"/>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wydaje opinie lub zalecenia lub doradza koordynatorom ds. usług cyfrowych zgodnie z niniejszym rozporządzeniem, uwzględniając w szczególności swobodę świadczenia usług przez dostawców usług pośrednich;</w:t>
            </w:r>
          </w:p>
          <w:p w14:paraId="5A0A1F66"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2" w:name="mip65353235"/>
            <w:bookmarkEnd w:id="492"/>
            <w:r>
              <w:rPr>
                <w:rFonts w:ascii="Times New Roman" w:eastAsia="Times New Roman" w:hAnsi="Times New Roman" w:cs="Times New Roman"/>
                <w:bCs/>
                <w:sz w:val="24"/>
                <w:szCs w:val="24"/>
                <w:lang w:eastAsia="pl-PL"/>
              </w:rPr>
              <w:t xml:space="preserve">d) </w:t>
            </w:r>
            <w:r w:rsidR="00965611" w:rsidRPr="00965611">
              <w:rPr>
                <w:rFonts w:ascii="Times New Roman" w:eastAsia="Times New Roman" w:hAnsi="Times New Roman" w:cs="Times New Roman"/>
                <w:bCs/>
                <w:sz w:val="24"/>
                <w:szCs w:val="24"/>
                <w:lang w:eastAsia="pl-PL"/>
              </w:rPr>
              <w:t>doradza Komisji w sprawie przyjmowania środków, o których mowa w art. 66, oraz przyjmuje opinie dotyczące bardzo dużych platform internetowych lub bardzo dużych wyszukiwarek internetowych zgodnie z niniejszym rozporządzeniem;</w:t>
            </w:r>
          </w:p>
          <w:p w14:paraId="51637A0C"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3" w:name="mip65353236"/>
            <w:bookmarkEnd w:id="493"/>
            <w:r>
              <w:rPr>
                <w:rFonts w:ascii="Times New Roman" w:eastAsia="Times New Roman" w:hAnsi="Times New Roman" w:cs="Times New Roman"/>
                <w:bCs/>
                <w:sz w:val="24"/>
                <w:szCs w:val="24"/>
                <w:lang w:eastAsia="pl-PL"/>
              </w:rPr>
              <w:t xml:space="preserve">e) </w:t>
            </w:r>
            <w:r w:rsidR="00965611" w:rsidRPr="00965611">
              <w:rPr>
                <w:rFonts w:ascii="Times New Roman" w:eastAsia="Times New Roman" w:hAnsi="Times New Roman" w:cs="Times New Roman"/>
                <w:bCs/>
                <w:sz w:val="24"/>
                <w:szCs w:val="24"/>
                <w:lang w:eastAsia="pl-PL"/>
              </w:rPr>
              <w:t>wspiera i promuje we współpracy z odpowiednimi zainteresowanymi stronami opracowywanie i wdrażanie europejskich norm, wytycznych, sprawozdań, wzorów i kodeksów postępowania przewidzianych w niniejszym rozporządzeniu, między innymi wydając opinie lub zalecenia w sprawach związanych z art. 44, a także identyfikowanie pojawiających się problemów w odniesieniu do spraw objętych zakresem niniejszego rozporządzenia.</w:t>
            </w:r>
          </w:p>
          <w:p w14:paraId="704E111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4" w:name="mip65353237"/>
            <w:bookmarkEnd w:id="494"/>
            <w:r w:rsidRPr="00965611">
              <w:rPr>
                <w:rFonts w:ascii="Times New Roman" w:eastAsia="Times New Roman" w:hAnsi="Times New Roman" w:cs="Times New Roman"/>
                <w:bCs/>
                <w:sz w:val="24"/>
                <w:szCs w:val="24"/>
                <w:lang w:eastAsia="pl-PL"/>
              </w:rPr>
              <w:t xml:space="preserve">2. Przy składaniu sprawozdania zgodnie z niniejszym rozporządzeniem lub, w zależności od przypadku, przy przyjmowaniu odpowiednich decyzji, koordynatorzy ds. usług cyfrowych oraz, w stosownych przypadkach, inne właściwe organy krajowe niestosujące się do skierowanych do nich opinii, wniosków lub zaleceń przyjętych przez Radę Usług Cyfrowych podają przyczyny takiego postępowania, w tym wyjaśnienia </w:t>
            </w:r>
            <w:r w:rsidRPr="00965611">
              <w:rPr>
                <w:rFonts w:ascii="Times New Roman" w:eastAsia="Times New Roman" w:hAnsi="Times New Roman" w:cs="Times New Roman"/>
                <w:bCs/>
                <w:sz w:val="24"/>
                <w:szCs w:val="24"/>
                <w:lang w:eastAsia="pl-PL"/>
              </w:rPr>
              <w:lastRenderedPageBreak/>
              <w:t>dotyczące czynności sprawdzających, działań i środków, które wdrożyli.</w:t>
            </w:r>
          </w:p>
          <w:p w14:paraId="7DF1E34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3A867C4"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EA1AFB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BDF777F"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6F7FF7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6AB6237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42EE63E"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64</w:t>
            </w:r>
          </w:p>
        </w:tc>
        <w:tc>
          <w:tcPr>
            <w:tcW w:w="1650" w:type="pct"/>
            <w:tcBorders>
              <w:top w:val="outset" w:sz="6" w:space="0" w:color="auto"/>
              <w:left w:val="outset" w:sz="6" w:space="0" w:color="auto"/>
              <w:bottom w:val="outset" w:sz="6" w:space="0" w:color="auto"/>
              <w:right w:val="outset" w:sz="6" w:space="0" w:color="auto"/>
            </w:tcBorders>
            <w:vAlign w:val="center"/>
          </w:tcPr>
          <w:p w14:paraId="2643AC9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we współpracy z koordynatorami ds. usług cyfrowych i Radą Usług Cyfrowych, rozwija unijną wiedzę ekspercką i zdolności, w tym w stosownych przypadkach poprzez oddelegowanie personelu państw członkowskich.</w:t>
            </w:r>
          </w:p>
          <w:p w14:paraId="0D41156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5" w:name="mip65353241"/>
            <w:bookmarkEnd w:id="495"/>
            <w:r w:rsidRPr="00965611">
              <w:rPr>
                <w:rFonts w:ascii="Times New Roman" w:eastAsia="Times New Roman" w:hAnsi="Times New Roman" w:cs="Times New Roman"/>
                <w:bCs/>
                <w:sz w:val="24"/>
                <w:szCs w:val="24"/>
                <w:lang w:eastAsia="pl-PL"/>
              </w:rPr>
              <w:t>2. Komisja, we współpracy z koordynatorami ds. usług cyfrowych i Radą Usług Cyfrowych, koordynuje ponadto ocenę systemowych i pojawiających się problemów w całej Unii dotyczących bardzo dużych platform internetowych lub bardzo dużych wyszukiwarek internetowych w odniesieniu do spraw objętych zakresem niniejszego rozporządzenia.</w:t>
            </w:r>
          </w:p>
          <w:p w14:paraId="14DF675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6" w:name="mip65353242"/>
            <w:bookmarkEnd w:id="496"/>
            <w:r w:rsidRPr="00965611">
              <w:rPr>
                <w:rFonts w:ascii="Times New Roman" w:eastAsia="Times New Roman" w:hAnsi="Times New Roman" w:cs="Times New Roman"/>
                <w:bCs/>
                <w:sz w:val="24"/>
                <w:szCs w:val="24"/>
                <w:lang w:eastAsia="pl-PL"/>
              </w:rPr>
              <w:t>3. Komisja może zwrócić się do koordynatorów ds. usług cyfrowych, Rady Usług Cyfrowych i innych organów i jednostek organizacyjnych Unii posiadających odpowiednią wiedzę ekspercką o wsparcie w zakresie oceny systemowych i pojawiających się problemów w całej Unii na podstawie niniejszego rozporządzenia.</w:t>
            </w:r>
          </w:p>
          <w:p w14:paraId="598B3FC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7" w:name="mip65353243"/>
            <w:bookmarkEnd w:id="497"/>
            <w:r w:rsidRPr="00965611">
              <w:rPr>
                <w:rFonts w:ascii="Times New Roman" w:eastAsia="Times New Roman" w:hAnsi="Times New Roman" w:cs="Times New Roman"/>
                <w:bCs/>
                <w:sz w:val="24"/>
                <w:szCs w:val="24"/>
                <w:lang w:eastAsia="pl-PL"/>
              </w:rPr>
              <w:t>4. Państwa członkowskie współpracują z Komisją, w szczególności za pośrednictwem swoich odpowiednich koordynatorów ds. usług cyfrowych i, w stosownych przypadkach, innych właściwych organów, w tym poprzez udostępnianie ich wiedzy eksperckiej i zdolności.</w:t>
            </w:r>
          </w:p>
          <w:p w14:paraId="4E1B9036"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278414F"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2A6E377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1517EF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E804A7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6167C6F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87BF48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65</w:t>
            </w:r>
          </w:p>
        </w:tc>
        <w:tc>
          <w:tcPr>
            <w:tcW w:w="1650" w:type="pct"/>
            <w:tcBorders>
              <w:top w:val="outset" w:sz="6" w:space="0" w:color="auto"/>
              <w:left w:val="outset" w:sz="6" w:space="0" w:color="auto"/>
              <w:bottom w:val="outset" w:sz="6" w:space="0" w:color="auto"/>
              <w:right w:val="outset" w:sz="6" w:space="0" w:color="auto"/>
            </w:tcBorders>
            <w:vAlign w:val="center"/>
          </w:tcPr>
          <w:p w14:paraId="765FFC5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Do celów czynności sprawdzających dotyczących wypełniania przez dostawców bardzo dużych platform </w:t>
            </w:r>
            <w:r w:rsidRPr="00965611">
              <w:rPr>
                <w:rFonts w:ascii="Times New Roman" w:eastAsia="Times New Roman" w:hAnsi="Times New Roman" w:cs="Times New Roman"/>
                <w:bCs/>
                <w:sz w:val="24"/>
                <w:szCs w:val="24"/>
                <w:lang w:eastAsia="pl-PL"/>
              </w:rPr>
              <w:lastRenderedPageBreak/>
              <w:t>internetowych i bardzo dużych wyszukiwarek internetowych obowiązków ustanowionych w niniejszym rozporządzeniu Komisja może skorzystać z uprawnień w zakresie czynności sprawdzających określonych w niniejszej sekcji nawet przed wszczęciem postępowania na podstawie art. 66 ust. 2. Może ona wykonywać te uprawnienia z własnej inicjatywy lub na wniosek złożony na podstawie ust. 2 niniejszego artykułu.</w:t>
            </w:r>
          </w:p>
          <w:p w14:paraId="5B614D2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8" w:name="mip65353246"/>
            <w:bookmarkEnd w:id="498"/>
            <w:r w:rsidRPr="00965611">
              <w:rPr>
                <w:rFonts w:ascii="Times New Roman" w:eastAsia="Times New Roman" w:hAnsi="Times New Roman" w:cs="Times New Roman"/>
                <w:bCs/>
                <w:sz w:val="24"/>
                <w:szCs w:val="24"/>
                <w:lang w:eastAsia="pl-PL"/>
              </w:rPr>
              <w:t>2. W przypadku gdy koordynator ds. usług cyfrowych ma powody, aby podejrzewać, że dostawca bardzo dużej platformy internetowej lub bardzo dużej wyszukiwarki internetowej naruszył przepisy rozdziału III sekcja 5 lub systematycznie naruszał którykolwiek z przepisów niniejszego rozporządzenia w sposób mający poważny wpływ na odbiorców usługi w jego państwie członkowskim, może przesłać Komisji za pośrednictwem systemu wymiany informacji, o którym mowa w art. 85, wniosek o ocenę tej sprawy.</w:t>
            </w:r>
          </w:p>
          <w:p w14:paraId="3ED9DB9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9" w:name="mip65353247"/>
            <w:bookmarkEnd w:id="499"/>
            <w:r w:rsidRPr="00965611">
              <w:rPr>
                <w:rFonts w:ascii="Times New Roman" w:eastAsia="Times New Roman" w:hAnsi="Times New Roman" w:cs="Times New Roman"/>
                <w:bCs/>
                <w:sz w:val="24"/>
                <w:szCs w:val="24"/>
                <w:lang w:eastAsia="pl-PL"/>
              </w:rPr>
              <w:t>3. Wniosek na podstawie ust. 2 musi być należycie uzasadniony i zawierać co najmniej:</w:t>
            </w:r>
          </w:p>
          <w:p w14:paraId="46C8E998"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00" w:name="mip65353249"/>
            <w:bookmarkEnd w:id="500"/>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informacje na temat punktu kontaktowego danego dostawcy bardzo dużej platformy internetowej lub bardzo dużej wyszukiwarki internetowej, o którym to punkcie mowa w art. 11;</w:t>
            </w:r>
          </w:p>
          <w:p w14:paraId="24B6549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01" w:name="mip65353250"/>
            <w:bookmarkEnd w:id="501"/>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 xml:space="preserve">opis stanu faktycznego, stosowne przepisy niniejszego rozporządzenia oraz powody, dla których koordynator ds. usług cyfrowych, który wysłał wniosek, podejrzewa, że dany dostawca bardzo dużej platformy internetowej lub bardzo dużej wyszukiwarki internetowej naruszył niniejsze rozporządzenie, w tym </w:t>
            </w:r>
            <w:r w:rsidR="00965611" w:rsidRPr="00965611">
              <w:rPr>
                <w:rFonts w:ascii="Times New Roman" w:eastAsia="Times New Roman" w:hAnsi="Times New Roman" w:cs="Times New Roman"/>
                <w:bCs/>
                <w:sz w:val="24"/>
                <w:szCs w:val="24"/>
                <w:lang w:eastAsia="pl-PL"/>
              </w:rPr>
              <w:lastRenderedPageBreak/>
              <w:t>opis stanu faktycznego, który wskazuje, że podejrzewane naruszenie ma systemowy charakter;</w:t>
            </w:r>
          </w:p>
          <w:p w14:paraId="01D8260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02" w:name="mip65353251"/>
            <w:bookmarkEnd w:id="502"/>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wszelkie inne informacje uznane za istotne przez koordynatora ds. usług cyfrowych, który wysłał wniosek, w tym, w stosownych przypadkach, informacje zebrane z własnej inicjatywy.</w:t>
            </w:r>
          </w:p>
          <w:p w14:paraId="5C37E07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6AA193B"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696D689"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3B1010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881AA1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w:t>
            </w:r>
            <w:r w:rsidRPr="00F94F1E">
              <w:rPr>
                <w:rFonts w:ascii="Times New Roman" w:eastAsia="Times New Roman" w:hAnsi="Times New Roman" w:cs="Times New Roman"/>
                <w:sz w:val="24"/>
                <w:szCs w:val="24"/>
                <w:lang w:eastAsia="pl-PL"/>
              </w:rPr>
              <w:lastRenderedPageBreak/>
              <w:t>ogólnym stosowany wprost nie wymaga wdrożenia</w:t>
            </w:r>
          </w:p>
        </w:tc>
      </w:tr>
      <w:tr w:rsidR="00965611" w:rsidRPr="00B03963" w14:paraId="4D13122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548E6EB"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66</w:t>
            </w:r>
          </w:p>
        </w:tc>
        <w:tc>
          <w:tcPr>
            <w:tcW w:w="1650" w:type="pct"/>
            <w:tcBorders>
              <w:top w:val="outset" w:sz="6" w:space="0" w:color="auto"/>
              <w:left w:val="outset" w:sz="6" w:space="0" w:color="auto"/>
              <w:bottom w:val="outset" w:sz="6" w:space="0" w:color="auto"/>
              <w:right w:val="outset" w:sz="6" w:space="0" w:color="auto"/>
            </w:tcBorders>
            <w:vAlign w:val="center"/>
          </w:tcPr>
          <w:p w14:paraId="38CFA28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może wszcząć postępowanie w celu ewentualnego przyjęcia decyzji na podstawie art. 73 i 74 w odniesieniu do danej praktyki dostawcy bardzo dużej platformy internetowej lub bardzo dużej wyszukiwarki internetowej, którego Komisja podejrzewa, że naruszył którykolwiek z przepisów niniejszego rozporządzenia.</w:t>
            </w:r>
          </w:p>
          <w:p w14:paraId="109A269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3" w:name="mip65353254"/>
            <w:bookmarkEnd w:id="503"/>
            <w:r w:rsidRPr="00965611">
              <w:rPr>
                <w:rFonts w:ascii="Times New Roman" w:eastAsia="Times New Roman" w:hAnsi="Times New Roman" w:cs="Times New Roman"/>
                <w:bCs/>
                <w:sz w:val="24"/>
                <w:szCs w:val="24"/>
                <w:lang w:eastAsia="pl-PL"/>
              </w:rPr>
              <w:t>2. Jeżeli Komisja podejmie decyzję o wszczęciu postępowania na podstawie ust. 1 niniejszego artykułu, powiadamia o tym wszystkich koordynatorów ds. usług cyfrowych i Radę Usług Cyfrowych za pośrednictwem systemu wymiany informacji, o którym mowa w art. 85, a także dostawcę danej bardzo dużej platformy internetowej lub bardzo dużej wyszukiwarki internetowej.</w:t>
            </w:r>
          </w:p>
          <w:p w14:paraId="04C79F7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Koordynatorzy ds. usług cyfrowych bez zbędnej zwłoki po otrzymaniu informacji o wszczęciu postępowania przekazują Komisji wszelkie posiadane informacje na temat danego naruszenia.</w:t>
            </w:r>
          </w:p>
          <w:p w14:paraId="793D509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Wszczęcie postępowania na podstawie ust. 1 niniejszego artykułu przez Komisję zwalnia koordynatora ds. usług cyfrowych lub, w stosownych przypadkach, właściwy organ z jego uprawnień w zakresie nadzorowania i egzekwowania określonych </w:t>
            </w:r>
            <w:r w:rsidRPr="00965611">
              <w:rPr>
                <w:rFonts w:ascii="Times New Roman" w:eastAsia="Times New Roman" w:hAnsi="Times New Roman" w:cs="Times New Roman"/>
                <w:bCs/>
                <w:sz w:val="24"/>
                <w:szCs w:val="24"/>
                <w:lang w:eastAsia="pl-PL"/>
              </w:rPr>
              <w:lastRenderedPageBreak/>
              <w:t>w niniejszym rozporządzeniu na podstawie art. 56 ust. 4.</w:t>
            </w:r>
          </w:p>
          <w:p w14:paraId="4049080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4" w:name="mip65353255"/>
            <w:bookmarkEnd w:id="504"/>
            <w:r w:rsidRPr="00965611">
              <w:rPr>
                <w:rFonts w:ascii="Times New Roman" w:eastAsia="Times New Roman" w:hAnsi="Times New Roman" w:cs="Times New Roman"/>
                <w:bCs/>
                <w:sz w:val="24"/>
                <w:szCs w:val="24"/>
                <w:lang w:eastAsia="pl-PL"/>
              </w:rPr>
              <w:t>3. Wykonując uprawnienia w zakresie czynności sprawdzających na mocy niniejszego rozporządzenia, Komisja może zwrócić się z wnioskiem o indywidualne lub wspólne wsparcie do koordynatora ds. usług cyfrowych, którego dotyczy podejrzenie naruszenia, w tym do koordynatora ds. usług cyfrowych właściwego dla miejsca siedziby. Koordynatorzy ds. usług cyfrowych, którzy otrzymali taki wniosek, oraz każdy inny właściwy organ, w przypadku gdy został zaangażowany przez koordynatora ds. usług cyfrowych, współpracują lojalnie i terminowo z Komisją oraz są uprawnieni do wykonywania swoich uprawnień w zakresie czynności sprawdzających, o których mowa w art. 51 ust. 1, względem danego dostawcy bardzo dużej platformy internetowej lub bardzo dużej wyszukiwarki internetowej, w odniesieniu do informacji, osób i pomieszczeń znajdujących się na terytorium ich państwa członkowskiego i zgodnie z wnioskiem.</w:t>
            </w:r>
          </w:p>
          <w:p w14:paraId="4CC581F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5" w:name="mip65353256"/>
            <w:bookmarkEnd w:id="505"/>
            <w:r w:rsidRPr="00965611">
              <w:rPr>
                <w:rFonts w:ascii="Times New Roman" w:eastAsia="Times New Roman" w:hAnsi="Times New Roman" w:cs="Times New Roman"/>
                <w:bCs/>
                <w:sz w:val="24"/>
                <w:szCs w:val="24"/>
                <w:lang w:eastAsia="pl-PL"/>
              </w:rPr>
              <w:t>4. Komisja przekazuje koordynatorowi ds. usług cyfrowych właściwemu dla miejsca siedziby i Radzie Usług Cyfrowych wszelkie istotne informacje na temat wykonywania uprawnień, o których mowa w art. 67–72, oraz swoje wstępne ustalenia, o których mowa w art. 79 ust. 1. Rada Usług Cyfrowych przekazuje Komisji swoje stanowisko na temat tych wstępnych ustaleń w terminie określonym na podstawie art. 79 ust. 2. W swojej decyzji Komisja w jak największym stopniu uwzględnia stanowisko Rady Usług Cyfrowych.</w:t>
            </w:r>
          </w:p>
          <w:p w14:paraId="50175B2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B120958"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DFD44B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8411E5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535693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3BA2A4F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FABC5C4"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67 </w:t>
            </w:r>
          </w:p>
        </w:tc>
        <w:tc>
          <w:tcPr>
            <w:tcW w:w="1650" w:type="pct"/>
            <w:tcBorders>
              <w:top w:val="outset" w:sz="6" w:space="0" w:color="auto"/>
              <w:left w:val="outset" w:sz="6" w:space="0" w:color="auto"/>
              <w:bottom w:val="outset" w:sz="6" w:space="0" w:color="auto"/>
              <w:right w:val="outset" w:sz="6" w:space="0" w:color="auto"/>
            </w:tcBorders>
            <w:vAlign w:val="center"/>
          </w:tcPr>
          <w:p w14:paraId="2BCEF67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celu wykonywania zadań powierzonych w niniejszej sekcji Komisja może, w drodze zwykłego wniosku lub decyzji, żądać od danego dostawcy bardzo dużej platformy internetowej lub bardzo dużej wyszukiwarki internetowej, a także jakiejkolwiek innej osoby fizycznej lub prawnej działającej w celach związanych z jej działalnością handlową, gospodarczą, rzemieślniczą lub zawodową, w przypadku których można zasadnie oczekiwać, że dysponują informacjami związanymi z podejrzeniem naruszenia, w tym od organizacji przeprowadzających audyty, o których mowa w art. 37 i art. 75 ust. 2, udzielenia takich informacji w rozsądnym terminie.</w:t>
            </w:r>
          </w:p>
          <w:p w14:paraId="3DD26CF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6" w:name="mip65353259"/>
            <w:bookmarkEnd w:id="506"/>
            <w:r w:rsidRPr="00965611">
              <w:rPr>
                <w:rFonts w:ascii="Times New Roman" w:eastAsia="Times New Roman" w:hAnsi="Times New Roman" w:cs="Times New Roman"/>
                <w:bCs/>
                <w:sz w:val="24"/>
                <w:szCs w:val="24"/>
                <w:lang w:eastAsia="pl-PL"/>
              </w:rPr>
              <w:t>2. Jeżeli Komisja żąda od danego dostawcy bardzo dużej platformy internetowej lub bardzo dużej wyszukiwarki internetowej lub innej osoby, o której mowa w ust. 1 niniejszego artykułu, udzielenia informacji w drodze zwykłego wniosku, podaje podstawę prawną i cel takiego żądania, wskazuje żądane informacje oraz określa termin, w którym należy udzielić informacji, jak również poucza o grzywnach przewidzianych w art. 74 za udzielenie informacji nieprawidłowych, niekompletnych lub wprowadzających w błąd.</w:t>
            </w:r>
          </w:p>
          <w:p w14:paraId="4CAB97A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7" w:name="mip65353260"/>
            <w:bookmarkEnd w:id="507"/>
            <w:r w:rsidRPr="00965611">
              <w:rPr>
                <w:rFonts w:ascii="Times New Roman" w:eastAsia="Times New Roman" w:hAnsi="Times New Roman" w:cs="Times New Roman"/>
                <w:bCs/>
                <w:sz w:val="24"/>
                <w:szCs w:val="24"/>
                <w:lang w:eastAsia="pl-PL"/>
              </w:rPr>
              <w:t xml:space="preserve">3. Jeżeli Komisja żąda od danego dostawcy bardzo dużej platformy internetowej lub bardzo dużej wyszukiwarki internetowej lub innej osoby, o której mowa w ust. 1 niniejszego artykułu, udzielenia informacji w drodze decyzji, podaje podstawę prawną i cel żądania, wskazuje żądane informacje oraz określa termin na ich udzielenie. Komisja poucza również o grzywnach przewidzianych w art. 74 oraz poucza </w:t>
            </w:r>
            <w:r w:rsidRPr="00965611">
              <w:rPr>
                <w:rFonts w:ascii="Times New Roman" w:eastAsia="Times New Roman" w:hAnsi="Times New Roman" w:cs="Times New Roman"/>
                <w:bCs/>
                <w:sz w:val="24"/>
                <w:szCs w:val="24"/>
                <w:lang w:eastAsia="pl-PL"/>
              </w:rPr>
              <w:lastRenderedPageBreak/>
              <w:t>o okresowych karach pieniężnych przewidzianych w art. 76 lub nakłada takie kary pieniężne. Poucza ona również o prawie do kontroli tej decyzji przez Trybunał Sprawiedliwości Unii Europejskiej.</w:t>
            </w:r>
          </w:p>
          <w:p w14:paraId="6DE68E0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8" w:name="mip65353261"/>
            <w:bookmarkEnd w:id="508"/>
            <w:r w:rsidRPr="00965611">
              <w:rPr>
                <w:rFonts w:ascii="Times New Roman" w:eastAsia="Times New Roman" w:hAnsi="Times New Roman" w:cs="Times New Roman"/>
                <w:bCs/>
                <w:sz w:val="24"/>
                <w:szCs w:val="24"/>
                <w:lang w:eastAsia="pl-PL"/>
              </w:rPr>
              <w:t>4. Dostawcy danej bardzo dużej platformy internetowej lub bardzo dużej wyszukiwarki internetowej lub inna osoba, o której mowa w ust. 1, lub ich przedstawiciele oraz, w przypadku osób prawnych, spółki lub przedsiębiorstwa lub, w przypadku braku osobowości prawnej, osoby upoważnione do ich reprezentowania z mocy prawa lub na podstawie aktu założycielskiego udzielają żądanych informacji w imieniu danego dostawcy bardzo dużej platformy internetowej lub bardzo dużej wyszukiwarki internetowej lub innej osoby, o której mowa w ust. 1. Należycie upoważnieni do działania prawnicy mogą przekazywać informacje w imieniu swoich klientów. Klienci pozostają w pełni odpowiedzialni za informacje, jeżeli przekazane informacje są niekompletne, nieprawidłowe lub wprowadzające w błąd.</w:t>
            </w:r>
          </w:p>
          <w:p w14:paraId="40E4907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9" w:name="mip65353262"/>
            <w:bookmarkEnd w:id="509"/>
            <w:r w:rsidRPr="00965611">
              <w:rPr>
                <w:rFonts w:ascii="Times New Roman" w:eastAsia="Times New Roman" w:hAnsi="Times New Roman" w:cs="Times New Roman"/>
                <w:bCs/>
                <w:sz w:val="24"/>
                <w:szCs w:val="24"/>
                <w:lang w:eastAsia="pl-PL"/>
              </w:rPr>
              <w:t>5. Na wniosek Komisji koordynatorzy ds. usług cyfrowych i inne właściwe organy udzielają Komisji wszelkich informacji niezbędnych do wykonania zadań powierzonych jej w niniejszej sekcji.</w:t>
            </w:r>
          </w:p>
          <w:p w14:paraId="1B8810B6"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0" w:name="mip65353263"/>
            <w:bookmarkEnd w:id="510"/>
            <w:r w:rsidRPr="00965611">
              <w:rPr>
                <w:rFonts w:ascii="Times New Roman" w:eastAsia="Times New Roman" w:hAnsi="Times New Roman" w:cs="Times New Roman"/>
                <w:bCs/>
                <w:sz w:val="24"/>
                <w:szCs w:val="24"/>
                <w:lang w:eastAsia="pl-PL"/>
              </w:rPr>
              <w:t>6. Komisja, bez zbędnej zwłoki po wysłaniu zwykłego wniosku lub decyzji, o których mowa w ust. 1 niniejszego artykułu, przesyła ich kopię koordynatorom ds. usług cyfrowych za pośrednictwem systemu wymiany informacji, o którym mowa w art. 85.</w:t>
            </w:r>
          </w:p>
          <w:p w14:paraId="4DF5CEE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A0FB4B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7946B7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3EB29F8"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FB5C71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1A9C6AF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99EECF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68</w:t>
            </w:r>
          </w:p>
        </w:tc>
        <w:tc>
          <w:tcPr>
            <w:tcW w:w="1650" w:type="pct"/>
            <w:tcBorders>
              <w:top w:val="outset" w:sz="6" w:space="0" w:color="auto"/>
              <w:left w:val="outset" w:sz="6" w:space="0" w:color="auto"/>
              <w:bottom w:val="outset" w:sz="6" w:space="0" w:color="auto"/>
              <w:right w:val="outset" w:sz="6" w:space="0" w:color="auto"/>
            </w:tcBorders>
            <w:vAlign w:val="center"/>
          </w:tcPr>
          <w:p w14:paraId="10F4E49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celu wykonywania zadań powierzonych w niniejszej sekcji Komisja może odbierać wyjaśnienia od każdej osoby fizycznej lub prawnej, która wyrazi zgodę na złożenie wyjaśnień w celu zgromadzenia informacji dotyczących przedmiotu czynności sprawdzających związanych z podejrzeniem naruszenia. Komisja jest uprawniona do rejestrowania takich wyjaśnień za pomocą odpowiednich środków technicznych.</w:t>
            </w:r>
          </w:p>
          <w:p w14:paraId="1DF3600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1" w:name="mip65353266"/>
            <w:bookmarkEnd w:id="511"/>
            <w:r w:rsidRPr="00965611">
              <w:rPr>
                <w:rFonts w:ascii="Times New Roman" w:eastAsia="Times New Roman" w:hAnsi="Times New Roman" w:cs="Times New Roman"/>
                <w:bCs/>
                <w:sz w:val="24"/>
                <w:szCs w:val="24"/>
                <w:lang w:eastAsia="pl-PL"/>
              </w:rPr>
              <w:t>2. Jeżeli odbieranie wyjaśnień, o którym mowa w ust. 1, odbywa się w pomieszczeniach niebędących pomieszczeniami Komisji, Komisja informuje koordynatora ds. usług cyfrowych państwa członkowskiego, na którego terytorium odbywa się odbieranie wyjaśnień. Na wniosek tego koordynatora ds. usług cyfrowych jego urzędnicy mogą pomagać urzędnikom i innym osobom towarzyszącym upoważnionym przez Komisję do odbierania wyjaśnień.</w:t>
            </w:r>
          </w:p>
          <w:p w14:paraId="1CB7FC8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960B1C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6D90B8C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40D2E1D"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8AEF290"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065649C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DC02160"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69</w:t>
            </w:r>
          </w:p>
        </w:tc>
        <w:tc>
          <w:tcPr>
            <w:tcW w:w="1650" w:type="pct"/>
            <w:tcBorders>
              <w:top w:val="outset" w:sz="6" w:space="0" w:color="auto"/>
              <w:left w:val="outset" w:sz="6" w:space="0" w:color="auto"/>
              <w:bottom w:val="outset" w:sz="6" w:space="0" w:color="auto"/>
              <w:right w:val="outset" w:sz="6" w:space="0" w:color="auto"/>
            </w:tcBorders>
            <w:vAlign w:val="center"/>
          </w:tcPr>
          <w:p w14:paraId="4ECD610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celu wykonywania zadań powierzonych w niniejszej sekcji Komisja może przeprowadzać wszelkie niezbędne kontrole w pomieszczeniach danego dostawcy bardzo dużej platformy internetowej lub bardzo dużej wyszukiwarki internetowej lub innej osoby, o której mowa w art. 67 ust. 1.</w:t>
            </w:r>
          </w:p>
          <w:p w14:paraId="38110F4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2" w:name="mip65353269"/>
            <w:bookmarkEnd w:id="512"/>
            <w:r w:rsidRPr="00965611">
              <w:rPr>
                <w:rFonts w:ascii="Times New Roman" w:eastAsia="Times New Roman" w:hAnsi="Times New Roman" w:cs="Times New Roman"/>
                <w:bCs/>
                <w:sz w:val="24"/>
                <w:szCs w:val="24"/>
                <w:lang w:eastAsia="pl-PL"/>
              </w:rPr>
              <w:t>2. Urzędnicy i inne osoby towarzyszące upoważnione przez Komisję do przeprowadzenia kontroli są uprawnione do:</w:t>
            </w:r>
          </w:p>
          <w:p w14:paraId="0183212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3" w:name="mip65353271"/>
            <w:bookmarkEnd w:id="513"/>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 xml:space="preserve">wstępu do wszelkich pomieszczeń, na teren i do środków transportu danego dostawcy bardzo dużej </w:t>
            </w:r>
            <w:r w:rsidR="00965611" w:rsidRPr="00965611">
              <w:rPr>
                <w:rFonts w:ascii="Times New Roman" w:eastAsia="Times New Roman" w:hAnsi="Times New Roman" w:cs="Times New Roman"/>
                <w:bCs/>
                <w:sz w:val="24"/>
                <w:szCs w:val="24"/>
                <w:lang w:eastAsia="pl-PL"/>
              </w:rPr>
              <w:lastRenderedPageBreak/>
              <w:t>platformy internetowej lub bardzo dużej wyszukiwarki internetowej lub innej odpowiedniej osoby;</w:t>
            </w:r>
          </w:p>
          <w:p w14:paraId="1E9BCEA1"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4" w:name="mip65353272"/>
            <w:bookmarkEnd w:id="514"/>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sprawdzania ksiąg i innych rejestrów związanych ze świadczeniem danej usługi, niezależnie od nośnika, na którym są one przechowywane;</w:t>
            </w:r>
          </w:p>
          <w:p w14:paraId="5A52BAD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5" w:name="mip65353273"/>
            <w:bookmarkEnd w:id="515"/>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 pobierania lub uzyskiwania, w dowolnej formie, kopii lub wyciągów z takich ksiąg lub rejestrów;</w:t>
            </w:r>
          </w:p>
          <w:p w14:paraId="32D608C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6" w:name="mip65353274"/>
            <w:bookmarkEnd w:id="516"/>
            <w:r w:rsidRPr="00965611">
              <w:rPr>
                <w:rFonts w:ascii="Times New Roman" w:eastAsia="Times New Roman" w:hAnsi="Times New Roman" w:cs="Times New Roman"/>
                <w:bCs/>
                <w:sz w:val="24"/>
                <w:szCs w:val="24"/>
                <w:lang w:eastAsia="pl-PL"/>
              </w:rPr>
              <w:t>d)</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żądania od dostawcy bardzo dużej platformy internetowej lub bardzo dużej wyszukiwarki internetowej lub od innej odpowiedniej osoby do udzielenia dostępu i wyjaśnień dotyczących jej organizacji, funkcjonowania, systemu informatycznego, algorytmów, przetwarzania danych i praktyk biznesowych oraz do rejestrowania lub dokumentowania udzielonych wyjaśnień;</w:t>
            </w:r>
          </w:p>
          <w:p w14:paraId="581CA864"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7" w:name="mip65353275"/>
            <w:bookmarkEnd w:id="517"/>
            <w:r>
              <w:rPr>
                <w:rFonts w:ascii="Times New Roman" w:eastAsia="Times New Roman" w:hAnsi="Times New Roman" w:cs="Times New Roman"/>
                <w:bCs/>
                <w:sz w:val="24"/>
                <w:szCs w:val="24"/>
                <w:lang w:eastAsia="pl-PL"/>
              </w:rPr>
              <w:t xml:space="preserve">e) </w:t>
            </w:r>
            <w:r w:rsidR="00965611" w:rsidRPr="00965611">
              <w:rPr>
                <w:rFonts w:ascii="Times New Roman" w:eastAsia="Times New Roman" w:hAnsi="Times New Roman" w:cs="Times New Roman"/>
                <w:bCs/>
                <w:sz w:val="24"/>
                <w:szCs w:val="24"/>
                <w:lang w:eastAsia="pl-PL"/>
              </w:rPr>
              <w:t>pieczętowania wszelkich pomieszczeń wykorzystywanych do celów związanych z działalnością handlową, gospodarczą, rzemieślniczą lub zawodową dostawcy bardzo dużej platformy internetowej lub bardzo dużej wyszukiwarki internetowej lub innej odpowiedniej osoby, a także ksiąg lub innych rejestrów, na czas i w zakresie niezbędnym do przeprowadzenia kontroli;</w:t>
            </w:r>
          </w:p>
          <w:p w14:paraId="5E74F13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8" w:name="mip65353276"/>
            <w:bookmarkEnd w:id="518"/>
            <w:r>
              <w:rPr>
                <w:rFonts w:ascii="Times New Roman" w:eastAsia="Times New Roman" w:hAnsi="Times New Roman" w:cs="Times New Roman"/>
                <w:bCs/>
                <w:sz w:val="24"/>
                <w:szCs w:val="24"/>
                <w:lang w:eastAsia="pl-PL"/>
              </w:rPr>
              <w:t xml:space="preserve">f) </w:t>
            </w:r>
            <w:r w:rsidR="00965611" w:rsidRPr="00965611">
              <w:rPr>
                <w:rFonts w:ascii="Times New Roman" w:eastAsia="Times New Roman" w:hAnsi="Times New Roman" w:cs="Times New Roman"/>
                <w:bCs/>
                <w:sz w:val="24"/>
                <w:szCs w:val="24"/>
                <w:lang w:eastAsia="pl-PL"/>
              </w:rPr>
              <w:t>zadawania pytań przedstawicielom lub członkom personelu dostawcy bardzo dużej platformy internetowej lub bardzo dużej wyszukiwarki internetowej lub innej odpowiedniej osoby w celu uzyskania wyjaśnień co do faktów lub dokumentów związanych z przedmiotem i celem kontroli oraz rejestrowania odpowiedzi;</w:t>
            </w:r>
          </w:p>
          <w:p w14:paraId="4756087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9" w:name="mip65353277"/>
            <w:bookmarkEnd w:id="519"/>
            <w:r w:rsidRPr="00965611">
              <w:rPr>
                <w:rFonts w:ascii="Times New Roman" w:eastAsia="Times New Roman" w:hAnsi="Times New Roman" w:cs="Times New Roman"/>
                <w:bCs/>
                <w:sz w:val="24"/>
                <w:szCs w:val="24"/>
                <w:lang w:eastAsia="pl-PL"/>
              </w:rPr>
              <w:t>g)</w:t>
            </w:r>
          </w:p>
          <w:p w14:paraId="4A8ECBD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lastRenderedPageBreak/>
              <w:t> kierowania do każdego takiego przedstawiciela lub członka personelu pytań dotyczących przedmiotu i celu kontroli oraz rejestrowania odpowiedzi.</w:t>
            </w:r>
          </w:p>
          <w:p w14:paraId="632FBDF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0" w:name="mip65353278"/>
            <w:bookmarkEnd w:id="520"/>
            <w:r w:rsidRPr="00965611">
              <w:rPr>
                <w:rFonts w:ascii="Times New Roman" w:eastAsia="Times New Roman" w:hAnsi="Times New Roman" w:cs="Times New Roman"/>
                <w:bCs/>
                <w:sz w:val="24"/>
                <w:szCs w:val="24"/>
                <w:lang w:eastAsia="pl-PL"/>
              </w:rPr>
              <w:t>3. Kontrole można również przeprowadzać przy wsparciu audytorów lub ekspertów wyznaczonych przez Komisję na podstawie art. 72 ust. 2, a także koordynatorów ds. usług cyfrowych lub innych właściwych organów krajowych państwa członkowskiego, na którego terytorium przeprowadzana jest kontrola.</w:t>
            </w:r>
          </w:p>
          <w:p w14:paraId="3996AC8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1" w:name="mip65353279"/>
            <w:bookmarkEnd w:id="521"/>
            <w:r w:rsidRPr="00965611">
              <w:rPr>
                <w:rFonts w:ascii="Times New Roman" w:eastAsia="Times New Roman" w:hAnsi="Times New Roman" w:cs="Times New Roman"/>
                <w:bCs/>
                <w:sz w:val="24"/>
                <w:szCs w:val="24"/>
                <w:lang w:eastAsia="pl-PL"/>
              </w:rPr>
              <w:t>4. W przypadku gdy okazane księgi lub inne rejestry związane ze świadczeniem danej usługi są niekompletne lub gdy odpowiedzi na pytania zadane na podstawie ust. 2 niniejszego artykułu są nieprawidłowe, niekompletne lub wprowadzające w błąd, urzędnicy i inne osoby towarzyszące upoważnione przez Komisję do przeprowadzenia kontroli wykonują swoje uprawnienia po okazaniu pisemnego upoważnienia zawierającego określenie przedmiotu i celu kontroli oraz informacje o sankcjach przewidzianych w art. 74 i 76. Z odpowiednim wyprzedzeniem przed kontrolą Komisja informuje o niej koordynatora ds. usług cyfrowych państwa członkowskiego, na którego terytorium ma zostać przeprowadzona kontrola.</w:t>
            </w:r>
          </w:p>
          <w:p w14:paraId="6465990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2" w:name="mip65353280"/>
            <w:bookmarkEnd w:id="522"/>
            <w:r w:rsidRPr="00965611">
              <w:rPr>
                <w:rFonts w:ascii="Times New Roman" w:eastAsia="Times New Roman" w:hAnsi="Times New Roman" w:cs="Times New Roman"/>
                <w:bCs/>
                <w:sz w:val="24"/>
                <w:szCs w:val="24"/>
                <w:lang w:eastAsia="pl-PL"/>
              </w:rPr>
              <w:t xml:space="preserve">5. Podczas kontroli urzędnicy i inne osoby towarzyszące upoważnione przez Komisję, audytorzy i eksperci wyznaczeni przez Komisję, a także koordynator ds. usług cyfrowych lub inne właściwe organy państwa członkowskiego, na którego terytorium przeprowadzana jest kontrola, mogą żądać od dostawcy bardzo dużej platformy internetowej lub bardzo dużej wyszukiwarki internetowej lub od innej odpowiedniej osoby </w:t>
            </w:r>
            <w:r w:rsidRPr="00965611">
              <w:rPr>
                <w:rFonts w:ascii="Times New Roman" w:eastAsia="Times New Roman" w:hAnsi="Times New Roman" w:cs="Times New Roman"/>
                <w:bCs/>
                <w:sz w:val="24"/>
                <w:szCs w:val="24"/>
                <w:lang w:eastAsia="pl-PL"/>
              </w:rPr>
              <w:lastRenderedPageBreak/>
              <w:t>przedstawienia wyjaśnień dotyczących jej organizacji, funkcjonowania, systemu informatycznego, algorytmów, przetwarzania danych i praktyk biznesowych, a także mogą kierować pytania do ich kluczowego personelu.</w:t>
            </w:r>
          </w:p>
          <w:p w14:paraId="28AD51A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3" w:name="mip65353281"/>
            <w:bookmarkEnd w:id="523"/>
            <w:r w:rsidRPr="00965611">
              <w:rPr>
                <w:rFonts w:ascii="Times New Roman" w:eastAsia="Times New Roman" w:hAnsi="Times New Roman" w:cs="Times New Roman"/>
                <w:bCs/>
                <w:sz w:val="24"/>
                <w:szCs w:val="24"/>
                <w:lang w:eastAsia="pl-PL"/>
              </w:rPr>
              <w:t>6. Dostawca bardzo dużej platformy internetowej lub bardzo dużej wyszukiwarki internetowej lub inna odpowiednia osoba fizyczna lub prawna mają obowiązek poddać się kontroli zarządzonej decyzją Komisji. Decyzja ta określa przedmiot i cel kontroli, termin jej rozpoczęcia i zawiera pouczenie o sankcjach przewidzianych w art. 74 i 76 oraz o prawie do kontroli tej decyzji przez Trybunał Sprawiedliwości Unii Europejskiej. Przed podjęciem tej decyzji Komisja konsultuje się z koordynatorem ds. usług cyfrowych państwa członkowskiego, na którego terytorium ma zostać przeprowadzona kontrola.</w:t>
            </w:r>
          </w:p>
          <w:p w14:paraId="1C233E6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4" w:name="mip65353282"/>
            <w:bookmarkEnd w:id="524"/>
            <w:r w:rsidRPr="00965611">
              <w:rPr>
                <w:rFonts w:ascii="Times New Roman" w:eastAsia="Times New Roman" w:hAnsi="Times New Roman" w:cs="Times New Roman"/>
                <w:bCs/>
                <w:sz w:val="24"/>
                <w:szCs w:val="24"/>
                <w:lang w:eastAsia="pl-PL"/>
              </w:rPr>
              <w:t>7. Urzędnicy koordynatora ds. usług cyfrowych państwa członkowskiego, na którego terytorium ma zostać przeprowadzona kontrola, oraz inne upoważnione lub wyznaczone przez niego osoby, na wniosek tego koordynatora ds. usług cyfrowych lub na wniosek Komisji, aktywnie pomagają urzędnikom i innym osobom towarzyszącym upoważnionym przez Komisję w związku z kontrolą. W tym celu przysługują im uprawnienia wymienione w ust. 2.</w:t>
            </w:r>
          </w:p>
          <w:p w14:paraId="0F1DC61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5" w:name="mip65353283"/>
            <w:bookmarkEnd w:id="525"/>
            <w:r w:rsidRPr="00965611">
              <w:rPr>
                <w:rFonts w:ascii="Times New Roman" w:eastAsia="Times New Roman" w:hAnsi="Times New Roman" w:cs="Times New Roman"/>
                <w:bCs/>
                <w:sz w:val="24"/>
                <w:szCs w:val="24"/>
                <w:lang w:eastAsia="pl-PL"/>
              </w:rPr>
              <w:t xml:space="preserve">8. W przypadku gdy urzędnicy i inne osoby towarzyszące upoważnione przez Komisję stwierdzą, że dostawca bardzo dużej platformy internetowej lub bardzo dużej wyszukiwarki internetowej lub inna odpowiednia osoba sprzeciwia się kontroli zarządzonej na podstawie niniejszego artykułu, państwo </w:t>
            </w:r>
            <w:r w:rsidRPr="00965611">
              <w:rPr>
                <w:rFonts w:ascii="Times New Roman" w:eastAsia="Times New Roman" w:hAnsi="Times New Roman" w:cs="Times New Roman"/>
                <w:bCs/>
                <w:sz w:val="24"/>
                <w:szCs w:val="24"/>
                <w:lang w:eastAsia="pl-PL"/>
              </w:rPr>
              <w:lastRenderedPageBreak/>
              <w:t>członkowskie, na którego terytorium ma zostać przeprowadzona kontrola, na wniosek tych urzędników lub innych osób towarzyszących i zgodnie z prawem krajowym państwa członkowskiego, udziela im niezbędnej pomocy, w tym, w stosownych przypadkach na mocy tego prawa krajowego, w postaci środków przymusu zastosowanych przez właściwy organ ścigania, aby umożliwić im przeprowadzenie kontroli.</w:t>
            </w:r>
          </w:p>
          <w:p w14:paraId="0446386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6" w:name="mip65353284"/>
            <w:bookmarkEnd w:id="526"/>
            <w:r w:rsidRPr="00965611">
              <w:rPr>
                <w:rFonts w:ascii="Times New Roman" w:eastAsia="Times New Roman" w:hAnsi="Times New Roman" w:cs="Times New Roman"/>
                <w:bCs/>
                <w:sz w:val="24"/>
                <w:szCs w:val="24"/>
                <w:lang w:eastAsia="pl-PL"/>
              </w:rPr>
              <w:t>9. Jeżeli pomoc przewidziana w ust. 8 wymaga zezwolenia krajowego organu sądowego zgodnie z prawem krajowym danego państwa członkowskiego, o takie zezwolenie występuje koordynator ds. usług cyfrowych tego państwa członkowskiego na wniosek urzędników i innych osób towarzyszących upoważnionych przez Komisję. O wydanie takiego zezwolenia można również wystąpić jako o środek zapobiegawczy.</w:t>
            </w:r>
          </w:p>
          <w:p w14:paraId="14EF8B0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7" w:name="mip65353285"/>
            <w:bookmarkEnd w:id="527"/>
            <w:r w:rsidRPr="00965611">
              <w:rPr>
                <w:rFonts w:ascii="Times New Roman" w:eastAsia="Times New Roman" w:hAnsi="Times New Roman" w:cs="Times New Roman"/>
                <w:bCs/>
                <w:sz w:val="24"/>
                <w:szCs w:val="24"/>
                <w:lang w:eastAsia="pl-PL"/>
              </w:rPr>
              <w:t>10. W przypadku gdy wystąpiono o zezwolenie, o którym mowa w ust. 9, krajowy organ sądowy, do którego wniesiono sprawę, sprawdza, czy decyzja Komisji nakazująca przeprowadzenie kontroli jest autentyczna oraz czy przewidziane środki przymusu nie są arbitralne ani nadmiernie uciążliwe w stosunku do przedmiotu kontroli. Dokonując takiego sprawdzenia, krajowy organ sądowy może zwrócić się do Komisji, bezpośrednio lub za pośrednictwem koordynatorów ds. </w:t>
            </w:r>
            <w:bookmarkStart w:id="528" w:name="highlightHit_44"/>
            <w:bookmarkEnd w:id="528"/>
            <w:r w:rsidRPr="00965611">
              <w:rPr>
                <w:rFonts w:ascii="Times New Roman" w:eastAsia="Times New Roman" w:hAnsi="Times New Roman" w:cs="Times New Roman"/>
                <w:bCs/>
                <w:sz w:val="24"/>
                <w:szCs w:val="24"/>
                <w:lang w:eastAsia="pl-PL"/>
              </w:rPr>
              <w:t>usług </w:t>
            </w:r>
            <w:bookmarkStart w:id="529" w:name="highlightHit_45"/>
            <w:bookmarkEnd w:id="529"/>
            <w:r w:rsidRPr="00965611">
              <w:rPr>
                <w:rFonts w:ascii="Times New Roman" w:eastAsia="Times New Roman" w:hAnsi="Times New Roman" w:cs="Times New Roman"/>
                <w:bCs/>
                <w:sz w:val="24"/>
                <w:szCs w:val="24"/>
                <w:lang w:eastAsia="pl-PL"/>
              </w:rPr>
              <w:t>cyfrowych danego państwa członkowskiego, </w:t>
            </w:r>
            <w:bookmarkStart w:id="530" w:name="highlightHit_46"/>
            <w:bookmarkEnd w:id="530"/>
            <w:r w:rsidRPr="00965611">
              <w:rPr>
                <w:rFonts w:ascii="Times New Roman" w:eastAsia="Times New Roman" w:hAnsi="Times New Roman" w:cs="Times New Roman"/>
                <w:bCs/>
                <w:sz w:val="24"/>
                <w:szCs w:val="24"/>
                <w:lang w:eastAsia="pl-PL"/>
              </w:rPr>
              <w:t>o szczegółowe wyjaśnienia dotyczące w szczególności powodów, w oparciu </w:t>
            </w:r>
            <w:bookmarkStart w:id="531" w:name="highlightHit_47"/>
            <w:bookmarkEnd w:id="531"/>
            <w:r w:rsidRPr="00965611">
              <w:rPr>
                <w:rFonts w:ascii="Times New Roman" w:eastAsia="Times New Roman" w:hAnsi="Times New Roman" w:cs="Times New Roman"/>
                <w:bCs/>
                <w:sz w:val="24"/>
                <w:szCs w:val="24"/>
                <w:lang w:eastAsia="pl-PL"/>
              </w:rPr>
              <w:t>o które Komisja podejrzewa naruszenie niniejszego </w:t>
            </w:r>
            <w:bookmarkStart w:id="532" w:name="highlightHit_48"/>
            <w:bookmarkEnd w:id="532"/>
            <w:r w:rsidRPr="00965611">
              <w:rPr>
                <w:rFonts w:ascii="Times New Roman" w:eastAsia="Times New Roman" w:hAnsi="Times New Roman" w:cs="Times New Roman"/>
                <w:bCs/>
                <w:sz w:val="24"/>
                <w:szCs w:val="24"/>
                <w:lang w:eastAsia="pl-PL"/>
              </w:rPr>
              <w:t xml:space="preserve">rozporządzenia, a także dotyczących wagi zarzucanego naruszenia oraz charakteru uczestnictwa dostawcy bardzo dużej </w:t>
            </w:r>
            <w:r w:rsidRPr="00965611">
              <w:rPr>
                <w:rFonts w:ascii="Times New Roman" w:eastAsia="Times New Roman" w:hAnsi="Times New Roman" w:cs="Times New Roman"/>
                <w:bCs/>
                <w:sz w:val="24"/>
                <w:szCs w:val="24"/>
                <w:lang w:eastAsia="pl-PL"/>
              </w:rPr>
              <w:lastRenderedPageBreak/>
              <w:t>platformy internetowej lub bardzo dużej wyszukiwarki internetowej lub innej odpowiedniej osoby. Krajowy organ sądowy nie może jednak kwestionować konieczności przeprowadzania kontroli ani żądać udzielenia informacji zawartych w </w:t>
            </w:r>
            <w:bookmarkStart w:id="533" w:name="highlightHit_49"/>
            <w:bookmarkEnd w:id="533"/>
            <w:r w:rsidRPr="00965611">
              <w:rPr>
                <w:rFonts w:ascii="Times New Roman" w:eastAsia="Times New Roman" w:hAnsi="Times New Roman" w:cs="Times New Roman"/>
                <w:bCs/>
                <w:sz w:val="24"/>
                <w:szCs w:val="24"/>
                <w:lang w:eastAsia="pl-PL"/>
              </w:rPr>
              <w:t>aktach Komisji. Zgodność z prawem decyzji Komisji podlega kontroli jedynie ze strony Trybunału Sprawiedliwości Unii Europejskiej.</w:t>
            </w:r>
          </w:p>
          <w:p w14:paraId="44B59F2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6A76E9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0496A8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B8852D8"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7DF2334"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4EF974F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75805A5"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70</w:t>
            </w:r>
          </w:p>
        </w:tc>
        <w:tc>
          <w:tcPr>
            <w:tcW w:w="1650" w:type="pct"/>
            <w:tcBorders>
              <w:top w:val="outset" w:sz="6" w:space="0" w:color="auto"/>
              <w:left w:val="outset" w:sz="6" w:space="0" w:color="auto"/>
              <w:bottom w:val="outset" w:sz="6" w:space="0" w:color="auto"/>
              <w:right w:val="outset" w:sz="6" w:space="0" w:color="auto"/>
            </w:tcBorders>
            <w:vAlign w:val="center"/>
          </w:tcPr>
          <w:p w14:paraId="46DD5BF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toku postępowań, które mogą prowadzić do przyjęcia decyzji stwierdzającej nieprzestrzeganie przepisów na podstawie art. 73 ust. 1, w przypadkach naglących ze względu na ryzyko wyrządzenia poważnej szkody odbiorcom usługi, Komisja może, w drodze decyzji, przyjąć środki tymczasowe przeciwko danemu dostawcy bardzo dużej platformy internetowej lub bardzo dużej wyszukiwarki internetowej na podstawie stwierdzenia naruszenia prima facie.</w:t>
            </w:r>
          </w:p>
          <w:p w14:paraId="351CED9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4" w:name="mip65353288"/>
            <w:bookmarkEnd w:id="534"/>
            <w:r w:rsidRPr="00965611">
              <w:rPr>
                <w:rFonts w:ascii="Times New Roman" w:eastAsia="Times New Roman" w:hAnsi="Times New Roman" w:cs="Times New Roman"/>
                <w:bCs/>
                <w:sz w:val="24"/>
                <w:szCs w:val="24"/>
                <w:lang w:eastAsia="pl-PL"/>
              </w:rPr>
              <w:t>2. Decyzja, o której mowa w ust. 1, obowiązuje przez czas oznaczony, który może zostać przedłużony, jeżeli to konieczne i stosowne.</w:t>
            </w:r>
          </w:p>
          <w:p w14:paraId="31D386C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AE77B9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3D7CC87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7224B33"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9ABCD8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3AB7B2F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308DA0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71</w:t>
            </w:r>
          </w:p>
        </w:tc>
        <w:tc>
          <w:tcPr>
            <w:tcW w:w="1650" w:type="pct"/>
            <w:tcBorders>
              <w:top w:val="outset" w:sz="6" w:space="0" w:color="auto"/>
              <w:left w:val="outset" w:sz="6" w:space="0" w:color="auto"/>
              <w:bottom w:val="outset" w:sz="6" w:space="0" w:color="auto"/>
              <w:right w:val="outset" w:sz="6" w:space="0" w:color="auto"/>
            </w:tcBorders>
            <w:vAlign w:val="center"/>
          </w:tcPr>
          <w:p w14:paraId="15A053F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Jeżeli w toku postępowania na mocy niniejszej sekcji dany dostawca bardzo dużej platformy internetowej lub bardzo dużej wyszukiwarki internetowej zaproponuje podjęcie zobowiązań mających na celu zapewnienie przestrzegania odpowiednich przepisów niniejszego rozporządzenia, Komisja może, w drodze decyzji, uczynić te zobowiązania wiążącymi dla danego dostawcy bardzo dużej platformy internetowej lub </w:t>
            </w:r>
            <w:r w:rsidRPr="00965611">
              <w:rPr>
                <w:rFonts w:ascii="Times New Roman" w:eastAsia="Times New Roman" w:hAnsi="Times New Roman" w:cs="Times New Roman"/>
                <w:bCs/>
                <w:sz w:val="24"/>
                <w:szCs w:val="24"/>
                <w:lang w:eastAsia="pl-PL"/>
              </w:rPr>
              <w:lastRenderedPageBreak/>
              <w:t>bardzo dużej wyszukiwarki internetowej oraz oświadczyć, że nie ma dalszych podstaw do prowadzenia postępowania.</w:t>
            </w:r>
          </w:p>
          <w:p w14:paraId="42C32C3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5" w:name="mip65353291"/>
            <w:bookmarkEnd w:id="535"/>
            <w:r w:rsidRPr="00965611">
              <w:rPr>
                <w:rFonts w:ascii="Times New Roman" w:eastAsia="Times New Roman" w:hAnsi="Times New Roman" w:cs="Times New Roman"/>
                <w:bCs/>
                <w:sz w:val="24"/>
                <w:szCs w:val="24"/>
                <w:lang w:eastAsia="pl-PL"/>
              </w:rPr>
              <w:t>2. Komisja może, na wniosek lub z własnej inicjatywy, wznowić postępowanie, jeżeli:</w:t>
            </w:r>
          </w:p>
          <w:p w14:paraId="5484E86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6" w:name="mip65353293"/>
            <w:bookmarkEnd w:id="536"/>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nastąpiła istotna zmiana stanu faktycznego, na podstawie którego podjęta została decyzja;</w:t>
            </w:r>
          </w:p>
          <w:p w14:paraId="09D42211"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37" w:name="mip65353294"/>
            <w:bookmarkEnd w:id="537"/>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dany dostawca bardzo dużej platformy internetowej lub bardzo dużej wyszukiwarki internetowej działa w sposób sprzeczny ze swoimi zobowiązaniami; lub</w:t>
            </w:r>
          </w:p>
          <w:p w14:paraId="2A2BA29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38" w:name="mip65353295"/>
            <w:bookmarkEnd w:id="538"/>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 decyzja została podjęta na podstawie niekompletnych, nieprawidłowych lub wprowadzających w błąd informacji dostarczonych przez danego dostawcę bardzo dużej platformy internetowej lub bardzo dużej wyszukiwarki internetowej lub inną osobę, o której mowa w art. 67 ust. 1.</w:t>
            </w:r>
          </w:p>
          <w:p w14:paraId="67087DF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9" w:name="mip65353296"/>
            <w:bookmarkEnd w:id="539"/>
            <w:r w:rsidRPr="00965611">
              <w:rPr>
                <w:rFonts w:ascii="Times New Roman" w:eastAsia="Times New Roman" w:hAnsi="Times New Roman" w:cs="Times New Roman"/>
                <w:bCs/>
                <w:sz w:val="24"/>
                <w:szCs w:val="24"/>
                <w:lang w:eastAsia="pl-PL"/>
              </w:rPr>
              <w:t>3. Jeżeli Komisja uzna, że zobowiązania zaproponowane przez danego dostawcę bardzo dużej platformy internetowej lub bardzo dużej wyszukiwarki internetowej nie są w stanie zapewnić skutecznego przestrzegania odpowiednich przepisów niniejszego rozporządzenia, odrzuca te zobowiązania w drodze decyzji z uzasadnieniem wydanej po zakończeniu postępowania.</w:t>
            </w:r>
          </w:p>
          <w:p w14:paraId="4BD4B4F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A2FFBFE"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DE30DF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A9AF279"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5550BEF"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28CE27A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4592065"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72</w:t>
            </w:r>
          </w:p>
        </w:tc>
        <w:tc>
          <w:tcPr>
            <w:tcW w:w="1650" w:type="pct"/>
            <w:tcBorders>
              <w:top w:val="outset" w:sz="6" w:space="0" w:color="auto"/>
              <w:left w:val="outset" w:sz="6" w:space="0" w:color="auto"/>
              <w:bottom w:val="outset" w:sz="6" w:space="0" w:color="auto"/>
              <w:right w:val="outset" w:sz="6" w:space="0" w:color="auto"/>
            </w:tcBorders>
            <w:vAlign w:val="center"/>
          </w:tcPr>
          <w:p w14:paraId="5A3C8FC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Do celów wykonywania zadań powierzonych w niniejszej sekcji Komisja może podjąć działania niezbędne do monitorowania skutecznego wdrożenia i przestrzegania niniejszego rozporządzenia przez dostawców bardzo dużej platformy internetowej lub </w:t>
            </w:r>
            <w:r w:rsidRPr="00965611">
              <w:rPr>
                <w:rFonts w:ascii="Times New Roman" w:eastAsia="Times New Roman" w:hAnsi="Times New Roman" w:cs="Times New Roman"/>
                <w:bCs/>
                <w:sz w:val="24"/>
                <w:szCs w:val="24"/>
                <w:lang w:eastAsia="pl-PL"/>
              </w:rPr>
              <w:lastRenderedPageBreak/>
              <w:t>bardzo dużej wyszukiwarki internetowej. Komisja może nakazać im udzielenie dostępu do ich baz danych i algorytmów oraz złożenie związanych z nimi wyjaśnień. Takie działania mogą obejmować nałożenie na dostawcę bardzo dużej platformy internetowej lub bardzo dużej wyszukiwarki internetowej obowiązku przechowywania wszystkich dokumentów uznawanych za niezbędne dla oceny wdrażania i wypełniania obowiązków wynikających z niniejszego rozporządzenia.</w:t>
            </w:r>
          </w:p>
          <w:p w14:paraId="6065351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0" w:name="mip65353299"/>
            <w:bookmarkEnd w:id="540"/>
            <w:r w:rsidRPr="00965611">
              <w:rPr>
                <w:rFonts w:ascii="Times New Roman" w:eastAsia="Times New Roman" w:hAnsi="Times New Roman" w:cs="Times New Roman"/>
                <w:bCs/>
                <w:sz w:val="24"/>
                <w:szCs w:val="24"/>
                <w:lang w:eastAsia="pl-PL"/>
              </w:rPr>
              <w:t>2. Działania, o których mowa w ust. 1, mogą obejmować powołanie niezależnych zewnętrznych ekspertów i audytorów, a także ekspertów i audytorów z właściwych organów krajowych w porozumieniu z odpowiednim organem, celem udzielenia Komisji pomocy w zakresie monitorowaniu skutecznego wdrażania i przestrzegania odpowiednich przepisów niniejszego rozporządzenia oraz zapewnienia Komisji konkretnej wiedzy, w tym wiedzy specjalistycznej.</w:t>
            </w:r>
          </w:p>
          <w:p w14:paraId="25B18A3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71147CA"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CFBCD0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2F450D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1CD374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965611" w:rsidRPr="00B03963" w14:paraId="42849C68"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7D35C54"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73</w:t>
            </w:r>
          </w:p>
        </w:tc>
        <w:tc>
          <w:tcPr>
            <w:tcW w:w="1650" w:type="pct"/>
            <w:tcBorders>
              <w:top w:val="outset" w:sz="6" w:space="0" w:color="auto"/>
              <w:left w:val="outset" w:sz="6" w:space="0" w:color="auto"/>
              <w:bottom w:val="outset" w:sz="6" w:space="0" w:color="auto"/>
              <w:right w:val="outset" w:sz="6" w:space="0" w:color="auto"/>
            </w:tcBorders>
            <w:vAlign w:val="center"/>
          </w:tcPr>
          <w:p w14:paraId="5289BA4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przyjmuje decyzję stwierdzającą nieprzestrzeganie przepisów, jeżeli uzna, że dany dostawca bardzo dużej platformy internetowej lub bardzo dużej wyszukiwarki internetowej:</w:t>
            </w:r>
          </w:p>
          <w:p w14:paraId="08BB7B94"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1" w:name="mip65353303"/>
            <w:bookmarkEnd w:id="541"/>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nie przestrzega odpowiednich przepisów niniejszego rozporządzenia;</w:t>
            </w:r>
          </w:p>
          <w:p w14:paraId="1B808B1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2" w:name="mip65353304"/>
            <w:bookmarkEnd w:id="542"/>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nie zastosowywał się do środków tymczasowych przyjętych zgodnie z art. 70; lub</w:t>
            </w:r>
          </w:p>
          <w:p w14:paraId="2D64151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3" w:name="mip65353305"/>
            <w:bookmarkEnd w:id="543"/>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 nie wykonał zobowiązań, które uczyniono wiążącymi zgodnie z art. 71.</w:t>
            </w:r>
          </w:p>
          <w:p w14:paraId="738B091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4" w:name="mip65353306"/>
            <w:bookmarkEnd w:id="544"/>
            <w:r w:rsidRPr="00965611">
              <w:rPr>
                <w:rFonts w:ascii="Times New Roman" w:eastAsia="Times New Roman" w:hAnsi="Times New Roman" w:cs="Times New Roman"/>
                <w:bCs/>
                <w:sz w:val="24"/>
                <w:szCs w:val="24"/>
                <w:lang w:eastAsia="pl-PL"/>
              </w:rPr>
              <w:lastRenderedPageBreak/>
              <w:t>2. Przed przyjęciem decyzji na podstawie ust. 1 Komisja przedstawia swoje wstępne ustalenia danemu dostawcy bardzo dużej platformy internetowej lub bardzo dużej wyszukiwarki internetowej. We wstępnych ustaleniach Komisja wyjaśnia środki, których przyjęcie rozważa lub które jej zdaniem dany dostawca bardzo dużej platformy internetowej lub bardzo dużej wyszukiwarki internetowej powinien przyjąć w celu skutecznego zastosowania się do wstępnych ustaleń.</w:t>
            </w:r>
          </w:p>
          <w:p w14:paraId="37E8DED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5" w:name="mip65353307"/>
            <w:bookmarkEnd w:id="545"/>
            <w:r w:rsidRPr="00965611">
              <w:rPr>
                <w:rFonts w:ascii="Times New Roman" w:eastAsia="Times New Roman" w:hAnsi="Times New Roman" w:cs="Times New Roman"/>
                <w:bCs/>
                <w:sz w:val="24"/>
                <w:szCs w:val="24"/>
                <w:lang w:eastAsia="pl-PL"/>
              </w:rPr>
              <w:t>3. W decyzji przyjętej na podstawie ust. 1 Komisja nakazuje danemu dostawcy bardzo dużej platformy internetowej lub bardzo dużej wyszukiwarki internetowej przyjęcie środków niezbędnych do zapewnienia wykonania decyzji, o której mowa w ust. 1, w określonym w niej rozsądnym terminie oraz udzielenie informacji na temat środków, które dostawca ten zamierza przyjąć w celu wykonania decyzji.</w:t>
            </w:r>
          </w:p>
          <w:p w14:paraId="7BB8F6E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6" w:name="mip65353308"/>
            <w:bookmarkEnd w:id="546"/>
            <w:r w:rsidRPr="00965611">
              <w:rPr>
                <w:rFonts w:ascii="Times New Roman" w:eastAsia="Times New Roman" w:hAnsi="Times New Roman" w:cs="Times New Roman"/>
                <w:bCs/>
                <w:sz w:val="24"/>
                <w:szCs w:val="24"/>
                <w:lang w:eastAsia="pl-PL"/>
              </w:rPr>
              <w:t>4. Dany dostawca bardzo dużej platformy internetowej lub bardzo dużej wyszukiwarki internetowej wdrażając środki, które przyjął w celu zapewnienia wykonania decyzji na podstawie ust. 1, przedstawia ich opis Komisji.</w:t>
            </w:r>
          </w:p>
          <w:p w14:paraId="01E5DDB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7" w:name="mip65353309"/>
            <w:bookmarkEnd w:id="547"/>
            <w:r w:rsidRPr="00965611">
              <w:rPr>
                <w:rFonts w:ascii="Times New Roman" w:eastAsia="Times New Roman" w:hAnsi="Times New Roman" w:cs="Times New Roman"/>
                <w:bCs/>
                <w:sz w:val="24"/>
                <w:szCs w:val="24"/>
                <w:lang w:eastAsia="pl-PL"/>
              </w:rPr>
              <w:t>5. Jeżeli Komisja stwierdzi, że warunki określone w ust. 1 nie zostały spełnione, kończy czynności sprawdzające w drodze decyzji. Decyzję stosuje się ze skutkiem natychmiastowym.</w:t>
            </w:r>
          </w:p>
          <w:p w14:paraId="6A781DA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D1798BF"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D4B9D8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8E6D1C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A09BC2B"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019A39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4711300"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74</w:t>
            </w:r>
          </w:p>
        </w:tc>
        <w:tc>
          <w:tcPr>
            <w:tcW w:w="1650" w:type="pct"/>
            <w:tcBorders>
              <w:top w:val="outset" w:sz="6" w:space="0" w:color="auto"/>
              <w:left w:val="outset" w:sz="6" w:space="0" w:color="auto"/>
              <w:bottom w:val="outset" w:sz="6" w:space="0" w:color="auto"/>
              <w:right w:val="outset" w:sz="6" w:space="0" w:color="auto"/>
            </w:tcBorders>
            <w:vAlign w:val="center"/>
          </w:tcPr>
          <w:p w14:paraId="30F2E34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Komisja może w drodze decyzji, o której mowa w art. 73, nałożyć na danego dostawcę bardzo dużej platformy internetowej lub bardzo dużej wyszukiwarki internetowej grzywny, których wysokość nie może </w:t>
            </w:r>
            <w:r w:rsidRPr="00965611">
              <w:rPr>
                <w:rFonts w:ascii="Times New Roman" w:eastAsia="Times New Roman" w:hAnsi="Times New Roman" w:cs="Times New Roman"/>
                <w:bCs/>
                <w:sz w:val="24"/>
                <w:szCs w:val="24"/>
                <w:lang w:eastAsia="pl-PL"/>
              </w:rPr>
              <w:lastRenderedPageBreak/>
              <w:t>przekraczać 6 % jego łącznego światowego rocznego obrotu uzyskanego w poprzednim roku obrotowym, jeżeli Komisja stwierdzi, że dostawca ten umyślnie lub w wyniku zaniedbania:</w:t>
            </w:r>
          </w:p>
          <w:p w14:paraId="71070E5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8" w:name="mip65353313"/>
            <w:bookmarkEnd w:id="548"/>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narusza odpowiednie przepisy niniejszego rozporządzenia;</w:t>
            </w:r>
          </w:p>
          <w:p w14:paraId="36BED64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9" w:name="mip65353314"/>
            <w:bookmarkEnd w:id="549"/>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nie zastosował się do decyzji zarządzającej środki tymczasowe, wydanej na podstawie art. 70; lub</w:t>
            </w:r>
          </w:p>
          <w:p w14:paraId="522E7F1D"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0" w:name="mip65353315"/>
            <w:bookmarkEnd w:id="550"/>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nie wykonał zobowiązania, które uznano za wiążące w drodze decyzji na podstawie art. 71.</w:t>
            </w:r>
          </w:p>
          <w:p w14:paraId="5CCF4CE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51" w:name="mip65353316"/>
            <w:bookmarkEnd w:id="551"/>
            <w:r w:rsidRPr="00965611">
              <w:rPr>
                <w:rFonts w:ascii="Times New Roman" w:eastAsia="Times New Roman" w:hAnsi="Times New Roman" w:cs="Times New Roman"/>
                <w:bCs/>
                <w:sz w:val="24"/>
                <w:szCs w:val="24"/>
                <w:lang w:eastAsia="pl-PL"/>
              </w:rPr>
              <w:t>2. Komisja może przyjąć decyzję o nałożeniu na danego dostawcę bardzo dużej platformy internetowej lub bardzo dużej wyszukiwarki internetowej lub na inną osobę fizyczną lub prawną, o której mowa w art. 67 ust. 1, grzywien, których wysokość nie może przekraczać 1 % łącznego rocznego dochodu lub światowego obrotu uzyskanego w poprzednim roku obrotowym, jeżeli umyślnie lub w wyniku zaniedbania:</w:t>
            </w:r>
          </w:p>
          <w:p w14:paraId="17C6442A"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2" w:name="mip65353318"/>
            <w:bookmarkEnd w:id="552"/>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dostarczyli nieprawidłowych, niekompletnych lub wprowadzających w błąd informacji w odpowiedzi na zwykły wniosek lub wniosek w drodze decyzji na podstawie art. 67;</w:t>
            </w:r>
          </w:p>
          <w:p w14:paraId="2C31B79B"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3" w:name="mip65353319"/>
            <w:bookmarkEnd w:id="553"/>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nie udzielili odpowiedzi na wniosek o udzielenie informacji w drodze decyzji w wyznaczonym terminie;</w:t>
            </w:r>
          </w:p>
          <w:p w14:paraId="0A5D7F91"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4" w:name="mip65353320"/>
            <w:bookmarkEnd w:id="554"/>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nie sprostowali w terminie wyznaczonym przez Komisję nieprawidłowych, niekompletnych lub wprowadzających w błąd informacji udzielonych przez członka personelu lub nie udzielili lub odmówili udzielenia kompletnych informacji;</w:t>
            </w:r>
          </w:p>
          <w:p w14:paraId="3FF3916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5" w:name="mip65353321"/>
            <w:bookmarkEnd w:id="555"/>
            <w:r>
              <w:rPr>
                <w:rFonts w:ascii="Times New Roman" w:eastAsia="Times New Roman" w:hAnsi="Times New Roman" w:cs="Times New Roman"/>
                <w:bCs/>
                <w:sz w:val="24"/>
                <w:szCs w:val="24"/>
                <w:lang w:eastAsia="pl-PL"/>
              </w:rPr>
              <w:t>d)</w:t>
            </w:r>
            <w:r w:rsidR="00965611" w:rsidRPr="00965611">
              <w:rPr>
                <w:rFonts w:ascii="Times New Roman" w:eastAsia="Times New Roman" w:hAnsi="Times New Roman" w:cs="Times New Roman"/>
                <w:bCs/>
                <w:sz w:val="24"/>
                <w:szCs w:val="24"/>
                <w:lang w:eastAsia="pl-PL"/>
              </w:rPr>
              <w:t>odmówili poddania się kontroli prowadzonej na podstawie art. 69;</w:t>
            </w:r>
          </w:p>
          <w:p w14:paraId="7E1CF67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6" w:name="mip65353322"/>
            <w:bookmarkEnd w:id="556"/>
            <w:r>
              <w:rPr>
                <w:rFonts w:ascii="Times New Roman" w:eastAsia="Times New Roman" w:hAnsi="Times New Roman" w:cs="Times New Roman"/>
                <w:bCs/>
                <w:sz w:val="24"/>
                <w:szCs w:val="24"/>
                <w:lang w:eastAsia="pl-PL"/>
              </w:rPr>
              <w:lastRenderedPageBreak/>
              <w:t>e)</w:t>
            </w:r>
            <w:r w:rsidR="00965611" w:rsidRPr="00965611">
              <w:rPr>
                <w:rFonts w:ascii="Times New Roman" w:eastAsia="Times New Roman" w:hAnsi="Times New Roman" w:cs="Times New Roman"/>
                <w:bCs/>
                <w:sz w:val="24"/>
                <w:szCs w:val="24"/>
                <w:lang w:eastAsia="pl-PL"/>
              </w:rPr>
              <w:t>nie zastosowali się do środków przyjętych przez Komisję na podstawie art. 72; lub</w:t>
            </w:r>
          </w:p>
          <w:p w14:paraId="38278D2B"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7" w:name="mip65353323"/>
            <w:bookmarkEnd w:id="557"/>
            <w:r>
              <w:rPr>
                <w:rFonts w:ascii="Times New Roman" w:eastAsia="Times New Roman" w:hAnsi="Times New Roman" w:cs="Times New Roman"/>
                <w:bCs/>
                <w:sz w:val="24"/>
                <w:szCs w:val="24"/>
                <w:lang w:eastAsia="pl-PL"/>
              </w:rPr>
              <w:t xml:space="preserve">f) </w:t>
            </w:r>
            <w:r w:rsidR="00965611" w:rsidRPr="00965611">
              <w:rPr>
                <w:rFonts w:ascii="Times New Roman" w:eastAsia="Times New Roman" w:hAnsi="Times New Roman" w:cs="Times New Roman"/>
                <w:bCs/>
                <w:sz w:val="24"/>
                <w:szCs w:val="24"/>
                <w:lang w:eastAsia="pl-PL"/>
              </w:rPr>
              <w:t>nie przestrzegali warunków dostępu do akt Komisji na podstawie art. 79 ust. 4.</w:t>
            </w:r>
          </w:p>
          <w:p w14:paraId="605F79F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58" w:name="mip65353324"/>
            <w:bookmarkEnd w:id="558"/>
            <w:r w:rsidRPr="00965611">
              <w:rPr>
                <w:rFonts w:ascii="Times New Roman" w:eastAsia="Times New Roman" w:hAnsi="Times New Roman" w:cs="Times New Roman"/>
                <w:bCs/>
                <w:sz w:val="24"/>
                <w:szCs w:val="24"/>
                <w:lang w:eastAsia="pl-PL"/>
              </w:rPr>
              <w:t>3. Przed przyjęciem decyzji na podstawie ust. 2 niniejszego artykułu Komisja przedstawia swoje wstępne ustalenia danemu dostawcy bardzo dużej platformy internetowej lub bardzo dużej wyszukiwarki internetowej lub innej osobie, o której mowa w art. 67 ust. 1.</w:t>
            </w:r>
          </w:p>
          <w:p w14:paraId="49D706A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59" w:name="mip65353325"/>
            <w:bookmarkEnd w:id="559"/>
            <w:r w:rsidRPr="00965611">
              <w:rPr>
                <w:rFonts w:ascii="Times New Roman" w:eastAsia="Times New Roman" w:hAnsi="Times New Roman" w:cs="Times New Roman"/>
                <w:bCs/>
                <w:sz w:val="24"/>
                <w:szCs w:val="24"/>
                <w:lang w:eastAsia="pl-PL"/>
              </w:rPr>
              <w:t>4. Ustalając kwotę grzywny, Komisja uwzględnia charakter, ciężar, czas trwania i powtarzalność naruszenia oraz, w przypadku grzywien nakładanych na podstawie ust. 2, opóźnienie spowodowane w postępowaniu.</w:t>
            </w:r>
          </w:p>
          <w:p w14:paraId="5926C2D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F0D258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665255F"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157A759"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ABBC24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965611" w:rsidRPr="00B03963" w14:paraId="35FD86F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2A5CAB9"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75</w:t>
            </w:r>
          </w:p>
        </w:tc>
        <w:tc>
          <w:tcPr>
            <w:tcW w:w="1650" w:type="pct"/>
            <w:tcBorders>
              <w:top w:val="outset" w:sz="6" w:space="0" w:color="auto"/>
              <w:left w:val="outset" w:sz="6" w:space="0" w:color="auto"/>
              <w:bottom w:val="outset" w:sz="6" w:space="0" w:color="auto"/>
              <w:right w:val="outset" w:sz="6" w:space="0" w:color="auto"/>
            </w:tcBorders>
            <w:vAlign w:val="center"/>
          </w:tcPr>
          <w:p w14:paraId="2D5EE02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Przyjmując decyzję na podstawie art. 73 w odniesieniu do popełnionego przez dostawcę bardzo dużej platformy internetowej lub bardzo dużej wyszukiwarki internetowej naruszenia któregokolwiek z przepisów rozdziału III sekcja 5, Komisja stosuje system wzmożonego nadzoru ustanowiony w niniejszym artykule. Komisja uwzględnia przy tym w jak największym stopniu wszelkie opinie Rady Usług Cyfrowych na podstawie niniejszego artykułu.</w:t>
            </w:r>
          </w:p>
          <w:p w14:paraId="2BC9A31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0" w:name="mip65353328"/>
            <w:bookmarkEnd w:id="560"/>
            <w:r w:rsidRPr="00965611">
              <w:rPr>
                <w:rFonts w:ascii="Times New Roman" w:eastAsia="Times New Roman" w:hAnsi="Times New Roman" w:cs="Times New Roman"/>
                <w:bCs/>
                <w:sz w:val="24"/>
                <w:szCs w:val="24"/>
                <w:lang w:eastAsia="pl-PL"/>
              </w:rPr>
              <w:t xml:space="preserve">2. W decyzji, o której mowa w art. 73, Komisja zobowiązuje dostawcę danej bardzo dużej platformy internetowej lub bardzo dużej wyszukiwarki internetowej do sporządzenia i przekazania, w rozsądnym terminie określonym w decyzji, koordynatorom ds. usług cyfrowych, Komisji i Radzie </w:t>
            </w:r>
            <w:r w:rsidRPr="00965611">
              <w:rPr>
                <w:rFonts w:ascii="Times New Roman" w:eastAsia="Times New Roman" w:hAnsi="Times New Roman" w:cs="Times New Roman"/>
                <w:bCs/>
                <w:sz w:val="24"/>
                <w:szCs w:val="24"/>
                <w:lang w:eastAsia="pl-PL"/>
              </w:rPr>
              <w:lastRenderedPageBreak/>
              <w:t>Usług Cyfrowych planu działania określającego niezbędne środki, które są wystarczające do zaprzestania lub usunięcia naruszenia. Środki te obejmują zobowiązanie do przeprowadzenia niezależnego audytu zgodnie z art. 37 ust. 3 i 4 dotyczącego wdrożenia pozostałych środków, wraz z określeniem tożsamości audytorów, jak również metodyki, harmonogramu i działań następczych w związku z audytem. Środki te mogą również obejmować, w stosownych przypadkach, zobowiązanie do przystąpienia do odpowiedniego kodeksu postępowania przewidzianego w art. 45.</w:t>
            </w:r>
          </w:p>
          <w:p w14:paraId="71837EC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1" w:name="mip65353329"/>
            <w:bookmarkEnd w:id="561"/>
            <w:r w:rsidRPr="00965611">
              <w:rPr>
                <w:rFonts w:ascii="Times New Roman" w:eastAsia="Times New Roman" w:hAnsi="Times New Roman" w:cs="Times New Roman"/>
                <w:bCs/>
                <w:sz w:val="24"/>
                <w:szCs w:val="24"/>
                <w:lang w:eastAsia="pl-PL"/>
              </w:rPr>
              <w:t xml:space="preserve">3. W terminie jednego miesiąca od otrzymania planu działania Rada Usług Cyfrowych przekazuje Komisji swoją opinię w jego sprawie. W terminie jednego miesiąca od otrzymania tej opinii Komisja podejmuje decyzję, czy środki określone w planie działania są wystarczające do zaprzestania lub usunięcia naruszenia, i wyznacza rozsądny termin na ich wdrożenie. W tej decyzji uwzględnia się możliwe zobowiązanie do przestrzegania odpowiednich kodeksów postępowania. Komisja następnie monitoruje wdrażanie planu działania. W tym celu dostawca danej bardzo dużej platformy internetowej lub bardzo dużej wyszukiwarki internetowej przekazuje Komisji sprawozdanie z audytu bez zbędnej zwłoki po jego udostępnieniu i na bieżąco informuje Komisję o środkach podjętych w celu wdrożenia planu działania. Jeżeli jest to konieczne do takiego monitorowania, Komisja może zażądać od dostawcy danej bardzo dużej platformy internetowej lub bardzo dużej wyszukiwarki </w:t>
            </w:r>
            <w:r w:rsidRPr="00965611">
              <w:rPr>
                <w:rFonts w:ascii="Times New Roman" w:eastAsia="Times New Roman" w:hAnsi="Times New Roman" w:cs="Times New Roman"/>
                <w:bCs/>
                <w:sz w:val="24"/>
                <w:szCs w:val="24"/>
                <w:lang w:eastAsia="pl-PL"/>
              </w:rPr>
              <w:lastRenderedPageBreak/>
              <w:t>internetowej przekazania dodatkowych informacji w rozsądnym terminie wyznaczonym przez Komisję.</w:t>
            </w:r>
          </w:p>
          <w:p w14:paraId="5CA4748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Komisja informuje na bieżąco Radę Usług Cyfrowych i koordynatorów ds. usług cyfrowych o wdrażaniu planu działania i jego monitorowaniu.</w:t>
            </w:r>
          </w:p>
          <w:p w14:paraId="2C1875F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2" w:name="mip65353330"/>
            <w:bookmarkEnd w:id="562"/>
            <w:r w:rsidRPr="00965611">
              <w:rPr>
                <w:rFonts w:ascii="Times New Roman" w:eastAsia="Times New Roman" w:hAnsi="Times New Roman" w:cs="Times New Roman"/>
                <w:bCs/>
                <w:sz w:val="24"/>
                <w:szCs w:val="24"/>
                <w:lang w:eastAsia="pl-PL"/>
              </w:rPr>
              <w:t>4. Komisja może podjąć niezbędne środki zgodnie z niniejszym rozporządzeniem, w szczególności z art. 76 ust. 1 lit. e) i art. 82 ust. 1, w przypadku gdy:</w:t>
            </w:r>
          </w:p>
          <w:p w14:paraId="4172E477"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3" w:name="mip65353332"/>
            <w:bookmarkEnd w:id="563"/>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dostawca danej bardzo dużej platformy internetowej lub bardzo dużej wyszukiwarki internetowej nie przekazał żadnego planu działania, sprawozdania z audytu, niezbędnych aktualizacji ani dodatkowych żądanych informacji w odpowiednim terminie;</w:t>
            </w:r>
          </w:p>
          <w:p w14:paraId="6FB3919A"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4" w:name="mip65353333"/>
            <w:bookmarkEnd w:id="564"/>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Komisja odrzuci proponowany plan działania, ponieważ uzna, że określone w nim środki są niewystarczające do zaprzestania lub usunięcia naruszenia; lub</w:t>
            </w:r>
          </w:p>
          <w:p w14:paraId="56E5C21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5" w:name="mip65353334"/>
            <w:bookmarkEnd w:id="565"/>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na podstawie sprawozdania z audytu, wszelkich przekazanych aktualizacji lub dodatkowych informacji lub wszelkich innych istotnych informacji, którymi dysponuje, Komisja uzna, że wdrożenie planu działania jest niewystarczające do zaprzestania lub usunięcia naruszenia.</w:t>
            </w:r>
          </w:p>
          <w:p w14:paraId="4754FEC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2BFA24A"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CC1C3F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088388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4ED12F8"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2C0FEA8"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A2F8786"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76</w:t>
            </w:r>
          </w:p>
        </w:tc>
        <w:tc>
          <w:tcPr>
            <w:tcW w:w="1650" w:type="pct"/>
            <w:tcBorders>
              <w:top w:val="outset" w:sz="6" w:space="0" w:color="auto"/>
              <w:left w:val="outset" w:sz="6" w:space="0" w:color="auto"/>
              <w:bottom w:val="outset" w:sz="6" w:space="0" w:color="auto"/>
              <w:right w:val="outset" w:sz="6" w:space="0" w:color="auto"/>
            </w:tcBorders>
            <w:vAlign w:val="center"/>
          </w:tcPr>
          <w:p w14:paraId="6C6EF8B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Komisja może przyjąć decyzję o nałożeniu odpowiednio na danego dostawcę bardzo dużej platformy internetowej lub bardzo dużej wyszukiwarki internetowej lub inną osobę, o której mowa w art. 67 ust. 1, okresowych kar pieniężnych, których dzienna wysokość nie może przekraczać 5 % średniego dziennego dochodu lub światowego rocznego obrotu </w:t>
            </w:r>
            <w:r w:rsidRPr="00965611">
              <w:rPr>
                <w:rFonts w:ascii="Times New Roman" w:eastAsia="Times New Roman" w:hAnsi="Times New Roman" w:cs="Times New Roman"/>
                <w:bCs/>
                <w:sz w:val="24"/>
                <w:szCs w:val="24"/>
                <w:lang w:eastAsia="pl-PL"/>
              </w:rPr>
              <w:lastRenderedPageBreak/>
              <w:t>uzyskanego w poprzednim roku obrotowym i które są naliczane od daty ustalonej w decyzji, w celu zmuszenia takich podmiotów do:</w:t>
            </w:r>
          </w:p>
          <w:p w14:paraId="7847966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6" w:name="mip65353338"/>
            <w:bookmarkEnd w:id="566"/>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dostarczenia prawidłowych i kompletnych informacji w odpowiedzi na decyzję, w której zażądano udzielenia informacji zgodnie z art. 67;</w:t>
            </w:r>
          </w:p>
          <w:p w14:paraId="6D621A9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7" w:name="mip65353339"/>
            <w:bookmarkEnd w:id="567"/>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poddania się kontroli zarządzonej decyzją Komisji przyjętą na podstawie art. 69;</w:t>
            </w:r>
          </w:p>
          <w:p w14:paraId="67A270E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8" w:name="mip65353340"/>
            <w:bookmarkEnd w:id="568"/>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zastosowania się do decyzji zarządzającej środki tymczasowe, wydanej na podstawie art. 70 ust. 1;</w:t>
            </w:r>
          </w:p>
          <w:p w14:paraId="5DD2900E"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9" w:name="mip65353341"/>
            <w:bookmarkEnd w:id="569"/>
            <w:r>
              <w:rPr>
                <w:rFonts w:ascii="Times New Roman" w:eastAsia="Times New Roman" w:hAnsi="Times New Roman" w:cs="Times New Roman"/>
                <w:bCs/>
                <w:sz w:val="24"/>
                <w:szCs w:val="24"/>
                <w:lang w:eastAsia="pl-PL"/>
              </w:rPr>
              <w:t>d)</w:t>
            </w:r>
            <w:r w:rsidR="00965611" w:rsidRPr="00965611">
              <w:rPr>
                <w:rFonts w:ascii="Times New Roman" w:eastAsia="Times New Roman" w:hAnsi="Times New Roman" w:cs="Times New Roman"/>
                <w:bCs/>
                <w:sz w:val="24"/>
                <w:szCs w:val="24"/>
                <w:lang w:eastAsia="pl-PL"/>
              </w:rPr>
              <w:t> wykonania zobowiązań, które uczyniono prawnie wiążącymi w drodze decyzji wydanej na podstawie art. 71 ust. 1;</w:t>
            </w:r>
          </w:p>
          <w:p w14:paraId="71ED5B2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0" w:name="mip65353342"/>
            <w:bookmarkEnd w:id="570"/>
            <w:r>
              <w:rPr>
                <w:rFonts w:ascii="Times New Roman" w:eastAsia="Times New Roman" w:hAnsi="Times New Roman" w:cs="Times New Roman"/>
                <w:bCs/>
                <w:sz w:val="24"/>
                <w:szCs w:val="24"/>
                <w:lang w:eastAsia="pl-PL"/>
              </w:rPr>
              <w:t xml:space="preserve">e) </w:t>
            </w:r>
            <w:r w:rsidR="00965611" w:rsidRPr="00965611">
              <w:rPr>
                <w:rFonts w:ascii="Times New Roman" w:eastAsia="Times New Roman" w:hAnsi="Times New Roman" w:cs="Times New Roman"/>
                <w:bCs/>
                <w:sz w:val="24"/>
                <w:szCs w:val="24"/>
                <w:lang w:eastAsia="pl-PL"/>
              </w:rPr>
              <w:t>zastosowania się do decyzji wydanej na podstawie art. 73 ust. 1, w tym, w stosownych przypadkach, do zawartych w niej wymogów dotyczących planu działania, o którym mowa w art. 75.</w:t>
            </w:r>
          </w:p>
          <w:p w14:paraId="39CDC5F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1" w:name="mip65353343"/>
            <w:bookmarkEnd w:id="571"/>
            <w:r w:rsidRPr="00965611">
              <w:rPr>
                <w:rFonts w:ascii="Times New Roman" w:eastAsia="Times New Roman" w:hAnsi="Times New Roman" w:cs="Times New Roman"/>
                <w:bCs/>
                <w:sz w:val="24"/>
                <w:szCs w:val="24"/>
                <w:lang w:eastAsia="pl-PL"/>
              </w:rPr>
              <w:t>2. W przypadku gdy dany dostawca bardzo dużej platformy internetowej lub bardzo dużej wyszukiwarki internetowej lub inna osoba, o której mowa w art. 67 ust. 1, wypełnił obowiązek, w odniesieniu do którego nałożono okresową karę pieniężną w celu wyegzekwowania jego spełnienia, Komisja może ustalić ostateczną wysokość okresowej kary pieniężnej na poziomie niższym niż poziom określony w pierwotnej decyzji</w:t>
            </w:r>
          </w:p>
          <w:p w14:paraId="2631ACB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ABBC398"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4B734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991B167"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54F6ACD"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1153DB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0F6581C"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77</w:t>
            </w:r>
          </w:p>
        </w:tc>
        <w:tc>
          <w:tcPr>
            <w:tcW w:w="1650" w:type="pct"/>
            <w:tcBorders>
              <w:top w:val="outset" w:sz="6" w:space="0" w:color="auto"/>
              <w:left w:val="outset" w:sz="6" w:space="0" w:color="auto"/>
              <w:bottom w:val="outset" w:sz="6" w:space="0" w:color="auto"/>
              <w:right w:val="outset" w:sz="6" w:space="0" w:color="auto"/>
            </w:tcBorders>
            <w:vAlign w:val="center"/>
          </w:tcPr>
          <w:p w14:paraId="159F054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Uprawnienia przyznane Komisji na podstawie art. 74 i 76 przedawniają się po upływie pięciu lat.</w:t>
            </w:r>
          </w:p>
          <w:p w14:paraId="109A969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2" w:name="mip65353346"/>
            <w:bookmarkEnd w:id="572"/>
            <w:r w:rsidRPr="00965611">
              <w:rPr>
                <w:rFonts w:ascii="Times New Roman" w:eastAsia="Times New Roman" w:hAnsi="Times New Roman" w:cs="Times New Roman"/>
                <w:bCs/>
                <w:sz w:val="24"/>
                <w:szCs w:val="24"/>
                <w:lang w:eastAsia="pl-PL"/>
              </w:rPr>
              <w:t xml:space="preserve">2. Bieg terminu przedawnienia rozpoczyna się od dnia, w którym popełniono naruszenie. Jednak w przypadku </w:t>
            </w:r>
            <w:r w:rsidRPr="00965611">
              <w:rPr>
                <w:rFonts w:ascii="Times New Roman" w:eastAsia="Times New Roman" w:hAnsi="Times New Roman" w:cs="Times New Roman"/>
                <w:bCs/>
                <w:sz w:val="24"/>
                <w:szCs w:val="24"/>
                <w:lang w:eastAsia="pl-PL"/>
              </w:rPr>
              <w:lastRenderedPageBreak/>
              <w:t>ciągłych lub powtarzających się naruszeń bieg terminu przedawnienia rozpoczyna się od dnia zaprzestania naruszenia.</w:t>
            </w:r>
          </w:p>
          <w:p w14:paraId="158EF26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3" w:name="mip65353347"/>
            <w:bookmarkEnd w:id="573"/>
            <w:r w:rsidRPr="00965611">
              <w:rPr>
                <w:rFonts w:ascii="Times New Roman" w:eastAsia="Times New Roman" w:hAnsi="Times New Roman" w:cs="Times New Roman"/>
                <w:bCs/>
                <w:sz w:val="24"/>
                <w:szCs w:val="24"/>
                <w:lang w:eastAsia="pl-PL"/>
              </w:rPr>
              <w:t>3. Wszelkie działania podjęte przez Komisję lub koordynatora ds. usług cyfrowych w celu przeprowadzenia czynności sprawdzających lub postępowania w odniesieniu do naruszenia przerywają bieg terminu przedawnienia dotyczącego nakładania grzywien lub okresowych kar pieniężnych. Bieg terminu przedawnienia przerywają w szczególności:</w:t>
            </w:r>
          </w:p>
          <w:p w14:paraId="27F4FB1C"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4" w:name="mip65353349"/>
            <w:bookmarkEnd w:id="574"/>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żądanie udzielenia informacji wystosowane przez Komisję lub koordynatora ds. usług cyfrowych;</w:t>
            </w:r>
          </w:p>
          <w:p w14:paraId="7C52176B"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5" w:name="mip65353350"/>
            <w:bookmarkEnd w:id="575"/>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kontrola;</w:t>
            </w:r>
          </w:p>
          <w:p w14:paraId="7459513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6" w:name="mip65353351"/>
            <w:bookmarkEnd w:id="576"/>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wszczęcie postępowania przez Komisję na podstawie art. 66 ust. 1.</w:t>
            </w:r>
          </w:p>
          <w:p w14:paraId="218C9F3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7" w:name="mip65353352"/>
            <w:bookmarkEnd w:id="577"/>
            <w:r w:rsidRPr="00965611">
              <w:rPr>
                <w:rFonts w:ascii="Times New Roman" w:eastAsia="Times New Roman" w:hAnsi="Times New Roman" w:cs="Times New Roman"/>
                <w:bCs/>
                <w:sz w:val="24"/>
                <w:szCs w:val="24"/>
                <w:lang w:eastAsia="pl-PL"/>
              </w:rPr>
              <w:t>4. Każde przerwanie terminu przedawnienia powoduje, że termin ten zaczyna biec od początku. Termin przedawnienia dotyczący nakładania grzywien lub okresowych kar pieniężnych upływa jednak najpóźniej w dniu, w którym upłynął okres dwukrotnie przekraczający długość terminu przedawnienia bez nałożenia przez Komisję grzywny lub okresowej kary pieniężnej. Termin ten przedłuża się o okres, na który bieg terminu przedawnienia został zawieszony na podstawie ust. 5.</w:t>
            </w:r>
          </w:p>
          <w:p w14:paraId="2AC5CA4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8" w:name="mip65353353"/>
            <w:bookmarkEnd w:id="578"/>
            <w:r w:rsidRPr="00965611">
              <w:rPr>
                <w:rFonts w:ascii="Times New Roman" w:eastAsia="Times New Roman" w:hAnsi="Times New Roman" w:cs="Times New Roman"/>
                <w:bCs/>
                <w:sz w:val="24"/>
                <w:szCs w:val="24"/>
                <w:lang w:eastAsia="pl-PL"/>
              </w:rPr>
              <w:t>5. Bieg terminu przedawnienia dotyczącego nakładania grzywien lub okresowych kar pieniężnych ulega zawieszeniu na okres, przez który decyzja Komisji jest przedmiotem postępowania toczącego się przed Trybunałem Sprawiedliwości Unii Europejskiej.</w:t>
            </w:r>
          </w:p>
          <w:p w14:paraId="00EE5EA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3B1605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6C8D9B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2563CEA"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6BD69D"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965611" w:rsidRPr="00B03963" w14:paraId="6C7ECEA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6EE93D7"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78</w:t>
            </w:r>
          </w:p>
        </w:tc>
        <w:tc>
          <w:tcPr>
            <w:tcW w:w="1650" w:type="pct"/>
            <w:tcBorders>
              <w:top w:val="outset" w:sz="6" w:space="0" w:color="auto"/>
              <w:left w:val="outset" w:sz="6" w:space="0" w:color="auto"/>
              <w:bottom w:val="outset" w:sz="6" w:space="0" w:color="auto"/>
              <w:right w:val="outset" w:sz="6" w:space="0" w:color="auto"/>
            </w:tcBorders>
            <w:vAlign w:val="center"/>
          </w:tcPr>
          <w:p w14:paraId="79AA759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Uprawnienia Komisji do wykonania decyzji przyjętych na podstawie art. 74 i 76 przedawniają się po upływie pięciu lat.</w:t>
            </w:r>
          </w:p>
          <w:p w14:paraId="1B6D536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9" w:name="mip65353356"/>
            <w:bookmarkEnd w:id="579"/>
            <w:r w:rsidRPr="00965611">
              <w:rPr>
                <w:rFonts w:ascii="Times New Roman" w:eastAsia="Times New Roman" w:hAnsi="Times New Roman" w:cs="Times New Roman"/>
                <w:bCs/>
                <w:sz w:val="24"/>
                <w:szCs w:val="24"/>
                <w:lang w:eastAsia="pl-PL"/>
              </w:rPr>
              <w:t>2. Bieg terminu przedawnienia rozpoczyna się w dniu, w którym decyzja stała się ostateczna.</w:t>
            </w:r>
          </w:p>
          <w:p w14:paraId="4C258FE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0" w:name="mip65353357"/>
            <w:bookmarkEnd w:id="580"/>
            <w:r w:rsidRPr="00965611">
              <w:rPr>
                <w:rFonts w:ascii="Times New Roman" w:eastAsia="Times New Roman" w:hAnsi="Times New Roman" w:cs="Times New Roman"/>
                <w:bCs/>
                <w:sz w:val="24"/>
                <w:szCs w:val="24"/>
                <w:lang w:eastAsia="pl-PL"/>
              </w:rPr>
              <w:t>3. Bieg terminu przedawnienia dotyczącego wykonania sankcji przerywa:</w:t>
            </w:r>
          </w:p>
          <w:p w14:paraId="580D6F1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1" w:name="mip65353359"/>
            <w:bookmarkEnd w:id="581"/>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powiadomienie o decyzji o zmianie pierwotnej kwoty grzywny lub okresowej kary pieniężnej lub o odrzuceniu wniosku o taką zmianę;</w:t>
            </w:r>
          </w:p>
          <w:p w14:paraId="166AF88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2" w:name="mip65353360"/>
            <w:bookmarkEnd w:id="582"/>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każde działanie Komisji lub państwa członkowskiego działającego na wniosek Komisji mające na celu wyegzekwowanie zapłaty grzywny lub okresowej kary pieniężnej.</w:t>
            </w:r>
          </w:p>
          <w:p w14:paraId="20CE327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3" w:name="mip65353361"/>
            <w:bookmarkEnd w:id="583"/>
            <w:r w:rsidRPr="00965611">
              <w:rPr>
                <w:rFonts w:ascii="Times New Roman" w:eastAsia="Times New Roman" w:hAnsi="Times New Roman" w:cs="Times New Roman"/>
                <w:bCs/>
                <w:sz w:val="24"/>
                <w:szCs w:val="24"/>
                <w:lang w:eastAsia="pl-PL"/>
              </w:rPr>
              <w:t>4. Każde przerwanie terminu przedawnienia powoduje, że termin ten zaczyna biec od początku.</w:t>
            </w:r>
          </w:p>
          <w:p w14:paraId="2172884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4" w:name="mip65353362"/>
            <w:bookmarkEnd w:id="584"/>
            <w:r w:rsidRPr="00965611">
              <w:rPr>
                <w:rFonts w:ascii="Times New Roman" w:eastAsia="Times New Roman" w:hAnsi="Times New Roman" w:cs="Times New Roman"/>
                <w:bCs/>
                <w:sz w:val="24"/>
                <w:szCs w:val="24"/>
                <w:lang w:eastAsia="pl-PL"/>
              </w:rPr>
              <w:t>5. Bieg terminu przedawnienia dotyczącego wykonania sankcji ulega zawieszeniu:</w:t>
            </w:r>
          </w:p>
          <w:p w14:paraId="41E3A4A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5" w:name="mip65353364"/>
            <w:bookmarkEnd w:id="585"/>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do upływu terminu przyznanego na zapłatę;</w:t>
            </w:r>
          </w:p>
          <w:p w14:paraId="552F5FD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6" w:name="mip65353365"/>
            <w:bookmarkEnd w:id="586"/>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na czas zawieszenia egzekucji płatności na podstawie postanowienia Trybunału Sprawiedliwości Unii Europejskiej lub postanowienia sądu krajowego.</w:t>
            </w:r>
          </w:p>
          <w:p w14:paraId="157DCE5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662DC9E"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69B66586"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561B48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0565EC6"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4E190C4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7CBF9F9"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79</w:t>
            </w:r>
          </w:p>
        </w:tc>
        <w:tc>
          <w:tcPr>
            <w:tcW w:w="1650" w:type="pct"/>
            <w:tcBorders>
              <w:top w:val="outset" w:sz="6" w:space="0" w:color="auto"/>
              <w:left w:val="outset" w:sz="6" w:space="0" w:color="auto"/>
              <w:bottom w:val="outset" w:sz="6" w:space="0" w:color="auto"/>
              <w:right w:val="outset" w:sz="6" w:space="0" w:color="auto"/>
            </w:tcBorders>
            <w:vAlign w:val="center"/>
          </w:tcPr>
          <w:p w14:paraId="47419C9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Przed przyjęciem decyzji na podstawie art. 73 ust. 1 lub art. 74 lub 76 Komisja zapewnia danemu dostawcy bardzo dużej platformy internetowej lub bardzo dużej wyszukiwarki internetowej lub innej osobie, o której mowa w art. 67 ust. 1, możliwość bycia wysłuchanym w kwestii:</w:t>
            </w:r>
          </w:p>
          <w:p w14:paraId="3B217CF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7" w:name="mip65353369"/>
            <w:bookmarkEnd w:id="587"/>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wstępnych ustaleń Komisji, w tym w każdej kwestii, w której Komisja zgłosiła zastrzeżenia; oraz</w:t>
            </w:r>
          </w:p>
          <w:p w14:paraId="0EC2D77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8" w:name="mip65353370"/>
            <w:bookmarkEnd w:id="588"/>
            <w:r w:rsidRPr="00965611">
              <w:rPr>
                <w:rFonts w:ascii="Times New Roman" w:eastAsia="Times New Roman" w:hAnsi="Times New Roman" w:cs="Times New Roman"/>
                <w:bCs/>
                <w:sz w:val="24"/>
                <w:szCs w:val="24"/>
                <w:lang w:eastAsia="pl-PL"/>
              </w:rPr>
              <w:lastRenderedPageBreak/>
              <w:t>b)</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środków, które Komisja może mieć zamiar przyjąć w świetle wstępnych ustaleń, o których mowa w lit. a).</w:t>
            </w:r>
          </w:p>
          <w:p w14:paraId="63D170C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9" w:name="mip65353371"/>
            <w:bookmarkEnd w:id="589"/>
            <w:r w:rsidRPr="00965611">
              <w:rPr>
                <w:rFonts w:ascii="Times New Roman" w:eastAsia="Times New Roman" w:hAnsi="Times New Roman" w:cs="Times New Roman"/>
                <w:bCs/>
                <w:sz w:val="24"/>
                <w:szCs w:val="24"/>
                <w:lang w:eastAsia="pl-PL"/>
              </w:rPr>
              <w:t>2. Dany dostawca bardzo dużej platformy internetowej lub bardzo dużej wyszukiwarki internetowej lub inna osoba, o której mowa w art. 67 ust. 1, mogą przedstawić swoje uwagi dotyczące wstępnych ustaleń Komisji w rozsądnym terminie wyznaczonym przez Komisję we wstępnych ustaleniach, przy czym termin ten nie może być krótszy niż 14 dni.</w:t>
            </w:r>
          </w:p>
          <w:p w14:paraId="74E0A67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0" w:name="mip65353372"/>
            <w:bookmarkEnd w:id="590"/>
            <w:r w:rsidRPr="00965611">
              <w:rPr>
                <w:rFonts w:ascii="Times New Roman" w:eastAsia="Times New Roman" w:hAnsi="Times New Roman" w:cs="Times New Roman"/>
                <w:bCs/>
                <w:sz w:val="24"/>
                <w:szCs w:val="24"/>
                <w:lang w:eastAsia="pl-PL"/>
              </w:rPr>
              <w:t>3. Podstawą decyzji przyjmowanych przez Komisję mogą być wyłącznie zastrzeżenia, co do których zainteresowane strony mogły przedstawić swojej uwagi.</w:t>
            </w:r>
          </w:p>
          <w:p w14:paraId="695ED5B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1" w:name="mip65353373"/>
            <w:bookmarkEnd w:id="591"/>
            <w:r w:rsidRPr="00965611">
              <w:rPr>
                <w:rFonts w:ascii="Times New Roman" w:eastAsia="Times New Roman" w:hAnsi="Times New Roman" w:cs="Times New Roman"/>
                <w:bCs/>
                <w:sz w:val="24"/>
                <w:szCs w:val="24"/>
                <w:lang w:eastAsia="pl-PL"/>
              </w:rPr>
              <w:t xml:space="preserve">4. W toku postępowania w pełni respektuje się prawo zainteresowanych stron do obrony. Strony te mają prawo dostępu do akt Komisji na warunkach wynegocjowanego ujawnienia, z zastrzeżeniem prawnie uzasadnionego interesu danego dostawcy bardzo dużej platformy internetowej lub bardzo dużej wyszukiwarki internetowej lub innej odpowiedniej osoby w zakresie ochrony ich tajemnic handlowych. Komisja jest uprawniona do przyjmowania decyzji określających takie warunki ujawniania w przypadku braku porozumienia między stronami. Prawo dostępu do akt Komisji nie obejmuje informacji poufnych i dokumentów wewnętrznych Komisji, Rady Usług Cyfrowych, koordynatorów ds. usług cyfrowych, innych właściwych organów ani innych organów publicznych państw członkowskich. W szczególności prawo dostępu nie obejmuje korespondencji między Komisją a tymi organami. Żaden przepis niniejszego ustępu nie uniemożliwia Komisji ujawnienia </w:t>
            </w:r>
            <w:r w:rsidRPr="00965611">
              <w:rPr>
                <w:rFonts w:ascii="Times New Roman" w:eastAsia="Times New Roman" w:hAnsi="Times New Roman" w:cs="Times New Roman"/>
                <w:bCs/>
                <w:sz w:val="24"/>
                <w:szCs w:val="24"/>
                <w:lang w:eastAsia="pl-PL"/>
              </w:rPr>
              <w:lastRenderedPageBreak/>
              <w:t>i wykorzystania informacji koniecznych do udowodnienia naruszenia.</w:t>
            </w:r>
          </w:p>
          <w:p w14:paraId="763A514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2" w:name="mip65353374"/>
            <w:bookmarkEnd w:id="592"/>
            <w:r w:rsidRPr="00965611">
              <w:rPr>
                <w:rFonts w:ascii="Times New Roman" w:eastAsia="Times New Roman" w:hAnsi="Times New Roman" w:cs="Times New Roman"/>
                <w:bCs/>
                <w:sz w:val="24"/>
                <w:szCs w:val="24"/>
                <w:lang w:eastAsia="pl-PL"/>
              </w:rPr>
              <w:t>5. Informacje zgromadzone zgodnie z art. 67, 68 i 69 wykorzystuje się wyłącznie do celów niniejszego rozporządzenia.</w:t>
            </w:r>
          </w:p>
          <w:p w14:paraId="364C212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1A0966F"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8B7DBD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078C34F"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3E97422"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3A10D3D9"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1F9B88B"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80</w:t>
            </w:r>
          </w:p>
        </w:tc>
        <w:tc>
          <w:tcPr>
            <w:tcW w:w="1650" w:type="pct"/>
            <w:tcBorders>
              <w:top w:val="outset" w:sz="6" w:space="0" w:color="auto"/>
              <w:left w:val="outset" w:sz="6" w:space="0" w:color="auto"/>
              <w:bottom w:val="outset" w:sz="6" w:space="0" w:color="auto"/>
              <w:right w:val="outset" w:sz="6" w:space="0" w:color="auto"/>
            </w:tcBorders>
            <w:vAlign w:val="center"/>
          </w:tcPr>
          <w:p w14:paraId="54298CC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publikuje decyzje, które przyjmuje na podstawie art. 70 ust. 1, art. 71 ust. 1 oraz art. 73–76. W publikacji takiej podaje się imiona i nazwiska lub nazwy stron i najważniejsze elementy decyzji, w tym ewentualnie nałożone sankcje.</w:t>
            </w:r>
          </w:p>
          <w:p w14:paraId="590A97C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3" w:name="mip65353377"/>
            <w:bookmarkEnd w:id="593"/>
            <w:r w:rsidRPr="00965611">
              <w:rPr>
                <w:rFonts w:ascii="Times New Roman" w:eastAsia="Times New Roman" w:hAnsi="Times New Roman" w:cs="Times New Roman"/>
                <w:bCs/>
                <w:sz w:val="24"/>
                <w:szCs w:val="24"/>
                <w:lang w:eastAsia="pl-PL"/>
              </w:rPr>
              <w:t>2. Publikacji dokonuje się z poszanowaniem praw i prawnie uzasadnionego interesu danego dostawcy bardzo dużej platformy internetowej lub bardzo dużej wyszukiwarki internetowej, każdej innej osoby, o której mowa w art. 67 ust. 1, oraz każdej osoby trzeciej w zakresie ochrony ich informacji poufnych.</w:t>
            </w:r>
          </w:p>
          <w:p w14:paraId="066E170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874FCB8"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4B0FEEA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D42F49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CAD93ED"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0B45D0C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29C0320"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81</w:t>
            </w:r>
          </w:p>
        </w:tc>
        <w:tc>
          <w:tcPr>
            <w:tcW w:w="1650" w:type="pct"/>
            <w:tcBorders>
              <w:top w:val="outset" w:sz="6" w:space="0" w:color="auto"/>
              <w:left w:val="outset" w:sz="6" w:space="0" w:color="auto"/>
              <w:bottom w:val="outset" w:sz="6" w:space="0" w:color="auto"/>
              <w:right w:val="outset" w:sz="6" w:space="0" w:color="auto"/>
            </w:tcBorders>
            <w:vAlign w:val="center"/>
          </w:tcPr>
          <w:p w14:paraId="2630AD8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Zgodnie z art. 261 TFUE Trybunał Sprawiedliwości Unii Europejskiej ma nieograniczone prawo orzekania w zakresie kontroli decyzji, którymi Komisja nałożyła grzywny lub okresowe kary pieniężne. Trybunał Sprawiedliwości Unii Europejskiej może uchylić, obniżyć lub podwyższyć nałożoną grzywnę lub okresową karę pieniężną.</w:t>
            </w:r>
          </w:p>
        </w:tc>
        <w:tc>
          <w:tcPr>
            <w:tcW w:w="788" w:type="pct"/>
            <w:tcBorders>
              <w:top w:val="outset" w:sz="6" w:space="0" w:color="auto"/>
              <w:left w:val="outset" w:sz="6" w:space="0" w:color="auto"/>
              <w:bottom w:val="outset" w:sz="6" w:space="0" w:color="auto"/>
              <w:right w:val="outset" w:sz="6" w:space="0" w:color="auto"/>
            </w:tcBorders>
            <w:vAlign w:val="center"/>
          </w:tcPr>
          <w:p w14:paraId="347EECA4"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0449111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220899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54AA26C"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4D5FF6D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067D823"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82</w:t>
            </w:r>
          </w:p>
        </w:tc>
        <w:tc>
          <w:tcPr>
            <w:tcW w:w="1650" w:type="pct"/>
            <w:tcBorders>
              <w:top w:val="outset" w:sz="6" w:space="0" w:color="auto"/>
              <w:left w:val="outset" w:sz="6" w:space="0" w:color="auto"/>
              <w:bottom w:val="outset" w:sz="6" w:space="0" w:color="auto"/>
              <w:right w:val="outset" w:sz="6" w:space="0" w:color="auto"/>
            </w:tcBorders>
            <w:vAlign w:val="center"/>
          </w:tcPr>
          <w:p w14:paraId="7ADB68C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W przypadku gdy wszystkie uprawnienia przyznane na podstawie niniejszej sekcji mające doprowadzić do zaprzestania naruszenia niniejszego rozporządzenia zostały wyczerpane, a naruszenie utrzymuje się i wyrządza poważne szkody, których nie można uniknąć, wykonując inne uprawnienia dostępne </w:t>
            </w:r>
            <w:r w:rsidRPr="00965611">
              <w:rPr>
                <w:rFonts w:ascii="Times New Roman" w:eastAsia="Times New Roman" w:hAnsi="Times New Roman" w:cs="Times New Roman"/>
                <w:bCs/>
                <w:sz w:val="24"/>
                <w:szCs w:val="24"/>
                <w:lang w:eastAsia="pl-PL"/>
              </w:rPr>
              <w:lastRenderedPageBreak/>
              <w:t>na mocy prawa Unii lub prawa krajowego, Komisja może zwrócić się do koordynatora ds. usług cyfrowych właściwego dla miejsca siedziby danego dostawcy bardzo dużej platformy internetowej lub bardzo dużej wyszukiwarki internetowej o podjęcie działania na podstawie art. 51 ust. 3.</w:t>
            </w:r>
          </w:p>
          <w:p w14:paraId="4E4F0DE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Przed wystąpieniem z takim wnioskiem do koordynatora ds. usług cyfrowych Komisja zaprasza zainteresowane strony do składania pisemnych uwag w terminie nie krótszym niż 14 dni roboczych, opisując środki, o które ma zamiar wnieść, i określając zamierzonego adresata lub zamierzonych adresatów tych środków.</w:t>
            </w:r>
          </w:p>
          <w:p w14:paraId="49D63E8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4" w:name="mip65353381"/>
            <w:bookmarkEnd w:id="594"/>
            <w:r w:rsidRPr="00965611">
              <w:rPr>
                <w:rFonts w:ascii="Times New Roman" w:eastAsia="Times New Roman" w:hAnsi="Times New Roman" w:cs="Times New Roman"/>
                <w:bCs/>
                <w:sz w:val="24"/>
                <w:szCs w:val="24"/>
                <w:lang w:eastAsia="pl-PL"/>
              </w:rPr>
              <w:t>2. Komisja, działając z inicjatywy własnej, może przedstawić pisemne uwagi właściwemu organowi sądowemu, o którym mowa w art. 51 ust. 3, jeżeli jest to wymagane do zapewnienia spójnego stosowania niniejszego rozporządzenia. Za zgodą danego organu sądowego Komisja może również przedstawić uwagi ustne.</w:t>
            </w:r>
          </w:p>
          <w:p w14:paraId="3B28829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Wyłącznie w celu przygotowania własnych uwag Komisja może zwrócić się z wnioskiem do tego organu sądowego o przekazanie lub zapewnienie przekazania jej wszelkich dokumentów koniecznych do oceny sprawy.</w:t>
            </w:r>
          </w:p>
          <w:p w14:paraId="1C26259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5" w:name="mip65353382"/>
            <w:bookmarkEnd w:id="595"/>
            <w:r w:rsidRPr="00965611">
              <w:rPr>
                <w:rFonts w:ascii="Times New Roman" w:eastAsia="Times New Roman" w:hAnsi="Times New Roman" w:cs="Times New Roman"/>
                <w:bCs/>
                <w:sz w:val="24"/>
                <w:szCs w:val="24"/>
                <w:lang w:eastAsia="pl-PL"/>
              </w:rPr>
              <w:t xml:space="preserve">3. Jeżeli sąd krajowy orzeka w sprawie, która była już przedmiotem decyzji przyjętej przez Komisję na podstawie niniejszego rozporządzenia, ten sąd krajowy nie może podjąć żadnej decyzji sprzecznej z tą decyzją Komisji. Sądy krajowe unikają również podejmowania decyzji, które mogłyby być sprzeczne z decyzją rozważaną przez Komisję w trakcie </w:t>
            </w:r>
            <w:r w:rsidRPr="00965611">
              <w:rPr>
                <w:rFonts w:ascii="Times New Roman" w:eastAsia="Times New Roman" w:hAnsi="Times New Roman" w:cs="Times New Roman"/>
                <w:bCs/>
                <w:sz w:val="24"/>
                <w:szCs w:val="24"/>
                <w:lang w:eastAsia="pl-PL"/>
              </w:rPr>
              <w:lastRenderedPageBreak/>
              <w:t>postępowania wszczętego na podstawie niniejszego rozporządzenia. W tym celu sąd krajowy może rozważyć, czy konieczne jest zawieszenie toczącego się postępowania. Pozostaje to bez uszczerbku dla art. 267 TFUE.</w:t>
            </w:r>
          </w:p>
          <w:p w14:paraId="7E7C995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D13CB78"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B716FD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9DD771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02F3063"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19375388"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58C9A3F"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83</w:t>
            </w:r>
          </w:p>
        </w:tc>
        <w:tc>
          <w:tcPr>
            <w:tcW w:w="1650" w:type="pct"/>
            <w:tcBorders>
              <w:top w:val="outset" w:sz="6" w:space="0" w:color="auto"/>
              <w:left w:val="outset" w:sz="6" w:space="0" w:color="auto"/>
              <w:bottom w:val="outset" w:sz="6" w:space="0" w:color="auto"/>
              <w:right w:val="outset" w:sz="6" w:space="0" w:color="auto"/>
            </w:tcBorders>
            <w:vAlign w:val="center"/>
          </w:tcPr>
          <w:p w14:paraId="2E06596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W odniesieniu do interwencji Komisji, której dotyczy niniejsza sekcja, Komisja może przyjmować akty wykonawcze dotyczące praktycznych ustaleń w zakresie:</w:t>
            </w:r>
          </w:p>
          <w:p w14:paraId="44A16BDC"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96" w:name="mip65353384"/>
            <w:bookmarkEnd w:id="596"/>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postępowania na podstawie art. 69 i 72;</w:t>
            </w:r>
          </w:p>
          <w:p w14:paraId="7FB3B8C6"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97" w:name="mip65353385"/>
            <w:bookmarkEnd w:id="597"/>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wysłuchania przewidzianego w art. 79;</w:t>
            </w:r>
          </w:p>
          <w:p w14:paraId="2CC48CAD"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98" w:name="mip65353386"/>
            <w:bookmarkEnd w:id="598"/>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wynegocjowanego ujawnienia informacji przewidzianego w art. 79.</w:t>
            </w:r>
          </w:p>
          <w:p w14:paraId="0B558F5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9" w:name="mip65353387"/>
            <w:bookmarkEnd w:id="599"/>
            <w:r w:rsidRPr="00965611">
              <w:rPr>
                <w:rFonts w:ascii="Times New Roman" w:eastAsia="Times New Roman" w:hAnsi="Times New Roman" w:cs="Times New Roman"/>
                <w:bCs/>
                <w:sz w:val="24"/>
                <w:szCs w:val="24"/>
                <w:lang w:eastAsia="pl-PL"/>
              </w:rPr>
              <w:t>Przed przyjęciem jakichkolwiek środków na podstawie akapitu pierwszego niniejszego artykułu Komisja publikuje ich projekt i zaprasza wszystkie zainteresowane strony do przedłożenia uwag w wyznaczonym w publikacji terminie, który nie może być krótszy niż jeden miesiąc. Te </w:t>
            </w:r>
            <w:bookmarkStart w:id="600" w:name="highlightHit_50"/>
            <w:bookmarkEnd w:id="600"/>
            <w:r w:rsidRPr="00965611">
              <w:rPr>
                <w:rFonts w:ascii="Times New Roman" w:eastAsia="Times New Roman" w:hAnsi="Times New Roman" w:cs="Times New Roman"/>
                <w:bCs/>
                <w:sz w:val="24"/>
                <w:szCs w:val="24"/>
                <w:lang w:eastAsia="pl-PL"/>
              </w:rPr>
              <w:t>akty wykonawcze przyjmuje się zgodnie z procedurą doradczą, </w:t>
            </w:r>
            <w:bookmarkStart w:id="601" w:name="highlightHit_51"/>
            <w:bookmarkEnd w:id="601"/>
            <w:r w:rsidRPr="00965611">
              <w:rPr>
                <w:rFonts w:ascii="Times New Roman" w:eastAsia="Times New Roman" w:hAnsi="Times New Roman" w:cs="Times New Roman"/>
                <w:bCs/>
                <w:sz w:val="24"/>
                <w:szCs w:val="24"/>
                <w:lang w:eastAsia="pl-PL"/>
              </w:rPr>
              <w:t>o której mowa w art. 88.</w:t>
            </w:r>
          </w:p>
          <w:p w14:paraId="6C696CF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3868146"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A1A14CC"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59CC30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9F3CE1E"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179DF6B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A8C3AFB"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84</w:t>
            </w:r>
          </w:p>
        </w:tc>
        <w:tc>
          <w:tcPr>
            <w:tcW w:w="1650" w:type="pct"/>
            <w:tcBorders>
              <w:top w:val="outset" w:sz="6" w:space="0" w:color="auto"/>
              <w:left w:val="outset" w:sz="6" w:space="0" w:color="auto"/>
              <w:bottom w:val="outset" w:sz="6" w:space="0" w:color="auto"/>
              <w:right w:val="outset" w:sz="6" w:space="0" w:color="auto"/>
            </w:tcBorders>
            <w:vAlign w:val="center"/>
          </w:tcPr>
          <w:p w14:paraId="70BFA053" w14:textId="77777777" w:rsidR="00ED0C0B" w:rsidRPr="00965611" w:rsidRDefault="00ED0C0B" w:rsidP="00965611">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Bez uszczerbku dla wymiany i wykorzystywania informacji, </w:t>
            </w:r>
            <w:bookmarkStart w:id="602" w:name="highlightHit_52"/>
            <w:bookmarkEnd w:id="602"/>
            <w:r w:rsidRPr="00ED0C0B">
              <w:rPr>
                <w:rFonts w:ascii="Times New Roman" w:eastAsia="Times New Roman" w:hAnsi="Times New Roman" w:cs="Times New Roman"/>
                <w:bCs/>
                <w:sz w:val="24"/>
                <w:szCs w:val="24"/>
                <w:lang w:eastAsia="pl-PL"/>
              </w:rPr>
              <w:t>o których mowa w niniejszym rozdziale, Komisja, Rada </w:t>
            </w:r>
            <w:bookmarkStart w:id="603" w:name="highlightHit_53"/>
            <w:bookmarkEnd w:id="603"/>
            <w:r w:rsidRPr="00ED0C0B">
              <w:rPr>
                <w:rFonts w:ascii="Times New Roman" w:eastAsia="Times New Roman" w:hAnsi="Times New Roman" w:cs="Times New Roman"/>
                <w:bCs/>
                <w:sz w:val="24"/>
                <w:szCs w:val="24"/>
                <w:lang w:eastAsia="pl-PL"/>
              </w:rPr>
              <w:t>Usług </w:t>
            </w:r>
            <w:bookmarkStart w:id="604" w:name="highlightHit_54"/>
            <w:bookmarkEnd w:id="604"/>
            <w:r w:rsidRPr="00ED0C0B">
              <w:rPr>
                <w:rFonts w:ascii="Times New Roman" w:eastAsia="Times New Roman" w:hAnsi="Times New Roman" w:cs="Times New Roman"/>
                <w:bCs/>
                <w:sz w:val="24"/>
                <w:szCs w:val="24"/>
                <w:lang w:eastAsia="pl-PL"/>
              </w:rPr>
              <w:t xml:space="preserve">Cyfrowych, właściwe organy państw członkowskich oraz ich urzędnicy, pracownicy i inne osoby pracujące pod ich nadzorem, a także wszelkie zaangażowane osoby fizyczne lub prawne, w tym audytorzy i eksperci powołani na podstawie art. 72 ust. 2, nie ujawniają informacji uzyskanych lub </w:t>
            </w:r>
            <w:r w:rsidRPr="00ED0C0B">
              <w:rPr>
                <w:rFonts w:ascii="Times New Roman" w:eastAsia="Times New Roman" w:hAnsi="Times New Roman" w:cs="Times New Roman"/>
                <w:bCs/>
                <w:sz w:val="24"/>
                <w:szCs w:val="24"/>
                <w:lang w:eastAsia="pl-PL"/>
              </w:rPr>
              <w:lastRenderedPageBreak/>
              <w:t>wymienionych przez nich na podstawie niniejszego </w:t>
            </w:r>
            <w:bookmarkStart w:id="605" w:name="highlightHit_55"/>
            <w:bookmarkEnd w:id="605"/>
            <w:r w:rsidRPr="00ED0C0B">
              <w:rPr>
                <w:rFonts w:ascii="Times New Roman" w:eastAsia="Times New Roman" w:hAnsi="Times New Roman" w:cs="Times New Roman"/>
                <w:bCs/>
                <w:sz w:val="24"/>
                <w:szCs w:val="24"/>
                <w:lang w:eastAsia="pl-PL"/>
              </w:rPr>
              <w:t>rozporządzenia oraz objętych obowiązkiem zachowania tajemnicy zawodowej.</w:t>
            </w:r>
          </w:p>
        </w:tc>
        <w:tc>
          <w:tcPr>
            <w:tcW w:w="788" w:type="pct"/>
            <w:tcBorders>
              <w:top w:val="outset" w:sz="6" w:space="0" w:color="auto"/>
              <w:left w:val="outset" w:sz="6" w:space="0" w:color="auto"/>
              <w:bottom w:val="outset" w:sz="6" w:space="0" w:color="auto"/>
              <w:right w:val="outset" w:sz="6" w:space="0" w:color="auto"/>
            </w:tcBorders>
            <w:vAlign w:val="center"/>
          </w:tcPr>
          <w:p w14:paraId="027674C9"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56AF466"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32EBB6F"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2D95BA6"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71101A4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20E138F"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85</w:t>
            </w:r>
          </w:p>
        </w:tc>
        <w:tc>
          <w:tcPr>
            <w:tcW w:w="1650" w:type="pct"/>
            <w:tcBorders>
              <w:top w:val="outset" w:sz="6" w:space="0" w:color="auto"/>
              <w:left w:val="outset" w:sz="6" w:space="0" w:color="auto"/>
              <w:bottom w:val="outset" w:sz="6" w:space="0" w:color="auto"/>
              <w:right w:val="outset" w:sz="6" w:space="0" w:color="auto"/>
            </w:tcBorders>
            <w:vAlign w:val="center"/>
          </w:tcPr>
          <w:p w14:paraId="1111295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Komisja ustanawia i utrzymuje niezawodny i bezpieczny system wymiany informacji wspierający komunikację między koordynatorami ds. </w:t>
            </w:r>
            <w:bookmarkStart w:id="606" w:name="highlightHit_56"/>
            <w:bookmarkEnd w:id="606"/>
            <w:r w:rsidRPr="00ED0C0B">
              <w:rPr>
                <w:rFonts w:ascii="Times New Roman" w:eastAsia="Times New Roman" w:hAnsi="Times New Roman" w:cs="Times New Roman"/>
                <w:bCs/>
                <w:sz w:val="24"/>
                <w:szCs w:val="24"/>
                <w:lang w:eastAsia="pl-PL"/>
              </w:rPr>
              <w:t>usług </w:t>
            </w:r>
            <w:bookmarkStart w:id="607" w:name="highlightHit_57"/>
            <w:bookmarkEnd w:id="607"/>
            <w:r w:rsidRPr="00ED0C0B">
              <w:rPr>
                <w:rFonts w:ascii="Times New Roman" w:eastAsia="Times New Roman" w:hAnsi="Times New Roman" w:cs="Times New Roman"/>
                <w:bCs/>
                <w:sz w:val="24"/>
                <w:szCs w:val="24"/>
                <w:lang w:eastAsia="pl-PL"/>
              </w:rPr>
              <w:t>cyfrowych, Komisją i Radą </w:t>
            </w:r>
            <w:bookmarkStart w:id="608" w:name="highlightHit_58"/>
            <w:bookmarkEnd w:id="608"/>
            <w:r w:rsidRPr="00ED0C0B">
              <w:rPr>
                <w:rFonts w:ascii="Times New Roman" w:eastAsia="Times New Roman" w:hAnsi="Times New Roman" w:cs="Times New Roman"/>
                <w:bCs/>
                <w:sz w:val="24"/>
                <w:szCs w:val="24"/>
                <w:lang w:eastAsia="pl-PL"/>
              </w:rPr>
              <w:t>Usług </w:t>
            </w:r>
            <w:bookmarkStart w:id="609" w:name="highlightHit_59"/>
            <w:bookmarkEnd w:id="609"/>
            <w:r w:rsidRPr="00ED0C0B">
              <w:rPr>
                <w:rFonts w:ascii="Times New Roman" w:eastAsia="Times New Roman" w:hAnsi="Times New Roman" w:cs="Times New Roman"/>
                <w:bCs/>
                <w:sz w:val="24"/>
                <w:szCs w:val="24"/>
                <w:lang w:eastAsia="pl-PL"/>
              </w:rPr>
              <w:t>Cyfrowych. Innym właściwym organom można przyznać dostęp do takiego systemu w razie konieczności wykonywania przez nie zadań powierzonych im zgodnie z niniejszym </w:t>
            </w:r>
            <w:bookmarkStart w:id="610" w:name="highlightHit_60"/>
            <w:bookmarkEnd w:id="610"/>
            <w:r w:rsidRPr="00ED0C0B">
              <w:rPr>
                <w:rFonts w:ascii="Times New Roman" w:eastAsia="Times New Roman" w:hAnsi="Times New Roman" w:cs="Times New Roman"/>
                <w:bCs/>
                <w:sz w:val="24"/>
                <w:szCs w:val="24"/>
                <w:lang w:eastAsia="pl-PL"/>
              </w:rPr>
              <w:t>rozporządzeniem.</w:t>
            </w:r>
          </w:p>
          <w:p w14:paraId="5A6AF67F"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11" w:name="mip65353392"/>
            <w:bookmarkEnd w:id="611"/>
            <w:r w:rsidRPr="00ED0C0B">
              <w:rPr>
                <w:rFonts w:ascii="Times New Roman" w:eastAsia="Times New Roman" w:hAnsi="Times New Roman" w:cs="Times New Roman"/>
                <w:bCs/>
                <w:sz w:val="24"/>
                <w:szCs w:val="24"/>
                <w:lang w:eastAsia="pl-PL"/>
              </w:rPr>
              <w:t>2. Koordynatorzy ds. </w:t>
            </w:r>
            <w:bookmarkStart w:id="612" w:name="highlightHit_61"/>
            <w:bookmarkEnd w:id="612"/>
            <w:r w:rsidRPr="00ED0C0B">
              <w:rPr>
                <w:rFonts w:ascii="Times New Roman" w:eastAsia="Times New Roman" w:hAnsi="Times New Roman" w:cs="Times New Roman"/>
                <w:bCs/>
                <w:sz w:val="24"/>
                <w:szCs w:val="24"/>
                <w:lang w:eastAsia="pl-PL"/>
              </w:rPr>
              <w:t>usług </w:t>
            </w:r>
            <w:bookmarkStart w:id="613" w:name="highlightHit_62"/>
            <w:bookmarkEnd w:id="613"/>
            <w:r w:rsidRPr="00ED0C0B">
              <w:rPr>
                <w:rFonts w:ascii="Times New Roman" w:eastAsia="Times New Roman" w:hAnsi="Times New Roman" w:cs="Times New Roman"/>
                <w:bCs/>
                <w:sz w:val="24"/>
                <w:szCs w:val="24"/>
                <w:lang w:eastAsia="pl-PL"/>
              </w:rPr>
              <w:t>cyfrowych, Komisja i Rada </w:t>
            </w:r>
            <w:bookmarkStart w:id="614" w:name="highlightHit_63"/>
            <w:bookmarkEnd w:id="614"/>
            <w:r w:rsidRPr="00ED0C0B">
              <w:rPr>
                <w:rFonts w:ascii="Times New Roman" w:eastAsia="Times New Roman" w:hAnsi="Times New Roman" w:cs="Times New Roman"/>
                <w:bCs/>
                <w:sz w:val="24"/>
                <w:szCs w:val="24"/>
                <w:lang w:eastAsia="pl-PL"/>
              </w:rPr>
              <w:t>Usług </w:t>
            </w:r>
            <w:bookmarkStart w:id="615" w:name="highlightHit_64"/>
            <w:bookmarkEnd w:id="615"/>
            <w:r w:rsidRPr="00ED0C0B">
              <w:rPr>
                <w:rFonts w:ascii="Times New Roman" w:eastAsia="Times New Roman" w:hAnsi="Times New Roman" w:cs="Times New Roman"/>
                <w:bCs/>
                <w:sz w:val="24"/>
                <w:szCs w:val="24"/>
                <w:lang w:eastAsia="pl-PL"/>
              </w:rPr>
              <w:t>Cyfrowych korzystają z tego systemu wymiany informacji do celów wszelkiej komunikacji prowadzonej zgodnie z niniejszym </w:t>
            </w:r>
            <w:bookmarkStart w:id="616" w:name="highlightHit_65"/>
            <w:bookmarkEnd w:id="616"/>
            <w:r w:rsidRPr="00ED0C0B">
              <w:rPr>
                <w:rFonts w:ascii="Times New Roman" w:eastAsia="Times New Roman" w:hAnsi="Times New Roman" w:cs="Times New Roman"/>
                <w:bCs/>
                <w:sz w:val="24"/>
                <w:szCs w:val="24"/>
                <w:lang w:eastAsia="pl-PL"/>
              </w:rPr>
              <w:t>rozporządzeniem.</w:t>
            </w:r>
          </w:p>
          <w:p w14:paraId="547F3975"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17" w:name="mip65353393"/>
            <w:bookmarkEnd w:id="617"/>
            <w:r w:rsidRPr="00ED0C0B">
              <w:rPr>
                <w:rFonts w:ascii="Times New Roman" w:eastAsia="Times New Roman" w:hAnsi="Times New Roman" w:cs="Times New Roman"/>
                <w:bCs/>
                <w:sz w:val="24"/>
                <w:szCs w:val="24"/>
                <w:lang w:eastAsia="pl-PL"/>
              </w:rPr>
              <w:t>3. Komisja przyjmuje </w:t>
            </w:r>
            <w:bookmarkStart w:id="618" w:name="highlightHit_66"/>
            <w:bookmarkEnd w:id="618"/>
            <w:r w:rsidRPr="00ED0C0B">
              <w:rPr>
                <w:rFonts w:ascii="Times New Roman" w:eastAsia="Times New Roman" w:hAnsi="Times New Roman" w:cs="Times New Roman"/>
                <w:bCs/>
                <w:sz w:val="24"/>
                <w:szCs w:val="24"/>
                <w:lang w:eastAsia="pl-PL"/>
              </w:rPr>
              <w:t>akty wykonawcze określające ustalenia praktyczne i operacyjne na potrzeby funkcjonowania systemu wymiany informacji i jego interoperacyjności z pozostałymi odpowiednimi systemami. Te </w:t>
            </w:r>
            <w:bookmarkStart w:id="619" w:name="highlightHit_67"/>
            <w:bookmarkEnd w:id="619"/>
            <w:r w:rsidRPr="00ED0C0B">
              <w:rPr>
                <w:rFonts w:ascii="Times New Roman" w:eastAsia="Times New Roman" w:hAnsi="Times New Roman" w:cs="Times New Roman"/>
                <w:bCs/>
                <w:sz w:val="24"/>
                <w:szCs w:val="24"/>
                <w:lang w:eastAsia="pl-PL"/>
              </w:rPr>
              <w:t>akty wykonawcze przyjmuje się zgodnie z procedurą doradczą, </w:t>
            </w:r>
            <w:bookmarkStart w:id="620" w:name="highlightHit_68"/>
            <w:bookmarkEnd w:id="620"/>
            <w:r w:rsidRPr="00ED0C0B">
              <w:rPr>
                <w:rFonts w:ascii="Times New Roman" w:eastAsia="Times New Roman" w:hAnsi="Times New Roman" w:cs="Times New Roman"/>
                <w:bCs/>
                <w:sz w:val="24"/>
                <w:szCs w:val="24"/>
                <w:lang w:eastAsia="pl-PL"/>
              </w:rPr>
              <w:t>o której mowa w art. 88.</w:t>
            </w:r>
          </w:p>
          <w:p w14:paraId="2FCC16BF" w14:textId="77777777" w:rsidR="00ED0C0B" w:rsidRPr="00ED0C0B" w:rsidRDefault="00ED0C0B"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3915DAD"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3AC389D8"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A8BEEB2"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5510A96"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6262B8B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1CDAE7A"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86 </w:t>
            </w:r>
          </w:p>
        </w:tc>
        <w:tc>
          <w:tcPr>
            <w:tcW w:w="1650" w:type="pct"/>
            <w:tcBorders>
              <w:top w:val="outset" w:sz="6" w:space="0" w:color="auto"/>
              <w:left w:val="outset" w:sz="6" w:space="0" w:color="auto"/>
              <w:bottom w:val="outset" w:sz="6" w:space="0" w:color="auto"/>
              <w:right w:val="outset" w:sz="6" w:space="0" w:color="auto"/>
            </w:tcBorders>
            <w:vAlign w:val="center"/>
          </w:tcPr>
          <w:p w14:paraId="1AAB424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Bez uszczerbku dla dyrektywy (UE) 2020/1828 lub dla wszelkich innych rodzajów przedstawicielstwa na mocy prawa krajowego odbiorcy </w:t>
            </w:r>
            <w:bookmarkStart w:id="621" w:name="highlightHit_69"/>
            <w:bookmarkEnd w:id="621"/>
            <w:r w:rsidRPr="00ED0C0B">
              <w:rPr>
                <w:rFonts w:ascii="Times New Roman" w:eastAsia="Times New Roman" w:hAnsi="Times New Roman" w:cs="Times New Roman"/>
                <w:bCs/>
                <w:sz w:val="24"/>
                <w:szCs w:val="24"/>
                <w:lang w:eastAsia="pl-PL"/>
              </w:rPr>
              <w:t>usług pośrednich mają co najmniej prawo umocować podmiot, organizację lub zrzeszenie do wykonania w ich imieniu praw przyznanych niniejszym rozporządzeniem, pod warunkiem że taki podmiot, taka organizacja lub takie zrzeszenie spełniają wszystkie następujące warunki:</w:t>
            </w:r>
          </w:p>
          <w:p w14:paraId="371A9455" w14:textId="77777777" w:rsidR="00ED0C0B" w:rsidRPr="00ED0C0B" w:rsidRDefault="00F94F1E" w:rsidP="00ED0C0B">
            <w:pPr>
              <w:spacing w:after="0" w:line="240" w:lineRule="auto"/>
              <w:rPr>
                <w:rFonts w:ascii="Times New Roman" w:eastAsia="Times New Roman" w:hAnsi="Times New Roman" w:cs="Times New Roman"/>
                <w:bCs/>
                <w:sz w:val="24"/>
                <w:szCs w:val="24"/>
                <w:lang w:eastAsia="pl-PL"/>
              </w:rPr>
            </w:pPr>
            <w:bookmarkStart w:id="622" w:name="mip65353397"/>
            <w:bookmarkEnd w:id="622"/>
            <w:r>
              <w:rPr>
                <w:rFonts w:ascii="Times New Roman" w:eastAsia="Times New Roman" w:hAnsi="Times New Roman" w:cs="Times New Roman"/>
                <w:bCs/>
                <w:sz w:val="24"/>
                <w:szCs w:val="24"/>
                <w:lang w:eastAsia="pl-PL"/>
              </w:rPr>
              <w:t>a)</w:t>
            </w:r>
            <w:r w:rsidR="00ED0C0B" w:rsidRPr="00ED0C0B">
              <w:rPr>
                <w:rFonts w:ascii="Times New Roman" w:eastAsia="Times New Roman" w:hAnsi="Times New Roman" w:cs="Times New Roman"/>
                <w:bCs/>
                <w:sz w:val="24"/>
                <w:szCs w:val="24"/>
                <w:lang w:eastAsia="pl-PL"/>
              </w:rPr>
              <w:t> prowadzą działalność nienastawioną na zysk;</w:t>
            </w:r>
          </w:p>
          <w:p w14:paraId="11B941FF" w14:textId="77777777" w:rsidR="00ED0C0B" w:rsidRPr="00ED0C0B" w:rsidRDefault="00F94F1E" w:rsidP="00ED0C0B">
            <w:pPr>
              <w:spacing w:after="0" w:line="240" w:lineRule="auto"/>
              <w:rPr>
                <w:rFonts w:ascii="Times New Roman" w:eastAsia="Times New Roman" w:hAnsi="Times New Roman" w:cs="Times New Roman"/>
                <w:bCs/>
                <w:sz w:val="24"/>
                <w:szCs w:val="24"/>
                <w:lang w:eastAsia="pl-PL"/>
              </w:rPr>
            </w:pPr>
            <w:bookmarkStart w:id="623" w:name="mip65353398"/>
            <w:bookmarkEnd w:id="623"/>
            <w:r>
              <w:rPr>
                <w:rFonts w:ascii="Times New Roman" w:eastAsia="Times New Roman" w:hAnsi="Times New Roman" w:cs="Times New Roman"/>
                <w:bCs/>
                <w:sz w:val="24"/>
                <w:szCs w:val="24"/>
                <w:lang w:eastAsia="pl-PL"/>
              </w:rPr>
              <w:lastRenderedPageBreak/>
              <w:t xml:space="preserve">b) </w:t>
            </w:r>
            <w:r w:rsidR="00ED0C0B" w:rsidRPr="00ED0C0B">
              <w:rPr>
                <w:rFonts w:ascii="Times New Roman" w:eastAsia="Times New Roman" w:hAnsi="Times New Roman" w:cs="Times New Roman"/>
                <w:bCs/>
                <w:sz w:val="24"/>
                <w:szCs w:val="24"/>
                <w:lang w:eastAsia="pl-PL"/>
              </w:rPr>
              <w:t>zostały należycie ustanowione zgodnie z prawem państwa członkowskiego;</w:t>
            </w:r>
          </w:p>
          <w:p w14:paraId="0B258132" w14:textId="77777777" w:rsidR="00ED0C0B" w:rsidRPr="00ED0C0B" w:rsidRDefault="00F94F1E" w:rsidP="00ED0C0B">
            <w:pPr>
              <w:spacing w:after="0" w:line="240" w:lineRule="auto"/>
              <w:rPr>
                <w:rFonts w:ascii="Times New Roman" w:eastAsia="Times New Roman" w:hAnsi="Times New Roman" w:cs="Times New Roman"/>
                <w:bCs/>
                <w:sz w:val="24"/>
                <w:szCs w:val="24"/>
                <w:lang w:eastAsia="pl-PL"/>
              </w:rPr>
            </w:pPr>
            <w:bookmarkStart w:id="624" w:name="mip65353399"/>
            <w:bookmarkEnd w:id="624"/>
            <w:r>
              <w:rPr>
                <w:rFonts w:ascii="Times New Roman" w:eastAsia="Times New Roman" w:hAnsi="Times New Roman" w:cs="Times New Roman"/>
                <w:bCs/>
                <w:sz w:val="24"/>
                <w:szCs w:val="24"/>
                <w:lang w:eastAsia="pl-PL"/>
              </w:rPr>
              <w:t xml:space="preserve">c) </w:t>
            </w:r>
            <w:r w:rsidR="00ED0C0B" w:rsidRPr="00ED0C0B">
              <w:rPr>
                <w:rFonts w:ascii="Times New Roman" w:eastAsia="Times New Roman" w:hAnsi="Times New Roman" w:cs="Times New Roman"/>
                <w:bCs/>
                <w:sz w:val="24"/>
                <w:szCs w:val="24"/>
                <w:lang w:eastAsia="pl-PL"/>
              </w:rPr>
              <w:t>ich cele statutowe obejmują prawnie uzasadniony interes polegający na zapewnieniu przestrzegania niniejszego rozporządzenia.</w:t>
            </w:r>
          </w:p>
          <w:p w14:paraId="38DA1F6D"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5" w:name="mip65353400"/>
            <w:bookmarkEnd w:id="625"/>
            <w:r w:rsidRPr="00ED0C0B">
              <w:rPr>
                <w:rFonts w:ascii="Times New Roman" w:eastAsia="Times New Roman" w:hAnsi="Times New Roman" w:cs="Times New Roman"/>
                <w:bCs/>
                <w:sz w:val="24"/>
                <w:szCs w:val="24"/>
                <w:lang w:eastAsia="pl-PL"/>
              </w:rPr>
              <w:t>2. Dostawcy platform internetowych wprowadzają niezbędne środki techniczne i organizacyjne w celu zapewnienia, aby skargi wnoszone przez podmioty, organizacje lub zrzeszenia, o których mowa w ust. 1 niniejszego artykułu, w imieniu odbiorców usługi za pośrednictwem mechanizmów, o których mowa w art. 20 ust. 1, były rozpatrywane, a decyzje w ich sprawie były podejmowane w sposób priorytetowy i bez zbędnej zwłoki.</w:t>
            </w:r>
          </w:p>
          <w:p w14:paraId="22F45E4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3D1C727"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1D1D238"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97AB13F"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2EE7DF4"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3C1544E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055B587"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87</w:t>
            </w:r>
          </w:p>
        </w:tc>
        <w:tc>
          <w:tcPr>
            <w:tcW w:w="1650" w:type="pct"/>
            <w:tcBorders>
              <w:top w:val="outset" w:sz="6" w:space="0" w:color="auto"/>
              <w:left w:val="outset" w:sz="6" w:space="0" w:color="auto"/>
              <w:bottom w:val="outset" w:sz="6" w:space="0" w:color="auto"/>
              <w:right w:val="outset" w:sz="6" w:space="0" w:color="auto"/>
            </w:tcBorders>
            <w:vAlign w:val="center"/>
          </w:tcPr>
          <w:p w14:paraId="7321BC7A"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Powierzenie Komisji uprawnień do przyjęcia aktów delegowanych podlega warunkom określonym w niniejszym artykule.</w:t>
            </w:r>
          </w:p>
          <w:p w14:paraId="70489C9D"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6" w:name="mip65353404"/>
            <w:bookmarkEnd w:id="626"/>
            <w:r w:rsidRPr="00ED0C0B">
              <w:rPr>
                <w:rFonts w:ascii="Times New Roman" w:eastAsia="Times New Roman" w:hAnsi="Times New Roman" w:cs="Times New Roman"/>
                <w:bCs/>
                <w:sz w:val="24"/>
                <w:szCs w:val="24"/>
                <w:lang w:eastAsia="pl-PL"/>
              </w:rPr>
              <w:t>2. Uprawnienia do przyjmowania aktów delegowanych, o których mowa w art. 24, 33, 37, 40 i 43, powierza się Komisji na okres pięciu lat od dnia 16 listopada 2022 r.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14:paraId="2CAD2AD9"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7" w:name="mip65353405"/>
            <w:bookmarkEnd w:id="627"/>
            <w:r w:rsidRPr="00ED0C0B">
              <w:rPr>
                <w:rFonts w:ascii="Times New Roman" w:eastAsia="Times New Roman" w:hAnsi="Times New Roman" w:cs="Times New Roman"/>
                <w:bCs/>
                <w:sz w:val="24"/>
                <w:szCs w:val="24"/>
                <w:lang w:eastAsia="pl-PL"/>
              </w:rPr>
              <w:t xml:space="preserve">3. Przekazanie uprawnień, o którym mowa w art. 24, 33, 37, 40 i 43, może zostać w dowolnym momencie odwołane przez Parlament Europejski lub przez Radę. </w:t>
            </w:r>
            <w:r w:rsidRPr="00ED0C0B">
              <w:rPr>
                <w:rFonts w:ascii="Times New Roman" w:eastAsia="Times New Roman" w:hAnsi="Times New Roman" w:cs="Times New Roman"/>
                <w:bCs/>
                <w:sz w:val="24"/>
                <w:szCs w:val="24"/>
                <w:lang w:eastAsia="pl-PL"/>
              </w:rPr>
              <w:lastRenderedPageBreak/>
              <w:t>Decyzja o odwołaniu kończy przekazanie określonych w niej uprawnień. Decyzja o odwołaniu staje się skuteczna od następnego dnia po jej opublikowaniu w </w:t>
            </w:r>
            <w:r w:rsidRPr="00ED0C0B">
              <w:rPr>
                <w:rFonts w:ascii="Times New Roman" w:eastAsia="Times New Roman" w:hAnsi="Times New Roman" w:cs="Times New Roman"/>
                <w:bCs/>
                <w:i/>
                <w:iCs/>
                <w:sz w:val="24"/>
                <w:szCs w:val="24"/>
                <w:lang w:eastAsia="pl-PL"/>
              </w:rPr>
              <w:t>Dzienniku Urzędowym Unii Europejskiej</w:t>
            </w:r>
            <w:r w:rsidRPr="00ED0C0B">
              <w:rPr>
                <w:rFonts w:ascii="Times New Roman" w:eastAsia="Times New Roman" w:hAnsi="Times New Roman" w:cs="Times New Roman"/>
                <w:bCs/>
                <w:sz w:val="24"/>
                <w:szCs w:val="24"/>
                <w:lang w:eastAsia="pl-PL"/>
              </w:rPr>
              <w:t> lub w określonym w tej decyzji późniejszym terminie. Nie wpływa ona na ważność jakichkolwiek już obowiązujących aktów delegowanych.</w:t>
            </w:r>
          </w:p>
          <w:p w14:paraId="0A518B65"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8" w:name="mip65353406"/>
            <w:bookmarkEnd w:id="628"/>
            <w:r w:rsidRPr="00ED0C0B">
              <w:rPr>
                <w:rFonts w:ascii="Times New Roman" w:eastAsia="Times New Roman" w:hAnsi="Times New Roman" w:cs="Times New Roman"/>
                <w:bCs/>
                <w:sz w:val="24"/>
                <w:szCs w:val="24"/>
                <w:lang w:eastAsia="pl-PL"/>
              </w:rPr>
              <w:t>4. Przed przyjęciem aktu delegowanego Komisja konsultuje się z ekspertami wyznaczonymi przez każde państwo członkowskie zgodnie z zasadami określonymi w Porozumieniu międzyinstytucjonalnym z dnia 13 kwietnia 2016 r. w sprawie lepszego stanowienia prawa.</w:t>
            </w:r>
          </w:p>
          <w:p w14:paraId="755D5CE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9" w:name="mip65353407"/>
            <w:bookmarkEnd w:id="629"/>
            <w:r w:rsidRPr="00ED0C0B">
              <w:rPr>
                <w:rFonts w:ascii="Times New Roman" w:eastAsia="Times New Roman" w:hAnsi="Times New Roman" w:cs="Times New Roman"/>
                <w:bCs/>
                <w:sz w:val="24"/>
                <w:szCs w:val="24"/>
                <w:lang w:eastAsia="pl-PL"/>
              </w:rPr>
              <w:t>5. Niezwłocznie po przyjęciu </w:t>
            </w:r>
            <w:bookmarkStart w:id="630" w:name="highlightHit_70"/>
            <w:bookmarkEnd w:id="630"/>
            <w:r w:rsidRPr="00ED0C0B">
              <w:rPr>
                <w:rFonts w:ascii="Times New Roman" w:eastAsia="Times New Roman" w:hAnsi="Times New Roman" w:cs="Times New Roman"/>
                <w:bCs/>
                <w:sz w:val="24"/>
                <w:szCs w:val="24"/>
                <w:lang w:eastAsia="pl-PL"/>
              </w:rPr>
              <w:t>aktu delegowanego Komisja przekazuje go równocześnie Parlamentowi Europejskiemu i Radzie.</w:t>
            </w:r>
          </w:p>
          <w:p w14:paraId="19C136FA"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31" w:name="mip65353408"/>
            <w:bookmarkEnd w:id="631"/>
            <w:r w:rsidRPr="00ED0C0B">
              <w:rPr>
                <w:rFonts w:ascii="Times New Roman" w:eastAsia="Times New Roman" w:hAnsi="Times New Roman" w:cs="Times New Roman"/>
                <w:bCs/>
                <w:sz w:val="24"/>
                <w:szCs w:val="24"/>
                <w:lang w:eastAsia="pl-PL"/>
              </w:rPr>
              <w:t>6. </w:t>
            </w:r>
            <w:bookmarkStart w:id="632" w:name="highlightHit_71"/>
            <w:bookmarkEnd w:id="632"/>
            <w:r w:rsidRPr="00ED0C0B">
              <w:rPr>
                <w:rFonts w:ascii="Times New Roman" w:eastAsia="Times New Roman" w:hAnsi="Times New Roman" w:cs="Times New Roman"/>
                <w:bCs/>
                <w:sz w:val="24"/>
                <w:szCs w:val="24"/>
                <w:lang w:eastAsia="pl-PL"/>
              </w:rPr>
              <w:t>Akt delegowany przyjęty na podstawie art. 24, 33</w:t>
            </w:r>
            <w:r w:rsidRPr="00ED0C0B">
              <w:rPr>
                <w:rFonts w:ascii="Times New Roman" w:eastAsia="Times New Roman" w:hAnsi="Times New Roman" w:cs="Times New Roman"/>
                <w:b/>
                <w:bCs/>
                <w:sz w:val="24"/>
                <w:szCs w:val="24"/>
                <w:lang w:eastAsia="pl-PL"/>
              </w:rPr>
              <w:t>,</w:t>
            </w:r>
            <w:r w:rsidRPr="00ED0C0B">
              <w:rPr>
                <w:rFonts w:ascii="Times New Roman" w:eastAsia="Times New Roman" w:hAnsi="Times New Roman" w:cs="Times New Roman"/>
                <w:bCs/>
                <w:sz w:val="24"/>
                <w:szCs w:val="24"/>
                <w:lang w:eastAsia="pl-PL"/>
              </w:rPr>
              <w:t> 37, 40 i 43 wchodzi w życie tylko wówczas, gdy ani Parlament Europejski, ani Rada nie wyraziły sprzeciwu w terminie trzech miesięcy od przekazania tego </w:t>
            </w:r>
            <w:bookmarkStart w:id="633" w:name="highlightHit_72"/>
            <w:bookmarkEnd w:id="633"/>
            <w:r w:rsidRPr="00ED0C0B">
              <w:rPr>
                <w:rFonts w:ascii="Times New Roman" w:eastAsia="Times New Roman" w:hAnsi="Times New Roman" w:cs="Times New Roman"/>
                <w:bCs/>
                <w:sz w:val="24"/>
                <w:szCs w:val="24"/>
                <w:lang w:eastAsia="pl-PL"/>
              </w:rPr>
              <w:t>aktu Parlamentowi Europejskiemu i Radzie lub gdy, przed upływem tego terminu, zarówno Parlament Europejski, jak i Rada poinformowały Komisję, że nie wniosą sprzeciwu. Termin ten przedłuża się </w:t>
            </w:r>
            <w:bookmarkStart w:id="634" w:name="highlightHit_73"/>
            <w:bookmarkEnd w:id="634"/>
            <w:r w:rsidRPr="00ED0C0B">
              <w:rPr>
                <w:rFonts w:ascii="Times New Roman" w:eastAsia="Times New Roman" w:hAnsi="Times New Roman" w:cs="Times New Roman"/>
                <w:bCs/>
                <w:sz w:val="24"/>
                <w:szCs w:val="24"/>
                <w:lang w:eastAsia="pl-PL"/>
              </w:rPr>
              <w:t>o trzy miesiące z inicjatywy Parlamentu Europejskiego lub Rady.</w:t>
            </w:r>
          </w:p>
          <w:p w14:paraId="2466C573"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5B1A233"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AA834B3"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1FA9D62"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67470BA"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06ADEAF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701E8CB"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88</w:t>
            </w:r>
          </w:p>
        </w:tc>
        <w:tc>
          <w:tcPr>
            <w:tcW w:w="1650" w:type="pct"/>
            <w:tcBorders>
              <w:top w:val="outset" w:sz="6" w:space="0" w:color="auto"/>
              <w:left w:val="outset" w:sz="6" w:space="0" w:color="auto"/>
              <w:bottom w:val="outset" w:sz="6" w:space="0" w:color="auto"/>
              <w:right w:val="outset" w:sz="6" w:space="0" w:color="auto"/>
            </w:tcBorders>
            <w:vAlign w:val="center"/>
          </w:tcPr>
          <w:p w14:paraId="3F4C80D9"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Komisję wspomaga komitet („Komitet ds. </w:t>
            </w:r>
            <w:bookmarkStart w:id="635" w:name="highlightHit_74"/>
            <w:bookmarkEnd w:id="635"/>
            <w:r w:rsidRPr="00ED0C0B">
              <w:rPr>
                <w:rFonts w:ascii="Times New Roman" w:eastAsia="Times New Roman" w:hAnsi="Times New Roman" w:cs="Times New Roman"/>
                <w:bCs/>
                <w:sz w:val="24"/>
                <w:szCs w:val="24"/>
                <w:lang w:eastAsia="pl-PL"/>
              </w:rPr>
              <w:t>Usług </w:t>
            </w:r>
            <w:bookmarkStart w:id="636" w:name="highlightHit_75"/>
            <w:bookmarkEnd w:id="636"/>
            <w:r w:rsidRPr="00ED0C0B">
              <w:rPr>
                <w:rFonts w:ascii="Times New Roman" w:eastAsia="Times New Roman" w:hAnsi="Times New Roman" w:cs="Times New Roman"/>
                <w:bCs/>
                <w:sz w:val="24"/>
                <w:szCs w:val="24"/>
                <w:lang w:eastAsia="pl-PL"/>
              </w:rPr>
              <w:t>Cyfrowych”). Komitet ten jest komitetem w rozumieniu </w:t>
            </w:r>
            <w:bookmarkStart w:id="637" w:name="highlightHit_76"/>
            <w:bookmarkEnd w:id="637"/>
            <w:r w:rsidRPr="00ED0C0B">
              <w:rPr>
                <w:rFonts w:ascii="Times New Roman" w:eastAsia="Times New Roman" w:hAnsi="Times New Roman" w:cs="Times New Roman"/>
                <w:bCs/>
                <w:sz w:val="24"/>
                <w:szCs w:val="24"/>
                <w:lang w:eastAsia="pl-PL"/>
              </w:rPr>
              <w:t>rozporządzenia (UE) nr 182/2011.</w:t>
            </w:r>
          </w:p>
          <w:p w14:paraId="74F7DB26"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38" w:name="mip65353411"/>
            <w:bookmarkEnd w:id="638"/>
            <w:r w:rsidRPr="00ED0C0B">
              <w:rPr>
                <w:rFonts w:ascii="Times New Roman" w:eastAsia="Times New Roman" w:hAnsi="Times New Roman" w:cs="Times New Roman"/>
                <w:bCs/>
                <w:sz w:val="24"/>
                <w:szCs w:val="24"/>
                <w:lang w:eastAsia="pl-PL"/>
              </w:rPr>
              <w:lastRenderedPageBreak/>
              <w:t>2. W przypadku odesłania do niniejszego ustępu stosuje się art. 4 </w:t>
            </w:r>
            <w:bookmarkStart w:id="639" w:name="highlightHit_77"/>
            <w:bookmarkEnd w:id="639"/>
            <w:r w:rsidRPr="00ED0C0B">
              <w:rPr>
                <w:rFonts w:ascii="Times New Roman" w:eastAsia="Times New Roman" w:hAnsi="Times New Roman" w:cs="Times New Roman"/>
                <w:bCs/>
                <w:sz w:val="24"/>
                <w:szCs w:val="24"/>
                <w:lang w:eastAsia="pl-PL"/>
              </w:rPr>
              <w:t>rozporządzenia (UE) nr 182/2011.</w:t>
            </w:r>
          </w:p>
          <w:p w14:paraId="639F243C"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B3DED22"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1BF1B4D"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B872CD1"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BCF3194"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ED0C0B" w:rsidRPr="00B03963" w14:paraId="59EAF6D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91AA984"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89 </w:t>
            </w:r>
          </w:p>
        </w:tc>
        <w:tc>
          <w:tcPr>
            <w:tcW w:w="1650" w:type="pct"/>
            <w:tcBorders>
              <w:top w:val="outset" w:sz="6" w:space="0" w:color="auto"/>
              <w:left w:val="outset" w:sz="6" w:space="0" w:color="auto"/>
              <w:bottom w:val="outset" w:sz="6" w:space="0" w:color="auto"/>
              <w:right w:val="outset" w:sz="6" w:space="0" w:color="auto"/>
            </w:tcBorders>
            <w:vAlign w:val="center"/>
          </w:tcPr>
          <w:p w14:paraId="6EE60CDC"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Uchyla się art. 12–15 dyrektywy 2000/31/WE.</w:t>
            </w:r>
          </w:p>
          <w:p w14:paraId="0A8840F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40" w:name="mip65353415"/>
            <w:bookmarkEnd w:id="640"/>
            <w:r w:rsidRPr="00ED0C0B">
              <w:rPr>
                <w:rFonts w:ascii="Times New Roman" w:eastAsia="Times New Roman" w:hAnsi="Times New Roman" w:cs="Times New Roman"/>
                <w:bCs/>
                <w:sz w:val="24"/>
                <w:szCs w:val="24"/>
                <w:lang w:eastAsia="pl-PL"/>
              </w:rPr>
              <w:t>2. Odesłania do art. 12–15 dyrektywy 2000/31/WE odczytuje się jako odesłania odpowiednio do art. 4, 5, 6 i 8 niniejszego </w:t>
            </w:r>
            <w:bookmarkStart w:id="641" w:name="highlightHit_78"/>
            <w:bookmarkEnd w:id="641"/>
            <w:r w:rsidRPr="00ED0C0B">
              <w:rPr>
                <w:rFonts w:ascii="Times New Roman" w:eastAsia="Times New Roman" w:hAnsi="Times New Roman" w:cs="Times New Roman"/>
                <w:bCs/>
                <w:sz w:val="24"/>
                <w:szCs w:val="24"/>
                <w:lang w:eastAsia="pl-PL"/>
              </w:rPr>
              <w:t>rozporządzenia.</w:t>
            </w:r>
          </w:p>
          <w:p w14:paraId="2830427B"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E7335DC" w14:textId="77777777" w:rsidR="00ED0C0B" w:rsidRPr="00F94F1E" w:rsidRDefault="003C429C"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T</w:t>
            </w:r>
          </w:p>
        </w:tc>
        <w:tc>
          <w:tcPr>
            <w:tcW w:w="300" w:type="pct"/>
            <w:tcBorders>
              <w:top w:val="outset" w:sz="6" w:space="0" w:color="auto"/>
              <w:left w:val="outset" w:sz="6" w:space="0" w:color="auto"/>
              <w:bottom w:val="outset" w:sz="6" w:space="0" w:color="auto"/>
              <w:right w:val="outset" w:sz="6" w:space="0" w:color="auto"/>
            </w:tcBorders>
            <w:vAlign w:val="center"/>
          </w:tcPr>
          <w:p w14:paraId="04E61636" w14:textId="4DF102FA" w:rsidR="00ED0C0B" w:rsidRPr="00F94F1E" w:rsidRDefault="003C429C" w:rsidP="00B03963">
            <w:pPr>
              <w:spacing w:after="0" w:line="240" w:lineRule="auto"/>
              <w:rPr>
                <w:rFonts w:ascii="Times New Roman" w:eastAsia="Times New Roman" w:hAnsi="Times New Roman" w:cs="Times New Roman"/>
                <w:sz w:val="24"/>
                <w:szCs w:val="24"/>
                <w:lang w:val="en-US" w:eastAsia="pl-PL"/>
              </w:rPr>
            </w:pPr>
            <w:r w:rsidRPr="00F94F1E">
              <w:rPr>
                <w:rFonts w:ascii="Times New Roman" w:eastAsia="Times New Roman" w:hAnsi="Times New Roman" w:cs="Times New Roman"/>
                <w:sz w:val="24"/>
                <w:szCs w:val="24"/>
                <w:lang w:val="en-US" w:eastAsia="pl-PL"/>
              </w:rPr>
              <w:t>Art. 1 pkt 1 lit a; art. 1 pkt 4</w:t>
            </w:r>
            <w:r w:rsidR="009A2F3E" w:rsidRPr="00F94F1E">
              <w:rPr>
                <w:rFonts w:ascii="Times New Roman" w:eastAsia="Times New Roman" w:hAnsi="Times New Roman" w:cs="Times New Roman"/>
                <w:sz w:val="24"/>
                <w:szCs w:val="24"/>
                <w:lang w:val="en-US" w:eastAsia="pl-PL"/>
              </w:rPr>
              <w:t>; Art. 2</w:t>
            </w:r>
          </w:p>
        </w:tc>
        <w:tc>
          <w:tcPr>
            <w:tcW w:w="866" w:type="pct"/>
            <w:tcBorders>
              <w:top w:val="outset" w:sz="6" w:space="0" w:color="auto"/>
              <w:left w:val="outset" w:sz="6" w:space="0" w:color="auto"/>
              <w:bottom w:val="outset" w:sz="6" w:space="0" w:color="auto"/>
              <w:right w:val="outset" w:sz="6" w:space="0" w:color="auto"/>
            </w:tcBorders>
            <w:vAlign w:val="center"/>
          </w:tcPr>
          <w:p w14:paraId="09EECE91" w14:textId="56A74D34" w:rsidR="003C429C" w:rsidRDefault="003C429C" w:rsidP="003C429C">
            <w:pPr>
              <w:spacing w:after="0" w:line="240" w:lineRule="auto"/>
              <w:rPr>
                <w:rFonts w:ascii="Times New Roman" w:eastAsia="Times New Roman" w:hAnsi="Times New Roman" w:cs="Times New Roman"/>
                <w:bCs/>
                <w:sz w:val="24"/>
                <w:szCs w:val="24"/>
                <w:lang w:eastAsia="pl-PL"/>
              </w:rPr>
            </w:pPr>
            <w:r w:rsidRPr="00F94F1E">
              <w:rPr>
                <w:rFonts w:ascii="Times New Roman" w:eastAsia="Times New Roman" w:hAnsi="Times New Roman" w:cs="Times New Roman"/>
                <w:bCs/>
                <w:sz w:val="24"/>
                <w:szCs w:val="24"/>
                <w:lang w:val="en-US" w:eastAsia="pl-PL"/>
              </w:rPr>
              <w:t xml:space="preserve"> </w:t>
            </w:r>
            <w:r w:rsidRPr="00F94F1E">
              <w:rPr>
                <w:rFonts w:ascii="Times New Roman" w:eastAsia="Times New Roman" w:hAnsi="Times New Roman" w:cs="Times New Roman"/>
                <w:bCs/>
                <w:sz w:val="24"/>
                <w:szCs w:val="24"/>
                <w:lang w:eastAsia="pl-PL"/>
              </w:rPr>
              <w:t>uchyla się pkt 2;</w:t>
            </w:r>
          </w:p>
          <w:p w14:paraId="6B49AC43" w14:textId="77777777" w:rsidR="00290AC8" w:rsidRPr="00F94F1E" w:rsidRDefault="00290AC8" w:rsidP="003C429C">
            <w:pPr>
              <w:spacing w:after="0" w:line="240" w:lineRule="auto"/>
              <w:rPr>
                <w:rFonts w:ascii="Times New Roman" w:eastAsia="Times New Roman" w:hAnsi="Times New Roman" w:cs="Times New Roman"/>
                <w:bCs/>
                <w:sz w:val="24"/>
                <w:szCs w:val="24"/>
                <w:lang w:eastAsia="pl-PL"/>
              </w:rPr>
            </w:pPr>
          </w:p>
          <w:p w14:paraId="297745F4" w14:textId="320BFD79" w:rsidR="003C429C" w:rsidRDefault="003C429C" w:rsidP="003C429C">
            <w:pPr>
              <w:spacing w:after="0" w:line="240" w:lineRule="auto"/>
              <w:rPr>
                <w:rFonts w:ascii="Times New Roman" w:eastAsia="Times New Roman" w:hAnsi="Times New Roman" w:cs="Times New Roman"/>
                <w:bCs/>
                <w:sz w:val="24"/>
                <w:szCs w:val="24"/>
                <w:lang w:eastAsia="pl-PL"/>
              </w:rPr>
            </w:pPr>
            <w:r w:rsidRPr="00F94F1E">
              <w:rPr>
                <w:rFonts w:ascii="Times New Roman" w:eastAsia="Times New Roman" w:hAnsi="Times New Roman" w:cs="Times New Roman"/>
                <w:bCs/>
                <w:sz w:val="24"/>
                <w:szCs w:val="24"/>
                <w:lang w:eastAsia="pl-PL"/>
              </w:rPr>
              <w:t>uchyla się rozdział 3;</w:t>
            </w:r>
          </w:p>
          <w:p w14:paraId="1107DDD5" w14:textId="77777777" w:rsidR="00290AC8" w:rsidRPr="00F94F1E" w:rsidRDefault="00290AC8" w:rsidP="003C429C">
            <w:pPr>
              <w:spacing w:after="0" w:line="240" w:lineRule="auto"/>
              <w:rPr>
                <w:rFonts w:ascii="Times New Roman" w:eastAsia="Times New Roman" w:hAnsi="Times New Roman" w:cs="Times New Roman"/>
                <w:bCs/>
                <w:sz w:val="24"/>
                <w:szCs w:val="24"/>
                <w:lang w:eastAsia="pl-PL"/>
              </w:rPr>
            </w:pPr>
          </w:p>
          <w:p w14:paraId="617BCA9F" w14:textId="77777777" w:rsidR="00290AC8" w:rsidRPr="00290AC8" w:rsidRDefault="00290AC8" w:rsidP="00290AC8">
            <w:pPr>
              <w:spacing w:after="0" w:line="240" w:lineRule="auto"/>
              <w:rPr>
                <w:rFonts w:ascii="Times New Roman" w:eastAsia="Times New Roman" w:hAnsi="Times New Roman" w:cs="Times New Roman"/>
                <w:sz w:val="24"/>
                <w:szCs w:val="24"/>
                <w:lang w:eastAsia="pl-PL"/>
              </w:rPr>
            </w:pPr>
            <w:r w:rsidRPr="00290AC8">
              <w:rPr>
                <w:rFonts w:ascii="Times New Roman" w:eastAsia="Times New Roman" w:hAnsi="Times New Roman" w:cs="Times New Roman"/>
                <w:sz w:val="24"/>
                <w:szCs w:val="24"/>
                <w:lang w:eastAsia="pl-PL"/>
              </w:rPr>
              <w:t>W ustawie z dnia 30 czerwca 2000 r. – Prawo własności przemysłowej (Dz. U. z 2023 r. poz. 1170) w art. 296 w ust. 3 zdanie drugie otrzymuje brzmienie:</w:t>
            </w:r>
          </w:p>
          <w:p w14:paraId="220C8D3B" w14:textId="0F2A6518" w:rsidR="00ED0C0B" w:rsidRPr="00F94F1E" w:rsidRDefault="00290AC8" w:rsidP="00290AC8">
            <w:pPr>
              <w:spacing w:after="0" w:line="240" w:lineRule="auto"/>
              <w:rPr>
                <w:rFonts w:ascii="Times New Roman" w:eastAsia="Times New Roman" w:hAnsi="Times New Roman" w:cs="Times New Roman"/>
                <w:sz w:val="24"/>
                <w:szCs w:val="24"/>
                <w:lang w:eastAsia="pl-PL"/>
              </w:rPr>
            </w:pPr>
            <w:r w:rsidRPr="00290AC8">
              <w:rPr>
                <w:rFonts w:ascii="Times New Roman" w:eastAsia="Times New Roman" w:hAnsi="Times New Roman" w:cs="Times New Roman"/>
                <w:sz w:val="24"/>
                <w:szCs w:val="24"/>
                <w:lang w:eastAsia="pl-PL"/>
              </w:rPr>
              <w:t xml:space="preserve">„Przepisu nie stosuje się do osoby, której odpowiedzialność jest wyłączona na podstawie art. 4-8 rozporządzenia Parlamentu Europejskiego i Rady (UE) 2022/2065 z dnia 19 października 2022 r. w sprawie jednolitego rynku usług cyfrowych oraz zmiany dyrektywy 2000/31/WE (akt o usługach cyfrowych) </w:t>
            </w:r>
            <w:r w:rsidRPr="00290AC8">
              <w:rPr>
                <w:rFonts w:ascii="Times New Roman" w:eastAsia="Times New Roman" w:hAnsi="Times New Roman" w:cs="Times New Roman"/>
                <w:sz w:val="24"/>
                <w:szCs w:val="24"/>
                <w:lang w:eastAsia="pl-PL"/>
              </w:rPr>
              <w:lastRenderedPageBreak/>
              <w:t>(Dz. Urz. UE L 277 z 27.10.2022 r. str. 1).”.</w:t>
            </w:r>
          </w:p>
        </w:tc>
        <w:tc>
          <w:tcPr>
            <w:tcW w:w="817" w:type="pct"/>
            <w:tcBorders>
              <w:top w:val="outset" w:sz="6" w:space="0" w:color="auto"/>
              <w:left w:val="outset" w:sz="6" w:space="0" w:color="auto"/>
              <w:bottom w:val="outset" w:sz="6" w:space="0" w:color="auto"/>
              <w:right w:val="outset" w:sz="6" w:space="0" w:color="auto"/>
            </w:tcBorders>
            <w:vAlign w:val="center"/>
          </w:tcPr>
          <w:p w14:paraId="5692D464" w14:textId="77777777" w:rsidR="00ED0C0B" w:rsidRPr="00F94F1E" w:rsidRDefault="003C429C"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Uchylenie przepisów implementujących uchylane przepisy dyrektywy</w:t>
            </w:r>
          </w:p>
        </w:tc>
      </w:tr>
      <w:tr w:rsidR="00ED0C0B" w:rsidRPr="00B03963" w14:paraId="176D809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60D63C3"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90</w:t>
            </w:r>
          </w:p>
        </w:tc>
        <w:tc>
          <w:tcPr>
            <w:tcW w:w="1650" w:type="pct"/>
            <w:tcBorders>
              <w:top w:val="outset" w:sz="6" w:space="0" w:color="auto"/>
              <w:left w:val="outset" w:sz="6" w:space="0" w:color="auto"/>
              <w:bottom w:val="outset" w:sz="6" w:space="0" w:color="auto"/>
              <w:right w:val="outset" w:sz="6" w:space="0" w:color="auto"/>
            </w:tcBorders>
            <w:vAlign w:val="center"/>
          </w:tcPr>
          <w:p w14:paraId="6AB903C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W załączniku I do dyrektywy (UE) 2020/1828 dodaje się punkt w brzmieniu:</w:t>
            </w:r>
          </w:p>
          <w:p w14:paraId="56D21419"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t>
            </w:r>
            <w:r w:rsidR="00ED0C0B" w:rsidRPr="00ED0C0B">
              <w:rPr>
                <w:rFonts w:ascii="Times New Roman" w:eastAsia="Times New Roman" w:hAnsi="Times New Roman" w:cs="Times New Roman"/>
                <w:bCs/>
                <w:sz w:val="24"/>
                <w:szCs w:val="24"/>
                <w:lang w:eastAsia="pl-PL"/>
              </w:rPr>
              <w:t>68)</w:t>
            </w:r>
          </w:p>
          <w:p w14:paraId="5459EF21"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42" w:name="highlightHit_79"/>
            <w:bookmarkEnd w:id="642"/>
            <w:r w:rsidRPr="00ED0C0B">
              <w:rPr>
                <w:rFonts w:ascii="Times New Roman" w:eastAsia="Times New Roman" w:hAnsi="Times New Roman" w:cs="Times New Roman"/>
                <w:bCs/>
                <w:sz w:val="24"/>
                <w:szCs w:val="24"/>
                <w:lang w:eastAsia="pl-PL"/>
              </w:rPr>
              <w:t>Rozporządzenie Parlamentu Europejskiego i Rady (UE) 2022/2065 z dnia 19 października 2022 r. w sprawie jednolitego rynku </w:t>
            </w:r>
            <w:bookmarkStart w:id="643" w:name="highlightHit_80"/>
            <w:bookmarkEnd w:id="643"/>
            <w:r w:rsidRPr="00ED0C0B">
              <w:rPr>
                <w:rFonts w:ascii="Times New Roman" w:eastAsia="Times New Roman" w:hAnsi="Times New Roman" w:cs="Times New Roman"/>
                <w:bCs/>
                <w:sz w:val="24"/>
                <w:szCs w:val="24"/>
                <w:lang w:eastAsia="pl-PL"/>
              </w:rPr>
              <w:t>usług </w:t>
            </w:r>
            <w:bookmarkStart w:id="644" w:name="highlightHit_81"/>
            <w:bookmarkEnd w:id="644"/>
            <w:r w:rsidRPr="00ED0C0B">
              <w:rPr>
                <w:rFonts w:ascii="Times New Roman" w:eastAsia="Times New Roman" w:hAnsi="Times New Roman" w:cs="Times New Roman"/>
                <w:bCs/>
                <w:sz w:val="24"/>
                <w:szCs w:val="24"/>
                <w:lang w:eastAsia="pl-PL"/>
              </w:rPr>
              <w:t>cyfrowych oraz zmiany dyrektywy 2000/31/WE (</w:t>
            </w:r>
            <w:bookmarkStart w:id="645" w:name="highlightHit_82"/>
            <w:bookmarkEnd w:id="645"/>
            <w:r w:rsidRPr="00ED0C0B">
              <w:rPr>
                <w:rFonts w:ascii="Times New Roman" w:eastAsia="Times New Roman" w:hAnsi="Times New Roman" w:cs="Times New Roman"/>
                <w:bCs/>
                <w:sz w:val="24"/>
                <w:szCs w:val="24"/>
                <w:lang w:eastAsia="pl-PL"/>
              </w:rPr>
              <w:t>akt </w:t>
            </w:r>
            <w:bookmarkStart w:id="646" w:name="highlightHit_83"/>
            <w:bookmarkEnd w:id="646"/>
            <w:r w:rsidRPr="00ED0C0B">
              <w:rPr>
                <w:rFonts w:ascii="Times New Roman" w:eastAsia="Times New Roman" w:hAnsi="Times New Roman" w:cs="Times New Roman"/>
                <w:bCs/>
                <w:sz w:val="24"/>
                <w:szCs w:val="24"/>
                <w:lang w:eastAsia="pl-PL"/>
              </w:rPr>
              <w:t>o </w:t>
            </w:r>
            <w:bookmarkStart w:id="647" w:name="highlightHit_84"/>
            <w:bookmarkEnd w:id="647"/>
            <w:r w:rsidRPr="00ED0C0B">
              <w:rPr>
                <w:rFonts w:ascii="Times New Roman" w:eastAsia="Times New Roman" w:hAnsi="Times New Roman" w:cs="Times New Roman"/>
                <w:bCs/>
                <w:sz w:val="24"/>
                <w:szCs w:val="24"/>
                <w:lang w:eastAsia="pl-PL"/>
              </w:rPr>
              <w:t>usługach </w:t>
            </w:r>
            <w:bookmarkStart w:id="648" w:name="highlightHit_85"/>
            <w:bookmarkEnd w:id="648"/>
            <w:r w:rsidRPr="00ED0C0B">
              <w:rPr>
                <w:rFonts w:ascii="Times New Roman" w:eastAsia="Times New Roman" w:hAnsi="Times New Roman" w:cs="Times New Roman"/>
                <w:bCs/>
                <w:sz w:val="24"/>
                <w:szCs w:val="24"/>
                <w:lang w:eastAsia="pl-PL"/>
              </w:rPr>
              <w:t>cyfrowych) (Dz.U. L 277 z 27.10.2022, s. 1).";</w:t>
            </w:r>
          </w:p>
          <w:p w14:paraId="19379BFC"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567C19B"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87B0D7B"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3C10E0A"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0444DE7"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6528C29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EA18DC"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91</w:t>
            </w:r>
          </w:p>
        </w:tc>
        <w:tc>
          <w:tcPr>
            <w:tcW w:w="1650" w:type="pct"/>
            <w:tcBorders>
              <w:top w:val="outset" w:sz="6" w:space="0" w:color="auto"/>
              <w:left w:val="outset" w:sz="6" w:space="0" w:color="auto"/>
              <w:bottom w:val="outset" w:sz="6" w:space="0" w:color="auto"/>
              <w:right w:val="outset" w:sz="6" w:space="0" w:color="auto"/>
            </w:tcBorders>
            <w:vAlign w:val="center"/>
          </w:tcPr>
          <w:p w14:paraId="55C89620"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Do dnia 18 lutego 2027 r. Komisja przeprowadza ocenę i przedkłada Parlamentowi Europejskiemu, Radzie i Europejskiemu Komitetowi Ekonomiczno-Społecznemu sprawozdanie dotyczące potencjalnego wpływu niniejszego </w:t>
            </w:r>
            <w:bookmarkStart w:id="649" w:name="highlightHit_86"/>
            <w:bookmarkEnd w:id="649"/>
            <w:r w:rsidRPr="00ED0C0B">
              <w:rPr>
                <w:rFonts w:ascii="Times New Roman" w:eastAsia="Times New Roman" w:hAnsi="Times New Roman" w:cs="Times New Roman"/>
                <w:bCs/>
                <w:sz w:val="24"/>
                <w:szCs w:val="24"/>
                <w:lang w:eastAsia="pl-PL"/>
              </w:rPr>
              <w:t>rozporządzenia na rozwój i wzrost gospodarczy małych i średnich przedsiębiorstw.</w:t>
            </w:r>
          </w:p>
          <w:p w14:paraId="0B341A2D"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Do dnia 17 listopada 2025 r. Komisja przeprowadza ocenę i przedkłada Parlamentowi Europejskiemu, Radzie i Europejskiemu Komitetowi Ekonomiczno-Społecznemu sprawozdanie dotyczące:</w:t>
            </w:r>
          </w:p>
          <w:p w14:paraId="68DCEDF0"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50" w:name="mip65353420"/>
            <w:bookmarkEnd w:id="650"/>
            <w:r>
              <w:rPr>
                <w:rFonts w:ascii="Times New Roman" w:eastAsia="Times New Roman" w:hAnsi="Times New Roman" w:cs="Times New Roman"/>
                <w:bCs/>
                <w:sz w:val="24"/>
                <w:szCs w:val="24"/>
                <w:lang w:eastAsia="pl-PL"/>
              </w:rPr>
              <w:t xml:space="preserve">a) </w:t>
            </w:r>
            <w:r w:rsidR="00ED0C0B" w:rsidRPr="00ED0C0B">
              <w:rPr>
                <w:rFonts w:ascii="Times New Roman" w:eastAsia="Times New Roman" w:hAnsi="Times New Roman" w:cs="Times New Roman"/>
                <w:bCs/>
                <w:sz w:val="24"/>
                <w:szCs w:val="24"/>
                <w:lang w:eastAsia="pl-PL"/>
              </w:rPr>
              <w:t>stosowania art. 33, w tym zakresu dostawców </w:t>
            </w:r>
            <w:bookmarkStart w:id="651" w:name="highlightHit_87"/>
            <w:bookmarkEnd w:id="651"/>
            <w:r w:rsidR="00ED0C0B" w:rsidRPr="00ED0C0B">
              <w:rPr>
                <w:rFonts w:ascii="Times New Roman" w:eastAsia="Times New Roman" w:hAnsi="Times New Roman" w:cs="Times New Roman"/>
                <w:bCs/>
                <w:sz w:val="24"/>
                <w:szCs w:val="24"/>
                <w:lang w:eastAsia="pl-PL"/>
              </w:rPr>
              <w:t>usług pośrednich objętych obowiązkami określonymi w rozdziale III sekcja 5 niniejszego </w:t>
            </w:r>
            <w:bookmarkStart w:id="652" w:name="highlightHit_88"/>
            <w:bookmarkEnd w:id="652"/>
            <w:r w:rsidR="00ED0C0B" w:rsidRPr="00ED0C0B">
              <w:rPr>
                <w:rFonts w:ascii="Times New Roman" w:eastAsia="Times New Roman" w:hAnsi="Times New Roman" w:cs="Times New Roman"/>
                <w:bCs/>
                <w:sz w:val="24"/>
                <w:szCs w:val="24"/>
                <w:lang w:eastAsia="pl-PL"/>
              </w:rPr>
              <w:t>rozporządzenia;</w:t>
            </w:r>
          </w:p>
          <w:p w14:paraId="7EA0F5DD"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53" w:name="mip65353421"/>
            <w:bookmarkEnd w:id="653"/>
            <w:r>
              <w:rPr>
                <w:rFonts w:ascii="Times New Roman" w:eastAsia="Times New Roman" w:hAnsi="Times New Roman" w:cs="Times New Roman"/>
                <w:bCs/>
                <w:sz w:val="24"/>
                <w:szCs w:val="24"/>
                <w:lang w:eastAsia="pl-PL"/>
              </w:rPr>
              <w:t xml:space="preserve">b) </w:t>
            </w:r>
            <w:r w:rsidR="00ED0C0B" w:rsidRPr="00ED0C0B">
              <w:rPr>
                <w:rFonts w:ascii="Times New Roman" w:eastAsia="Times New Roman" w:hAnsi="Times New Roman" w:cs="Times New Roman"/>
                <w:bCs/>
                <w:sz w:val="24"/>
                <w:szCs w:val="24"/>
                <w:lang w:eastAsia="pl-PL"/>
              </w:rPr>
              <w:t>relacji zachodzących między niniejszym </w:t>
            </w:r>
            <w:bookmarkStart w:id="654" w:name="highlightHit_89"/>
            <w:bookmarkEnd w:id="654"/>
            <w:r w:rsidR="00ED0C0B" w:rsidRPr="00ED0C0B">
              <w:rPr>
                <w:rFonts w:ascii="Times New Roman" w:eastAsia="Times New Roman" w:hAnsi="Times New Roman" w:cs="Times New Roman"/>
                <w:bCs/>
                <w:sz w:val="24"/>
                <w:szCs w:val="24"/>
                <w:lang w:eastAsia="pl-PL"/>
              </w:rPr>
              <w:t>rozporządzeniem i innymi </w:t>
            </w:r>
            <w:bookmarkStart w:id="655" w:name="highlightHit_90"/>
            <w:bookmarkEnd w:id="655"/>
            <w:r w:rsidR="00ED0C0B" w:rsidRPr="00ED0C0B">
              <w:rPr>
                <w:rFonts w:ascii="Times New Roman" w:eastAsia="Times New Roman" w:hAnsi="Times New Roman" w:cs="Times New Roman"/>
                <w:bCs/>
                <w:sz w:val="24"/>
                <w:szCs w:val="24"/>
                <w:lang w:eastAsia="pl-PL"/>
              </w:rPr>
              <w:t>aktami prawnymi, w szczególności </w:t>
            </w:r>
            <w:bookmarkStart w:id="656" w:name="highlightHit_91"/>
            <w:bookmarkEnd w:id="656"/>
            <w:r w:rsidR="00ED0C0B" w:rsidRPr="00ED0C0B">
              <w:rPr>
                <w:rFonts w:ascii="Times New Roman" w:eastAsia="Times New Roman" w:hAnsi="Times New Roman" w:cs="Times New Roman"/>
                <w:bCs/>
                <w:sz w:val="24"/>
                <w:szCs w:val="24"/>
                <w:lang w:eastAsia="pl-PL"/>
              </w:rPr>
              <w:t>aktami, </w:t>
            </w:r>
            <w:bookmarkStart w:id="657" w:name="highlightHit_92"/>
            <w:bookmarkEnd w:id="657"/>
            <w:r w:rsidR="00ED0C0B" w:rsidRPr="00ED0C0B">
              <w:rPr>
                <w:rFonts w:ascii="Times New Roman" w:eastAsia="Times New Roman" w:hAnsi="Times New Roman" w:cs="Times New Roman"/>
                <w:bCs/>
                <w:sz w:val="24"/>
                <w:szCs w:val="24"/>
                <w:lang w:eastAsia="pl-PL"/>
              </w:rPr>
              <w:t>o których mowa w art. 2 ust. 3 i 4.</w:t>
            </w:r>
          </w:p>
          <w:p w14:paraId="00050BC9"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58" w:name="mip65353422"/>
            <w:bookmarkEnd w:id="658"/>
            <w:r w:rsidRPr="00ED0C0B">
              <w:rPr>
                <w:rFonts w:ascii="Times New Roman" w:eastAsia="Times New Roman" w:hAnsi="Times New Roman" w:cs="Times New Roman"/>
                <w:bCs/>
                <w:sz w:val="24"/>
                <w:szCs w:val="24"/>
                <w:lang w:eastAsia="pl-PL"/>
              </w:rPr>
              <w:t xml:space="preserve">2. Do dnia 17 listopada 2027 r., a następnie co pięć lat, Komisja przeprowadza ocenę </w:t>
            </w:r>
            <w:r w:rsidRPr="00ED0C0B">
              <w:rPr>
                <w:rFonts w:ascii="Times New Roman" w:eastAsia="Times New Roman" w:hAnsi="Times New Roman" w:cs="Times New Roman"/>
                <w:bCs/>
                <w:sz w:val="24"/>
                <w:szCs w:val="24"/>
                <w:lang w:eastAsia="pl-PL"/>
              </w:rPr>
              <w:lastRenderedPageBreak/>
              <w:t>niniejszego </w:t>
            </w:r>
            <w:bookmarkStart w:id="659" w:name="highlightHit_93"/>
            <w:bookmarkEnd w:id="659"/>
            <w:r w:rsidRPr="00ED0C0B">
              <w:rPr>
                <w:rFonts w:ascii="Times New Roman" w:eastAsia="Times New Roman" w:hAnsi="Times New Roman" w:cs="Times New Roman"/>
                <w:bCs/>
                <w:sz w:val="24"/>
                <w:szCs w:val="24"/>
                <w:lang w:eastAsia="pl-PL"/>
              </w:rPr>
              <w:t>rozporządzenia i przedkłada sprawozdanie Parlamentowi Europejskiemu, Radzie i Europejskiemu Komitetowi Ekonomiczno-Społecznemu.</w:t>
            </w:r>
          </w:p>
          <w:p w14:paraId="5CA1D21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Sprawozdanie to dotyczy w szczególności:</w:t>
            </w:r>
          </w:p>
          <w:p w14:paraId="4705C5C6"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0" w:name="mip65353424"/>
            <w:bookmarkEnd w:id="660"/>
            <w:r>
              <w:rPr>
                <w:rFonts w:ascii="Times New Roman" w:eastAsia="Times New Roman" w:hAnsi="Times New Roman" w:cs="Times New Roman"/>
                <w:bCs/>
                <w:sz w:val="24"/>
                <w:szCs w:val="24"/>
                <w:lang w:eastAsia="pl-PL"/>
              </w:rPr>
              <w:t xml:space="preserve">a) </w:t>
            </w:r>
            <w:r w:rsidR="00ED0C0B" w:rsidRPr="00ED0C0B">
              <w:rPr>
                <w:rFonts w:ascii="Times New Roman" w:eastAsia="Times New Roman" w:hAnsi="Times New Roman" w:cs="Times New Roman"/>
                <w:bCs/>
                <w:sz w:val="24"/>
                <w:szCs w:val="24"/>
                <w:lang w:eastAsia="pl-PL"/>
              </w:rPr>
              <w:t>stosowania ust. 1 akapit drugi lit. a) i b);</w:t>
            </w:r>
          </w:p>
          <w:p w14:paraId="43812993"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1" w:name="mip65353425"/>
            <w:bookmarkEnd w:id="661"/>
            <w:r>
              <w:rPr>
                <w:rFonts w:ascii="Times New Roman" w:eastAsia="Times New Roman" w:hAnsi="Times New Roman" w:cs="Times New Roman"/>
                <w:bCs/>
                <w:sz w:val="24"/>
                <w:szCs w:val="24"/>
                <w:lang w:eastAsia="pl-PL"/>
              </w:rPr>
              <w:t>b)</w:t>
            </w:r>
            <w:r w:rsidR="00ED0C0B" w:rsidRPr="00ED0C0B">
              <w:rPr>
                <w:rFonts w:ascii="Times New Roman" w:eastAsia="Times New Roman" w:hAnsi="Times New Roman" w:cs="Times New Roman"/>
                <w:bCs/>
                <w:sz w:val="24"/>
                <w:szCs w:val="24"/>
                <w:lang w:eastAsia="pl-PL"/>
              </w:rPr>
              <w:t> wkładu niniejszego </w:t>
            </w:r>
            <w:bookmarkStart w:id="662" w:name="highlightHit_94"/>
            <w:bookmarkEnd w:id="662"/>
            <w:r w:rsidR="00ED0C0B" w:rsidRPr="00ED0C0B">
              <w:rPr>
                <w:rFonts w:ascii="Times New Roman" w:eastAsia="Times New Roman" w:hAnsi="Times New Roman" w:cs="Times New Roman"/>
                <w:bCs/>
                <w:sz w:val="24"/>
                <w:szCs w:val="24"/>
                <w:lang w:eastAsia="pl-PL"/>
              </w:rPr>
              <w:t>rozporządzenia w pogłębianie i skuteczne funkcjonowanie rynku wewnętrznego </w:t>
            </w:r>
            <w:bookmarkStart w:id="663" w:name="highlightHit_95"/>
            <w:bookmarkEnd w:id="663"/>
            <w:r w:rsidR="00ED0C0B" w:rsidRPr="00ED0C0B">
              <w:rPr>
                <w:rFonts w:ascii="Times New Roman" w:eastAsia="Times New Roman" w:hAnsi="Times New Roman" w:cs="Times New Roman"/>
                <w:bCs/>
                <w:sz w:val="24"/>
                <w:szCs w:val="24"/>
                <w:lang w:eastAsia="pl-PL"/>
              </w:rPr>
              <w:t>usług pośrednich, w szczególności w odniesieniu do transgranicznego świadczenia </w:t>
            </w:r>
            <w:bookmarkStart w:id="664" w:name="highlightHit_96"/>
            <w:bookmarkEnd w:id="664"/>
            <w:r w:rsidR="00ED0C0B" w:rsidRPr="00ED0C0B">
              <w:rPr>
                <w:rFonts w:ascii="Times New Roman" w:eastAsia="Times New Roman" w:hAnsi="Times New Roman" w:cs="Times New Roman"/>
                <w:bCs/>
                <w:sz w:val="24"/>
                <w:szCs w:val="24"/>
                <w:lang w:eastAsia="pl-PL"/>
              </w:rPr>
              <w:t>usług </w:t>
            </w:r>
            <w:bookmarkStart w:id="665" w:name="highlightHit_97"/>
            <w:bookmarkEnd w:id="665"/>
            <w:r w:rsidR="00ED0C0B" w:rsidRPr="00ED0C0B">
              <w:rPr>
                <w:rFonts w:ascii="Times New Roman" w:eastAsia="Times New Roman" w:hAnsi="Times New Roman" w:cs="Times New Roman"/>
                <w:bCs/>
                <w:sz w:val="24"/>
                <w:szCs w:val="24"/>
                <w:lang w:eastAsia="pl-PL"/>
              </w:rPr>
              <w:t>cyfrowych;</w:t>
            </w:r>
          </w:p>
          <w:p w14:paraId="4D24D4C7"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6" w:name="mip65353426"/>
            <w:bookmarkEnd w:id="666"/>
            <w:r>
              <w:rPr>
                <w:rFonts w:ascii="Times New Roman" w:eastAsia="Times New Roman" w:hAnsi="Times New Roman" w:cs="Times New Roman"/>
                <w:bCs/>
                <w:sz w:val="24"/>
                <w:szCs w:val="24"/>
                <w:lang w:eastAsia="pl-PL"/>
              </w:rPr>
              <w:t>c)</w:t>
            </w:r>
            <w:r w:rsidR="00ED0C0B" w:rsidRPr="00ED0C0B">
              <w:rPr>
                <w:rFonts w:ascii="Times New Roman" w:eastAsia="Times New Roman" w:hAnsi="Times New Roman" w:cs="Times New Roman"/>
                <w:bCs/>
                <w:sz w:val="24"/>
                <w:szCs w:val="24"/>
                <w:lang w:eastAsia="pl-PL"/>
              </w:rPr>
              <w:t> stosowania art. 13, 16, 20, 21, 45 i 46;</w:t>
            </w:r>
          </w:p>
          <w:p w14:paraId="1903B11C"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7" w:name="mip65353427"/>
            <w:bookmarkEnd w:id="667"/>
            <w:r>
              <w:rPr>
                <w:rFonts w:ascii="Times New Roman" w:eastAsia="Times New Roman" w:hAnsi="Times New Roman" w:cs="Times New Roman"/>
                <w:bCs/>
                <w:sz w:val="24"/>
                <w:szCs w:val="24"/>
                <w:lang w:eastAsia="pl-PL"/>
              </w:rPr>
              <w:t xml:space="preserve">d) </w:t>
            </w:r>
            <w:r w:rsidR="00ED0C0B" w:rsidRPr="00ED0C0B">
              <w:rPr>
                <w:rFonts w:ascii="Times New Roman" w:eastAsia="Times New Roman" w:hAnsi="Times New Roman" w:cs="Times New Roman"/>
                <w:bCs/>
                <w:sz w:val="24"/>
                <w:szCs w:val="24"/>
                <w:lang w:eastAsia="pl-PL"/>
              </w:rPr>
              <w:t>zakresu obowiązków spoczywających na małych przedsiębiorstwach i mikroprzedsiębiorstwach;</w:t>
            </w:r>
          </w:p>
          <w:p w14:paraId="3DAE3858"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8" w:name="mip65353428"/>
            <w:bookmarkEnd w:id="668"/>
            <w:r>
              <w:rPr>
                <w:rFonts w:ascii="Times New Roman" w:eastAsia="Times New Roman" w:hAnsi="Times New Roman" w:cs="Times New Roman"/>
                <w:bCs/>
                <w:sz w:val="24"/>
                <w:szCs w:val="24"/>
                <w:lang w:eastAsia="pl-PL"/>
              </w:rPr>
              <w:t>e)</w:t>
            </w:r>
            <w:r w:rsidR="00ED0C0B" w:rsidRPr="00ED0C0B">
              <w:rPr>
                <w:rFonts w:ascii="Times New Roman" w:eastAsia="Times New Roman" w:hAnsi="Times New Roman" w:cs="Times New Roman"/>
                <w:bCs/>
                <w:sz w:val="24"/>
                <w:szCs w:val="24"/>
                <w:lang w:eastAsia="pl-PL"/>
              </w:rPr>
              <w:t> skuteczności mechanizmów nadzoru i egzekwowania;</w:t>
            </w:r>
          </w:p>
          <w:p w14:paraId="5FB45225"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9" w:name="mip65353429"/>
            <w:bookmarkEnd w:id="669"/>
            <w:r>
              <w:rPr>
                <w:rFonts w:ascii="Times New Roman" w:eastAsia="Times New Roman" w:hAnsi="Times New Roman" w:cs="Times New Roman"/>
                <w:bCs/>
                <w:sz w:val="24"/>
                <w:szCs w:val="24"/>
                <w:lang w:eastAsia="pl-PL"/>
              </w:rPr>
              <w:t xml:space="preserve">f) </w:t>
            </w:r>
            <w:r w:rsidR="00ED0C0B" w:rsidRPr="00ED0C0B">
              <w:rPr>
                <w:rFonts w:ascii="Times New Roman" w:eastAsia="Times New Roman" w:hAnsi="Times New Roman" w:cs="Times New Roman"/>
                <w:bCs/>
                <w:sz w:val="24"/>
                <w:szCs w:val="24"/>
                <w:lang w:eastAsia="pl-PL"/>
              </w:rPr>
              <w:t>wpływu na poszanowanie prawa do wolności wypowiedzi i informacji.</w:t>
            </w:r>
          </w:p>
          <w:p w14:paraId="23C04EE7"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0" w:name="mip65353430"/>
            <w:bookmarkEnd w:id="670"/>
            <w:r w:rsidRPr="00ED0C0B">
              <w:rPr>
                <w:rFonts w:ascii="Times New Roman" w:eastAsia="Times New Roman" w:hAnsi="Times New Roman" w:cs="Times New Roman"/>
                <w:bCs/>
                <w:sz w:val="24"/>
                <w:szCs w:val="24"/>
                <w:lang w:eastAsia="pl-PL"/>
              </w:rPr>
              <w:t>3. W stosownych przypadkach do sprawozdania, o którym mowa w ust. 1 i 2, dołącza się wniosek w sprawie zmiany niniejszego rozporządzenia.</w:t>
            </w:r>
          </w:p>
          <w:p w14:paraId="239FB841"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1" w:name="mip65353431"/>
            <w:bookmarkEnd w:id="671"/>
            <w:r w:rsidRPr="00ED0C0B">
              <w:rPr>
                <w:rFonts w:ascii="Times New Roman" w:eastAsia="Times New Roman" w:hAnsi="Times New Roman" w:cs="Times New Roman"/>
                <w:bCs/>
                <w:sz w:val="24"/>
                <w:szCs w:val="24"/>
                <w:lang w:eastAsia="pl-PL"/>
              </w:rPr>
              <w:t>4. W sprawozdaniu, o którym mowa w ust. 2 niniejszego artykułu, Komisja dokonuje również oceny sprawozdań rocznych z działalności koordynatorów ds. usług cyfrowych przekazywanych Komisji i Radzie Usług Cyfrowych zgodnie z art. 55 ust. 1 oraz przedstawia sprawozdania na ten temat.</w:t>
            </w:r>
          </w:p>
          <w:p w14:paraId="416C6244"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2" w:name="mip65353432"/>
            <w:bookmarkEnd w:id="672"/>
            <w:r w:rsidRPr="00ED0C0B">
              <w:rPr>
                <w:rFonts w:ascii="Times New Roman" w:eastAsia="Times New Roman" w:hAnsi="Times New Roman" w:cs="Times New Roman"/>
                <w:bCs/>
                <w:sz w:val="24"/>
                <w:szCs w:val="24"/>
                <w:lang w:eastAsia="pl-PL"/>
              </w:rPr>
              <w:t>5. Na potrzeby ust. 2 państwa członkowskie i Rada Usług Cyfrowych przekazują informacje na wniosek Komisji.</w:t>
            </w:r>
          </w:p>
          <w:p w14:paraId="76029D9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3" w:name="mip65353433"/>
            <w:bookmarkEnd w:id="673"/>
            <w:r w:rsidRPr="00ED0C0B">
              <w:rPr>
                <w:rFonts w:ascii="Times New Roman" w:eastAsia="Times New Roman" w:hAnsi="Times New Roman" w:cs="Times New Roman"/>
                <w:bCs/>
                <w:sz w:val="24"/>
                <w:szCs w:val="24"/>
                <w:lang w:eastAsia="pl-PL"/>
              </w:rPr>
              <w:t xml:space="preserve">6. Dokonując ocen, o których mowa w ust. 2, Komisja uwzględnia stanowiska i ustalenia Parlamentu Europejskiego, Rady oraz innych stosownych </w:t>
            </w:r>
            <w:r w:rsidRPr="00ED0C0B">
              <w:rPr>
                <w:rFonts w:ascii="Times New Roman" w:eastAsia="Times New Roman" w:hAnsi="Times New Roman" w:cs="Times New Roman"/>
                <w:bCs/>
                <w:sz w:val="24"/>
                <w:szCs w:val="24"/>
                <w:lang w:eastAsia="pl-PL"/>
              </w:rPr>
              <w:lastRenderedPageBreak/>
              <w:t>podmiotów lub źródeł i zwraca szczególną uwagę na małe i średnie przedsiębiorstwa oraz na pozycję nowych konkurentów.</w:t>
            </w:r>
          </w:p>
          <w:p w14:paraId="5D63E63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4" w:name="mip65353434"/>
            <w:bookmarkEnd w:id="674"/>
            <w:r w:rsidRPr="00ED0C0B">
              <w:rPr>
                <w:rFonts w:ascii="Times New Roman" w:eastAsia="Times New Roman" w:hAnsi="Times New Roman" w:cs="Times New Roman"/>
                <w:bCs/>
                <w:sz w:val="24"/>
                <w:szCs w:val="24"/>
                <w:lang w:eastAsia="pl-PL"/>
              </w:rPr>
              <w:t>7. Do dnia 18 lutego 2027 r. Komisja, po konsultacji z Radą Usług Cyfrowych, przeprowadza ocenę jej funkcjonowania i stosowania art. 43 oraz przedkłada sprawozdanie z tej oceny Parlamentowi Europejskiemu, Radzie i Europejskiemu Komitetowi Ekonomiczno-Społecznemu, uwzględniając pierwsze lata stosowania niniejszego rozporządzenia. Na podstawie tych ustaleń i z należytym uwzględnieniem opinii Rady Usług Cyfrowych temu sprawozdaniu w stosownych przypadkach towarzyszy wniosek dotyczący zmiany niniejszego rozporządzenia w odniesieniu do struktury Rady Usług Cyfrowych.</w:t>
            </w:r>
          </w:p>
          <w:p w14:paraId="5C82E541"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4A1C755"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D68BDC0"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6445F97"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81412F9"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089C6FF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7BEA094"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92</w:t>
            </w:r>
          </w:p>
        </w:tc>
        <w:tc>
          <w:tcPr>
            <w:tcW w:w="1650" w:type="pct"/>
            <w:tcBorders>
              <w:top w:val="outset" w:sz="6" w:space="0" w:color="auto"/>
              <w:left w:val="outset" w:sz="6" w:space="0" w:color="auto"/>
              <w:bottom w:val="outset" w:sz="6" w:space="0" w:color="auto"/>
              <w:right w:val="outset" w:sz="6" w:space="0" w:color="auto"/>
            </w:tcBorders>
            <w:vAlign w:val="center"/>
          </w:tcPr>
          <w:p w14:paraId="172339AA"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
                <w:bCs/>
                <w:sz w:val="24"/>
                <w:szCs w:val="24"/>
                <w:lang w:eastAsia="pl-PL"/>
              </w:rPr>
              <w:t> </w:t>
            </w:r>
            <w:r w:rsidRPr="00ED0C0B">
              <w:rPr>
                <w:rFonts w:ascii="Times New Roman" w:eastAsia="Times New Roman" w:hAnsi="Times New Roman" w:cs="Times New Roman"/>
                <w:bCs/>
                <w:sz w:val="24"/>
                <w:szCs w:val="24"/>
                <w:lang w:eastAsia="pl-PL"/>
              </w:rPr>
              <w:t>Niniejsze rozporządzenie ma zastosowanie do dostawców bardzo dużych platform internetowych i bardzo dużych wyszukiwarek internetowych wskazanych zgodnie z art. 33 ust. 4 po upływie czterech miesięcy od powiadomienia danego dostawcy, o którym mowa w art. 33 ust. 6, w przypadku gdy data ta jest wcześniejsza niż dzień 17 lutego 2024 r.</w:t>
            </w:r>
          </w:p>
        </w:tc>
        <w:tc>
          <w:tcPr>
            <w:tcW w:w="788" w:type="pct"/>
            <w:tcBorders>
              <w:top w:val="outset" w:sz="6" w:space="0" w:color="auto"/>
              <w:left w:val="outset" w:sz="6" w:space="0" w:color="auto"/>
              <w:bottom w:val="outset" w:sz="6" w:space="0" w:color="auto"/>
              <w:right w:val="outset" w:sz="6" w:space="0" w:color="auto"/>
            </w:tcBorders>
            <w:vAlign w:val="center"/>
          </w:tcPr>
          <w:p w14:paraId="3D67F7D0"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589AC439"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4669A7F"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F41C12C"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2F891A0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47FBB9B"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93 </w:t>
            </w:r>
          </w:p>
        </w:tc>
        <w:tc>
          <w:tcPr>
            <w:tcW w:w="1650" w:type="pct"/>
            <w:tcBorders>
              <w:top w:val="outset" w:sz="6" w:space="0" w:color="auto"/>
              <w:left w:val="outset" w:sz="6" w:space="0" w:color="auto"/>
              <w:bottom w:val="outset" w:sz="6" w:space="0" w:color="auto"/>
              <w:right w:val="outset" w:sz="6" w:space="0" w:color="auto"/>
            </w:tcBorders>
            <w:vAlign w:val="center"/>
          </w:tcPr>
          <w:p w14:paraId="634D0C96"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Niniejsze rozporządzenie wchodzi w życie dwudziestego dnia po jego opublikowaniu w </w:t>
            </w:r>
            <w:r w:rsidRPr="00ED0C0B">
              <w:rPr>
                <w:rFonts w:ascii="Times New Roman" w:eastAsia="Times New Roman" w:hAnsi="Times New Roman" w:cs="Times New Roman"/>
                <w:bCs/>
                <w:i/>
                <w:iCs/>
                <w:sz w:val="24"/>
                <w:szCs w:val="24"/>
                <w:lang w:eastAsia="pl-PL"/>
              </w:rPr>
              <w:t>Dzienniku Urzędowym Unii Europejskiej</w:t>
            </w:r>
            <w:r w:rsidRPr="00ED0C0B">
              <w:rPr>
                <w:rFonts w:ascii="Times New Roman" w:eastAsia="Times New Roman" w:hAnsi="Times New Roman" w:cs="Times New Roman"/>
                <w:bCs/>
                <w:sz w:val="24"/>
                <w:szCs w:val="24"/>
                <w:lang w:eastAsia="pl-PL"/>
              </w:rPr>
              <w:t>.</w:t>
            </w:r>
          </w:p>
          <w:p w14:paraId="1DE8CA4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5" w:name="mip65353438"/>
            <w:bookmarkEnd w:id="675"/>
            <w:r w:rsidRPr="00ED0C0B">
              <w:rPr>
                <w:rFonts w:ascii="Times New Roman" w:eastAsia="Times New Roman" w:hAnsi="Times New Roman" w:cs="Times New Roman"/>
                <w:bCs/>
                <w:sz w:val="24"/>
                <w:szCs w:val="24"/>
                <w:lang w:eastAsia="pl-PL"/>
              </w:rPr>
              <w:t>2. Niniejsze rozporządzenie stosuje się od dnia 17 lutego 2024 r.</w:t>
            </w:r>
          </w:p>
          <w:p w14:paraId="06A411CF"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Jednakże art. 24 ust. 2, 3 i 6, art. 33 ust. 3–6, art. 37 ust. 7, art. 40 ust. 13, art. 43 oraz rozdział IV sekcje 4, 5 i 6 stosuje się od dnia 16 listopada 2022 r.</w:t>
            </w:r>
          </w:p>
          <w:p w14:paraId="5F4BDEC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lastRenderedPageBreak/>
              <w:t>Niniejsze </w:t>
            </w:r>
            <w:bookmarkStart w:id="676" w:name="highlightHit_98"/>
            <w:bookmarkEnd w:id="676"/>
            <w:r w:rsidRPr="00ED0C0B">
              <w:rPr>
                <w:rFonts w:ascii="Times New Roman" w:eastAsia="Times New Roman" w:hAnsi="Times New Roman" w:cs="Times New Roman"/>
                <w:bCs/>
                <w:sz w:val="24"/>
                <w:szCs w:val="24"/>
                <w:lang w:eastAsia="pl-PL"/>
              </w:rPr>
              <w:t>rozporządzenie wiąże w całości i jest bezpośrednio stosowane we wszystkich państwach członkowskich.</w:t>
            </w:r>
          </w:p>
          <w:p w14:paraId="7CAE7B6A" w14:textId="77777777" w:rsidR="00ED0C0B" w:rsidRPr="00ED0C0B" w:rsidRDefault="00ED0C0B" w:rsidP="00ED0C0B">
            <w:pPr>
              <w:spacing w:after="0" w:line="240" w:lineRule="auto"/>
              <w:rPr>
                <w:rFonts w:ascii="Times New Roman" w:eastAsia="Times New Roman" w:hAnsi="Times New Roman" w:cs="Times New Roman"/>
                <w:b/>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CC18CC4"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300" w:type="pct"/>
            <w:tcBorders>
              <w:top w:val="outset" w:sz="6" w:space="0" w:color="auto"/>
              <w:left w:val="outset" w:sz="6" w:space="0" w:color="auto"/>
              <w:bottom w:val="outset" w:sz="6" w:space="0" w:color="auto"/>
              <w:right w:val="outset" w:sz="6" w:space="0" w:color="auto"/>
            </w:tcBorders>
            <w:vAlign w:val="center"/>
          </w:tcPr>
          <w:p w14:paraId="38420D66" w14:textId="55B824AC"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56700AA" w14:textId="77777777" w:rsidR="00ED0C0B" w:rsidRPr="006D1872" w:rsidRDefault="00ED0C0B" w:rsidP="00DA25A1">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B914823" w14:textId="1CCF3F32" w:rsidR="00ED0C0B" w:rsidRPr="006D1872" w:rsidRDefault="00DA25A1" w:rsidP="00B03963">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Przepis o charakterze ogólnym stosowany wprost nie wymaga wdrożenia</w:t>
            </w:r>
          </w:p>
        </w:tc>
      </w:tr>
    </w:tbl>
    <w:p w14:paraId="39B8DBBB" w14:textId="77777777" w:rsidR="004553DE" w:rsidRDefault="004553DE"/>
    <w:sectPr w:rsidR="004553DE" w:rsidSect="00FC638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A791" w14:textId="77777777" w:rsidR="00FC638D" w:rsidRDefault="00FC638D" w:rsidP="00C20292">
      <w:pPr>
        <w:spacing w:after="0" w:line="240" w:lineRule="auto"/>
      </w:pPr>
      <w:r>
        <w:separator/>
      </w:r>
    </w:p>
  </w:endnote>
  <w:endnote w:type="continuationSeparator" w:id="0">
    <w:p w14:paraId="1523BBE9" w14:textId="77777777" w:rsidR="00FC638D" w:rsidRDefault="00FC638D" w:rsidP="00C2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551064"/>
      <w:docPartObj>
        <w:docPartGallery w:val="Page Numbers (Bottom of Page)"/>
        <w:docPartUnique/>
      </w:docPartObj>
    </w:sdtPr>
    <w:sdtContent>
      <w:p w14:paraId="39F1082C" w14:textId="77777777" w:rsidR="007E1E2C" w:rsidRDefault="007E1E2C">
        <w:pPr>
          <w:pStyle w:val="Stopka"/>
          <w:jc w:val="center"/>
        </w:pPr>
        <w:r>
          <w:fldChar w:fldCharType="begin"/>
        </w:r>
        <w:r>
          <w:instrText>PAGE   \* MERGEFORMAT</w:instrText>
        </w:r>
        <w:r>
          <w:fldChar w:fldCharType="separate"/>
        </w:r>
        <w:r w:rsidR="006D1872">
          <w:rPr>
            <w:noProof/>
          </w:rPr>
          <w:t>192</w:t>
        </w:r>
        <w:r>
          <w:fldChar w:fldCharType="end"/>
        </w:r>
      </w:p>
    </w:sdtContent>
  </w:sdt>
  <w:p w14:paraId="6ED3533A" w14:textId="77777777" w:rsidR="007E1E2C" w:rsidRDefault="007E1E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2603" w14:textId="77777777" w:rsidR="00FC638D" w:rsidRDefault="00FC638D" w:rsidP="00C20292">
      <w:pPr>
        <w:spacing w:after="0" w:line="240" w:lineRule="auto"/>
      </w:pPr>
      <w:r>
        <w:separator/>
      </w:r>
    </w:p>
  </w:footnote>
  <w:footnote w:type="continuationSeparator" w:id="0">
    <w:p w14:paraId="460D3E19" w14:textId="77777777" w:rsidR="00FC638D" w:rsidRDefault="00FC638D" w:rsidP="00C20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63"/>
    <w:rsid w:val="00001CCF"/>
    <w:rsid w:val="00056715"/>
    <w:rsid w:val="00106740"/>
    <w:rsid w:val="00107B7E"/>
    <w:rsid w:val="0012351D"/>
    <w:rsid w:val="001335C6"/>
    <w:rsid w:val="00135E75"/>
    <w:rsid w:val="0014625C"/>
    <w:rsid w:val="00196A96"/>
    <w:rsid w:val="001A6BB0"/>
    <w:rsid w:val="001D6145"/>
    <w:rsid w:val="0020450D"/>
    <w:rsid w:val="00290AC8"/>
    <w:rsid w:val="002D67AB"/>
    <w:rsid w:val="00303AA8"/>
    <w:rsid w:val="00316B92"/>
    <w:rsid w:val="00327BCA"/>
    <w:rsid w:val="00357529"/>
    <w:rsid w:val="003C429C"/>
    <w:rsid w:val="0044111F"/>
    <w:rsid w:val="004553DE"/>
    <w:rsid w:val="0048281E"/>
    <w:rsid w:val="004C1E9A"/>
    <w:rsid w:val="004C3C61"/>
    <w:rsid w:val="004D4FC4"/>
    <w:rsid w:val="00564517"/>
    <w:rsid w:val="00587CE6"/>
    <w:rsid w:val="005A4C7D"/>
    <w:rsid w:val="00651CD4"/>
    <w:rsid w:val="006721AE"/>
    <w:rsid w:val="006914AC"/>
    <w:rsid w:val="006B0170"/>
    <w:rsid w:val="006D1872"/>
    <w:rsid w:val="006F2F6C"/>
    <w:rsid w:val="00731ABE"/>
    <w:rsid w:val="0073457D"/>
    <w:rsid w:val="007604C4"/>
    <w:rsid w:val="00773A19"/>
    <w:rsid w:val="007E1E2C"/>
    <w:rsid w:val="00892757"/>
    <w:rsid w:val="008D5DAB"/>
    <w:rsid w:val="008E2CD5"/>
    <w:rsid w:val="009153D1"/>
    <w:rsid w:val="00965611"/>
    <w:rsid w:val="009A2F3E"/>
    <w:rsid w:val="009A53E2"/>
    <w:rsid w:val="009B716A"/>
    <w:rsid w:val="009C7AC9"/>
    <w:rsid w:val="009E245B"/>
    <w:rsid w:val="009F645F"/>
    <w:rsid w:val="00A3386F"/>
    <w:rsid w:val="00A36E48"/>
    <w:rsid w:val="00AC159B"/>
    <w:rsid w:val="00AC2F95"/>
    <w:rsid w:val="00AF3636"/>
    <w:rsid w:val="00B000EF"/>
    <w:rsid w:val="00B03963"/>
    <w:rsid w:val="00B20502"/>
    <w:rsid w:val="00B53C51"/>
    <w:rsid w:val="00B75275"/>
    <w:rsid w:val="00BE2E17"/>
    <w:rsid w:val="00BF61A3"/>
    <w:rsid w:val="00C20292"/>
    <w:rsid w:val="00C35782"/>
    <w:rsid w:val="00C5185B"/>
    <w:rsid w:val="00CC314E"/>
    <w:rsid w:val="00CF5E34"/>
    <w:rsid w:val="00D5383D"/>
    <w:rsid w:val="00D64329"/>
    <w:rsid w:val="00D80E2E"/>
    <w:rsid w:val="00D85006"/>
    <w:rsid w:val="00DA25A1"/>
    <w:rsid w:val="00DA408D"/>
    <w:rsid w:val="00DC582B"/>
    <w:rsid w:val="00DC6250"/>
    <w:rsid w:val="00DE7444"/>
    <w:rsid w:val="00E023A9"/>
    <w:rsid w:val="00E13A46"/>
    <w:rsid w:val="00E323B9"/>
    <w:rsid w:val="00E3681E"/>
    <w:rsid w:val="00E52CF0"/>
    <w:rsid w:val="00E615B4"/>
    <w:rsid w:val="00E66C2B"/>
    <w:rsid w:val="00E83922"/>
    <w:rsid w:val="00E92772"/>
    <w:rsid w:val="00ED0C0B"/>
    <w:rsid w:val="00F845B2"/>
    <w:rsid w:val="00F863E1"/>
    <w:rsid w:val="00F94F1E"/>
    <w:rsid w:val="00FB19FC"/>
    <w:rsid w:val="00FC638D"/>
    <w:rsid w:val="00FE7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DEFF"/>
  <w15:chartTrackingRefBased/>
  <w15:docId w15:val="{1B847E04-A68B-4471-94CE-09C3926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3963"/>
    <w:rPr>
      <w:color w:val="0563C1" w:themeColor="hyperlink"/>
      <w:u w:val="single"/>
    </w:rPr>
  </w:style>
  <w:style w:type="paragraph" w:styleId="Nagwek">
    <w:name w:val="header"/>
    <w:basedOn w:val="Normalny"/>
    <w:link w:val="NagwekZnak"/>
    <w:uiPriority w:val="99"/>
    <w:unhideWhenUsed/>
    <w:rsid w:val="00C20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292"/>
  </w:style>
  <w:style w:type="paragraph" w:styleId="Stopka">
    <w:name w:val="footer"/>
    <w:basedOn w:val="Normalny"/>
    <w:link w:val="StopkaZnak"/>
    <w:uiPriority w:val="99"/>
    <w:unhideWhenUsed/>
    <w:rsid w:val="00C202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292"/>
  </w:style>
  <w:style w:type="character" w:styleId="Odwoanieprzypisudolnego">
    <w:name w:val="footnote reference"/>
    <w:uiPriority w:val="99"/>
    <w:semiHidden/>
    <w:rsid w:val="006721A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52">
      <w:bodyDiv w:val="1"/>
      <w:marLeft w:val="0"/>
      <w:marRight w:val="0"/>
      <w:marTop w:val="0"/>
      <w:marBottom w:val="0"/>
      <w:divBdr>
        <w:top w:val="none" w:sz="0" w:space="0" w:color="auto"/>
        <w:left w:val="none" w:sz="0" w:space="0" w:color="auto"/>
        <w:bottom w:val="none" w:sz="0" w:space="0" w:color="auto"/>
        <w:right w:val="none" w:sz="0" w:space="0" w:color="auto"/>
      </w:divBdr>
      <w:divsChild>
        <w:div w:id="1027411432">
          <w:marLeft w:val="0"/>
          <w:marRight w:val="0"/>
          <w:marTop w:val="0"/>
          <w:marBottom w:val="0"/>
          <w:divBdr>
            <w:top w:val="none" w:sz="0" w:space="0" w:color="auto"/>
            <w:left w:val="none" w:sz="0" w:space="0" w:color="auto"/>
            <w:bottom w:val="none" w:sz="0" w:space="0" w:color="auto"/>
            <w:right w:val="none" w:sz="0" w:space="0" w:color="auto"/>
          </w:divBdr>
          <w:divsChild>
            <w:div w:id="288752782">
              <w:marLeft w:val="0"/>
              <w:marRight w:val="0"/>
              <w:marTop w:val="105"/>
              <w:marBottom w:val="0"/>
              <w:divBdr>
                <w:top w:val="none" w:sz="0" w:space="0" w:color="auto"/>
                <w:left w:val="none" w:sz="0" w:space="0" w:color="auto"/>
                <w:bottom w:val="none" w:sz="0" w:space="0" w:color="auto"/>
                <w:right w:val="none" w:sz="0" w:space="0" w:color="auto"/>
              </w:divBdr>
            </w:div>
            <w:div w:id="419185403">
              <w:marLeft w:val="0"/>
              <w:marRight w:val="0"/>
              <w:marTop w:val="0"/>
              <w:marBottom w:val="0"/>
              <w:divBdr>
                <w:top w:val="none" w:sz="0" w:space="0" w:color="auto"/>
                <w:left w:val="none" w:sz="0" w:space="0" w:color="auto"/>
                <w:bottom w:val="none" w:sz="0" w:space="0" w:color="auto"/>
                <w:right w:val="none" w:sz="0" w:space="0" w:color="auto"/>
              </w:divBdr>
              <w:divsChild>
                <w:div w:id="1148591817">
                  <w:marLeft w:val="255"/>
                  <w:marRight w:val="0"/>
                  <w:marTop w:val="0"/>
                  <w:marBottom w:val="0"/>
                  <w:divBdr>
                    <w:top w:val="none" w:sz="0" w:space="0" w:color="auto"/>
                    <w:left w:val="none" w:sz="0" w:space="0" w:color="auto"/>
                    <w:bottom w:val="none" w:sz="0" w:space="0" w:color="auto"/>
                    <w:right w:val="none" w:sz="0" w:space="0" w:color="auto"/>
                  </w:divBdr>
                </w:div>
              </w:divsChild>
            </w:div>
            <w:div w:id="995761866">
              <w:marLeft w:val="0"/>
              <w:marRight w:val="0"/>
              <w:marTop w:val="0"/>
              <w:marBottom w:val="0"/>
              <w:divBdr>
                <w:top w:val="none" w:sz="0" w:space="0" w:color="auto"/>
                <w:left w:val="none" w:sz="0" w:space="0" w:color="auto"/>
                <w:bottom w:val="none" w:sz="0" w:space="0" w:color="auto"/>
                <w:right w:val="none" w:sz="0" w:space="0" w:color="auto"/>
              </w:divBdr>
              <w:divsChild>
                <w:div w:id="808396607">
                  <w:marLeft w:val="255"/>
                  <w:marRight w:val="0"/>
                  <w:marTop w:val="0"/>
                  <w:marBottom w:val="0"/>
                  <w:divBdr>
                    <w:top w:val="none" w:sz="0" w:space="0" w:color="auto"/>
                    <w:left w:val="none" w:sz="0" w:space="0" w:color="auto"/>
                    <w:bottom w:val="none" w:sz="0" w:space="0" w:color="auto"/>
                    <w:right w:val="none" w:sz="0" w:space="0" w:color="auto"/>
                  </w:divBdr>
                </w:div>
              </w:divsChild>
            </w:div>
            <w:div w:id="771634109">
              <w:marLeft w:val="0"/>
              <w:marRight w:val="0"/>
              <w:marTop w:val="0"/>
              <w:marBottom w:val="0"/>
              <w:divBdr>
                <w:top w:val="none" w:sz="0" w:space="0" w:color="auto"/>
                <w:left w:val="none" w:sz="0" w:space="0" w:color="auto"/>
                <w:bottom w:val="none" w:sz="0" w:space="0" w:color="auto"/>
                <w:right w:val="none" w:sz="0" w:space="0" w:color="auto"/>
              </w:divBdr>
              <w:divsChild>
                <w:div w:id="1201896404">
                  <w:marLeft w:val="255"/>
                  <w:marRight w:val="0"/>
                  <w:marTop w:val="0"/>
                  <w:marBottom w:val="0"/>
                  <w:divBdr>
                    <w:top w:val="none" w:sz="0" w:space="0" w:color="auto"/>
                    <w:left w:val="none" w:sz="0" w:space="0" w:color="auto"/>
                    <w:bottom w:val="none" w:sz="0" w:space="0" w:color="auto"/>
                    <w:right w:val="none" w:sz="0" w:space="0" w:color="auto"/>
                  </w:divBdr>
                </w:div>
              </w:divsChild>
            </w:div>
            <w:div w:id="517427651">
              <w:marLeft w:val="0"/>
              <w:marRight w:val="0"/>
              <w:marTop w:val="0"/>
              <w:marBottom w:val="0"/>
              <w:divBdr>
                <w:top w:val="none" w:sz="0" w:space="0" w:color="auto"/>
                <w:left w:val="none" w:sz="0" w:space="0" w:color="auto"/>
                <w:bottom w:val="none" w:sz="0" w:space="0" w:color="auto"/>
                <w:right w:val="none" w:sz="0" w:space="0" w:color="auto"/>
              </w:divBdr>
              <w:divsChild>
                <w:div w:id="20543843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90397295">
          <w:marLeft w:val="0"/>
          <w:marRight w:val="0"/>
          <w:marTop w:val="0"/>
          <w:marBottom w:val="0"/>
          <w:divBdr>
            <w:top w:val="none" w:sz="0" w:space="0" w:color="auto"/>
            <w:left w:val="none" w:sz="0" w:space="0" w:color="auto"/>
            <w:bottom w:val="none" w:sz="0" w:space="0" w:color="auto"/>
            <w:right w:val="none" w:sz="0" w:space="0" w:color="auto"/>
          </w:divBdr>
          <w:divsChild>
            <w:div w:id="149251482">
              <w:marLeft w:val="0"/>
              <w:marRight w:val="0"/>
              <w:marTop w:val="105"/>
              <w:marBottom w:val="0"/>
              <w:divBdr>
                <w:top w:val="none" w:sz="0" w:space="0" w:color="auto"/>
                <w:left w:val="none" w:sz="0" w:space="0" w:color="auto"/>
                <w:bottom w:val="none" w:sz="0" w:space="0" w:color="auto"/>
                <w:right w:val="none" w:sz="0" w:space="0" w:color="auto"/>
              </w:divBdr>
            </w:div>
          </w:divsChild>
        </w:div>
        <w:div w:id="45180125">
          <w:marLeft w:val="0"/>
          <w:marRight w:val="0"/>
          <w:marTop w:val="0"/>
          <w:marBottom w:val="0"/>
          <w:divBdr>
            <w:top w:val="none" w:sz="0" w:space="0" w:color="auto"/>
            <w:left w:val="none" w:sz="0" w:space="0" w:color="auto"/>
            <w:bottom w:val="none" w:sz="0" w:space="0" w:color="auto"/>
            <w:right w:val="none" w:sz="0" w:space="0" w:color="auto"/>
          </w:divBdr>
          <w:divsChild>
            <w:div w:id="1572042513">
              <w:marLeft w:val="0"/>
              <w:marRight w:val="0"/>
              <w:marTop w:val="105"/>
              <w:marBottom w:val="0"/>
              <w:divBdr>
                <w:top w:val="none" w:sz="0" w:space="0" w:color="auto"/>
                <w:left w:val="none" w:sz="0" w:space="0" w:color="auto"/>
                <w:bottom w:val="none" w:sz="0" w:space="0" w:color="auto"/>
                <w:right w:val="none" w:sz="0" w:space="0" w:color="auto"/>
              </w:divBdr>
            </w:div>
          </w:divsChild>
        </w:div>
        <w:div w:id="266277517">
          <w:marLeft w:val="0"/>
          <w:marRight w:val="0"/>
          <w:marTop w:val="0"/>
          <w:marBottom w:val="0"/>
          <w:divBdr>
            <w:top w:val="none" w:sz="0" w:space="0" w:color="auto"/>
            <w:left w:val="none" w:sz="0" w:space="0" w:color="auto"/>
            <w:bottom w:val="none" w:sz="0" w:space="0" w:color="auto"/>
            <w:right w:val="none" w:sz="0" w:space="0" w:color="auto"/>
          </w:divBdr>
          <w:divsChild>
            <w:div w:id="344792230">
              <w:marLeft w:val="0"/>
              <w:marRight w:val="0"/>
              <w:marTop w:val="105"/>
              <w:marBottom w:val="0"/>
              <w:divBdr>
                <w:top w:val="none" w:sz="0" w:space="0" w:color="auto"/>
                <w:left w:val="none" w:sz="0" w:space="0" w:color="auto"/>
                <w:bottom w:val="none" w:sz="0" w:space="0" w:color="auto"/>
                <w:right w:val="none" w:sz="0" w:space="0" w:color="auto"/>
              </w:divBdr>
            </w:div>
          </w:divsChild>
        </w:div>
        <w:div w:id="435246548">
          <w:marLeft w:val="0"/>
          <w:marRight w:val="0"/>
          <w:marTop w:val="0"/>
          <w:marBottom w:val="0"/>
          <w:divBdr>
            <w:top w:val="none" w:sz="0" w:space="0" w:color="auto"/>
            <w:left w:val="none" w:sz="0" w:space="0" w:color="auto"/>
            <w:bottom w:val="none" w:sz="0" w:space="0" w:color="auto"/>
            <w:right w:val="none" w:sz="0" w:space="0" w:color="auto"/>
          </w:divBdr>
          <w:divsChild>
            <w:div w:id="1114595152">
              <w:marLeft w:val="0"/>
              <w:marRight w:val="0"/>
              <w:marTop w:val="105"/>
              <w:marBottom w:val="0"/>
              <w:divBdr>
                <w:top w:val="none" w:sz="0" w:space="0" w:color="auto"/>
                <w:left w:val="none" w:sz="0" w:space="0" w:color="auto"/>
                <w:bottom w:val="none" w:sz="0" w:space="0" w:color="auto"/>
                <w:right w:val="none" w:sz="0" w:space="0" w:color="auto"/>
              </w:divBdr>
            </w:div>
          </w:divsChild>
        </w:div>
        <w:div w:id="1348407661">
          <w:marLeft w:val="0"/>
          <w:marRight w:val="0"/>
          <w:marTop w:val="0"/>
          <w:marBottom w:val="0"/>
          <w:divBdr>
            <w:top w:val="none" w:sz="0" w:space="0" w:color="auto"/>
            <w:left w:val="none" w:sz="0" w:space="0" w:color="auto"/>
            <w:bottom w:val="none" w:sz="0" w:space="0" w:color="auto"/>
            <w:right w:val="none" w:sz="0" w:space="0" w:color="auto"/>
          </w:divBdr>
          <w:divsChild>
            <w:div w:id="1279066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393831">
      <w:bodyDiv w:val="1"/>
      <w:marLeft w:val="0"/>
      <w:marRight w:val="0"/>
      <w:marTop w:val="0"/>
      <w:marBottom w:val="0"/>
      <w:divBdr>
        <w:top w:val="none" w:sz="0" w:space="0" w:color="auto"/>
        <w:left w:val="none" w:sz="0" w:space="0" w:color="auto"/>
        <w:bottom w:val="none" w:sz="0" w:space="0" w:color="auto"/>
        <w:right w:val="none" w:sz="0" w:space="0" w:color="auto"/>
      </w:divBdr>
      <w:divsChild>
        <w:div w:id="1328099573">
          <w:marLeft w:val="0"/>
          <w:marRight w:val="0"/>
          <w:marTop w:val="0"/>
          <w:marBottom w:val="0"/>
          <w:divBdr>
            <w:top w:val="none" w:sz="0" w:space="0" w:color="auto"/>
            <w:left w:val="none" w:sz="0" w:space="0" w:color="auto"/>
            <w:bottom w:val="none" w:sz="0" w:space="0" w:color="auto"/>
            <w:right w:val="none" w:sz="0" w:space="0" w:color="auto"/>
          </w:divBdr>
          <w:divsChild>
            <w:div w:id="958029515">
              <w:marLeft w:val="0"/>
              <w:marRight w:val="0"/>
              <w:marTop w:val="105"/>
              <w:marBottom w:val="0"/>
              <w:divBdr>
                <w:top w:val="none" w:sz="0" w:space="0" w:color="auto"/>
                <w:left w:val="none" w:sz="0" w:space="0" w:color="auto"/>
                <w:bottom w:val="none" w:sz="0" w:space="0" w:color="auto"/>
                <w:right w:val="none" w:sz="0" w:space="0" w:color="auto"/>
              </w:divBdr>
            </w:div>
            <w:div w:id="876505187">
              <w:marLeft w:val="0"/>
              <w:marRight w:val="0"/>
              <w:marTop w:val="0"/>
              <w:marBottom w:val="0"/>
              <w:divBdr>
                <w:top w:val="none" w:sz="0" w:space="0" w:color="auto"/>
                <w:left w:val="none" w:sz="0" w:space="0" w:color="auto"/>
                <w:bottom w:val="none" w:sz="0" w:space="0" w:color="auto"/>
                <w:right w:val="none" w:sz="0" w:space="0" w:color="auto"/>
              </w:divBdr>
              <w:divsChild>
                <w:div w:id="693846429">
                  <w:marLeft w:val="255"/>
                  <w:marRight w:val="0"/>
                  <w:marTop w:val="0"/>
                  <w:marBottom w:val="0"/>
                  <w:divBdr>
                    <w:top w:val="none" w:sz="0" w:space="0" w:color="auto"/>
                    <w:left w:val="none" w:sz="0" w:space="0" w:color="auto"/>
                    <w:bottom w:val="none" w:sz="0" w:space="0" w:color="auto"/>
                    <w:right w:val="none" w:sz="0" w:space="0" w:color="auto"/>
                  </w:divBdr>
                </w:div>
              </w:divsChild>
            </w:div>
            <w:div w:id="774861574">
              <w:marLeft w:val="0"/>
              <w:marRight w:val="0"/>
              <w:marTop w:val="0"/>
              <w:marBottom w:val="0"/>
              <w:divBdr>
                <w:top w:val="none" w:sz="0" w:space="0" w:color="auto"/>
                <w:left w:val="none" w:sz="0" w:space="0" w:color="auto"/>
                <w:bottom w:val="none" w:sz="0" w:space="0" w:color="auto"/>
                <w:right w:val="none" w:sz="0" w:space="0" w:color="auto"/>
              </w:divBdr>
              <w:divsChild>
                <w:div w:id="1094596106">
                  <w:marLeft w:val="255"/>
                  <w:marRight w:val="0"/>
                  <w:marTop w:val="0"/>
                  <w:marBottom w:val="0"/>
                  <w:divBdr>
                    <w:top w:val="none" w:sz="0" w:space="0" w:color="auto"/>
                    <w:left w:val="none" w:sz="0" w:space="0" w:color="auto"/>
                    <w:bottom w:val="none" w:sz="0" w:space="0" w:color="auto"/>
                    <w:right w:val="none" w:sz="0" w:space="0" w:color="auto"/>
                  </w:divBdr>
                </w:div>
              </w:divsChild>
            </w:div>
            <w:div w:id="1700007326">
              <w:marLeft w:val="0"/>
              <w:marRight w:val="0"/>
              <w:marTop w:val="0"/>
              <w:marBottom w:val="0"/>
              <w:divBdr>
                <w:top w:val="none" w:sz="0" w:space="0" w:color="auto"/>
                <w:left w:val="none" w:sz="0" w:space="0" w:color="auto"/>
                <w:bottom w:val="none" w:sz="0" w:space="0" w:color="auto"/>
                <w:right w:val="none" w:sz="0" w:space="0" w:color="auto"/>
              </w:divBdr>
              <w:divsChild>
                <w:div w:id="1329595021">
                  <w:marLeft w:val="255"/>
                  <w:marRight w:val="0"/>
                  <w:marTop w:val="0"/>
                  <w:marBottom w:val="0"/>
                  <w:divBdr>
                    <w:top w:val="none" w:sz="0" w:space="0" w:color="auto"/>
                    <w:left w:val="none" w:sz="0" w:space="0" w:color="auto"/>
                    <w:bottom w:val="none" w:sz="0" w:space="0" w:color="auto"/>
                    <w:right w:val="none" w:sz="0" w:space="0" w:color="auto"/>
                  </w:divBdr>
                </w:div>
              </w:divsChild>
            </w:div>
            <w:div w:id="1165318329">
              <w:marLeft w:val="0"/>
              <w:marRight w:val="0"/>
              <w:marTop w:val="0"/>
              <w:marBottom w:val="0"/>
              <w:divBdr>
                <w:top w:val="none" w:sz="0" w:space="0" w:color="auto"/>
                <w:left w:val="none" w:sz="0" w:space="0" w:color="auto"/>
                <w:bottom w:val="none" w:sz="0" w:space="0" w:color="auto"/>
                <w:right w:val="none" w:sz="0" w:space="0" w:color="auto"/>
              </w:divBdr>
              <w:divsChild>
                <w:div w:id="19584905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62085049">
          <w:marLeft w:val="0"/>
          <w:marRight w:val="0"/>
          <w:marTop w:val="0"/>
          <w:marBottom w:val="0"/>
          <w:divBdr>
            <w:top w:val="none" w:sz="0" w:space="0" w:color="auto"/>
            <w:left w:val="none" w:sz="0" w:space="0" w:color="auto"/>
            <w:bottom w:val="none" w:sz="0" w:space="0" w:color="auto"/>
            <w:right w:val="none" w:sz="0" w:space="0" w:color="auto"/>
          </w:divBdr>
          <w:divsChild>
            <w:div w:id="888343532">
              <w:marLeft w:val="0"/>
              <w:marRight w:val="0"/>
              <w:marTop w:val="105"/>
              <w:marBottom w:val="0"/>
              <w:divBdr>
                <w:top w:val="none" w:sz="0" w:space="0" w:color="auto"/>
                <w:left w:val="none" w:sz="0" w:space="0" w:color="auto"/>
                <w:bottom w:val="none" w:sz="0" w:space="0" w:color="auto"/>
                <w:right w:val="none" w:sz="0" w:space="0" w:color="auto"/>
              </w:divBdr>
            </w:div>
          </w:divsChild>
        </w:div>
        <w:div w:id="616760443">
          <w:marLeft w:val="0"/>
          <w:marRight w:val="0"/>
          <w:marTop w:val="0"/>
          <w:marBottom w:val="0"/>
          <w:divBdr>
            <w:top w:val="none" w:sz="0" w:space="0" w:color="auto"/>
            <w:left w:val="none" w:sz="0" w:space="0" w:color="auto"/>
            <w:bottom w:val="none" w:sz="0" w:space="0" w:color="auto"/>
            <w:right w:val="none" w:sz="0" w:space="0" w:color="auto"/>
          </w:divBdr>
          <w:divsChild>
            <w:div w:id="1089616848">
              <w:marLeft w:val="0"/>
              <w:marRight w:val="0"/>
              <w:marTop w:val="105"/>
              <w:marBottom w:val="0"/>
              <w:divBdr>
                <w:top w:val="none" w:sz="0" w:space="0" w:color="auto"/>
                <w:left w:val="none" w:sz="0" w:space="0" w:color="auto"/>
                <w:bottom w:val="none" w:sz="0" w:space="0" w:color="auto"/>
                <w:right w:val="none" w:sz="0" w:space="0" w:color="auto"/>
              </w:divBdr>
            </w:div>
            <w:div w:id="355279461">
              <w:marLeft w:val="0"/>
              <w:marRight w:val="0"/>
              <w:marTop w:val="0"/>
              <w:marBottom w:val="0"/>
              <w:divBdr>
                <w:top w:val="none" w:sz="0" w:space="0" w:color="auto"/>
                <w:left w:val="none" w:sz="0" w:space="0" w:color="auto"/>
                <w:bottom w:val="none" w:sz="0" w:space="0" w:color="auto"/>
                <w:right w:val="none" w:sz="0" w:space="0" w:color="auto"/>
              </w:divBdr>
              <w:divsChild>
                <w:div w:id="935600631">
                  <w:marLeft w:val="255"/>
                  <w:marRight w:val="0"/>
                  <w:marTop w:val="0"/>
                  <w:marBottom w:val="0"/>
                  <w:divBdr>
                    <w:top w:val="none" w:sz="0" w:space="0" w:color="auto"/>
                    <w:left w:val="none" w:sz="0" w:space="0" w:color="auto"/>
                    <w:bottom w:val="none" w:sz="0" w:space="0" w:color="auto"/>
                    <w:right w:val="none" w:sz="0" w:space="0" w:color="auto"/>
                  </w:divBdr>
                </w:div>
              </w:divsChild>
            </w:div>
            <w:div w:id="562956108">
              <w:marLeft w:val="0"/>
              <w:marRight w:val="0"/>
              <w:marTop w:val="0"/>
              <w:marBottom w:val="0"/>
              <w:divBdr>
                <w:top w:val="none" w:sz="0" w:space="0" w:color="auto"/>
                <w:left w:val="none" w:sz="0" w:space="0" w:color="auto"/>
                <w:bottom w:val="none" w:sz="0" w:space="0" w:color="auto"/>
                <w:right w:val="none" w:sz="0" w:space="0" w:color="auto"/>
              </w:divBdr>
              <w:divsChild>
                <w:div w:id="58214369">
                  <w:marLeft w:val="255"/>
                  <w:marRight w:val="0"/>
                  <w:marTop w:val="0"/>
                  <w:marBottom w:val="0"/>
                  <w:divBdr>
                    <w:top w:val="none" w:sz="0" w:space="0" w:color="auto"/>
                    <w:left w:val="none" w:sz="0" w:space="0" w:color="auto"/>
                    <w:bottom w:val="none" w:sz="0" w:space="0" w:color="auto"/>
                    <w:right w:val="none" w:sz="0" w:space="0" w:color="auto"/>
                  </w:divBdr>
                </w:div>
              </w:divsChild>
            </w:div>
            <w:div w:id="932662265">
              <w:marLeft w:val="0"/>
              <w:marRight w:val="0"/>
              <w:marTop w:val="0"/>
              <w:marBottom w:val="0"/>
              <w:divBdr>
                <w:top w:val="none" w:sz="0" w:space="0" w:color="auto"/>
                <w:left w:val="none" w:sz="0" w:space="0" w:color="auto"/>
                <w:bottom w:val="none" w:sz="0" w:space="0" w:color="auto"/>
                <w:right w:val="none" w:sz="0" w:space="0" w:color="auto"/>
              </w:divBdr>
              <w:divsChild>
                <w:div w:id="1967812921">
                  <w:marLeft w:val="255"/>
                  <w:marRight w:val="0"/>
                  <w:marTop w:val="0"/>
                  <w:marBottom w:val="0"/>
                  <w:divBdr>
                    <w:top w:val="none" w:sz="0" w:space="0" w:color="auto"/>
                    <w:left w:val="none" w:sz="0" w:space="0" w:color="auto"/>
                    <w:bottom w:val="none" w:sz="0" w:space="0" w:color="auto"/>
                    <w:right w:val="none" w:sz="0" w:space="0" w:color="auto"/>
                  </w:divBdr>
                </w:div>
              </w:divsChild>
            </w:div>
            <w:div w:id="1335841365">
              <w:marLeft w:val="0"/>
              <w:marRight w:val="0"/>
              <w:marTop w:val="0"/>
              <w:marBottom w:val="0"/>
              <w:divBdr>
                <w:top w:val="none" w:sz="0" w:space="0" w:color="auto"/>
                <w:left w:val="none" w:sz="0" w:space="0" w:color="auto"/>
                <w:bottom w:val="none" w:sz="0" w:space="0" w:color="auto"/>
                <w:right w:val="none" w:sz="0" w:space="0" w:color="auto"/>
              </w:divBdr>
              <w:divsChild>
                <w:div w:id="461653242">
                  <w:marLeft w:val="255"/>
                  <w:marRight w:val="0"/>
                  <w:marTop w:val="0"/>
                  <w:marBottom w:val="0"/>
                  <w:divBdr>
                    <w:top w:val="none" w:sz="0" w:space="0" w:color="auto"/>
                    <w:left w:val="none" w:sz="0" w:space="0" w:color="auto"/>
                    <w:bottom w:val="none" w:sz="0" w:space="0" w:color="auto"/>
                    <w:right w:val="none" w:sz="0" w:space="0" w:color="auto"/>
                  </w:divBdr>
                </w:div>
              </w:divsChild>
            </w:div>
            <w:div w:id="898441366">
              <w:marLeft w:val="0"/>
              <w:marRight w:val="0"/>
              <w:marTop w:val="0"/>
              <w:marBottom w:val="0"/>
              <w:divBdr>
                <w:top w:val="none" w:sz="0" w:space="0" w:color="auto"/>
                <w:left w:val="none" w:sz="0" w:space="0" w:color="auto"/>
                <w:bottom w:val="none" w:sz="0" w:space="0" w:color="auto"/>
                <w:right w:val="none" w:sz="0" w:space="0" w:color="auto"/>
              </w:divBdr>
              <w:divsChild>
                <w:div w:id="711225880">
                  <w:marLeft w:val="255"/>
                  <w:marRight w:val="0"/>
                  <w:marTop w:val="0"/>
                  <w:marBottom w:val="0"/>
                  <w:divBdr>
                    <w:top w:val="none" w:sz="0" w:space="0" w:color="auto"/>
                    <w:left w:val="none" w:sz="0" w:space="0" w:color="auto"/>
                    <w:bottom w:val="none" w:sz="0" w:space="0" w:color="auto"/>
                    <w:right w:val="none" w:sz="0" w:space="0" w:color="auto"/>
                  </w:divBdr>
                </w:div>
              </w:divsChild>
            </w:div>
            <w:div w:id="494495575">
              <w:marLeft w:val="0"/>
              <w:marRight w:val="0"/>
              <w:marTop w:val="0"/>
              <w:marBottom w:val="0"/>
              <w:divBdr>
                <w:top w:val="none" w:sz="0" w:space="0" w:color="auto"/>
                <w:left w:val="none" w:sz="0" w:space="0" w:color="auto"/>
                <w:bottom w:val="none" w:sz="0" w:space="0" w:color="auto"/>
                <w:right w:val="none" w:sz="0" w:space="0" w:color="auto"/>
              </w:divBdr>
              <w:divsChild>
                <w:div w:id="6020349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1867350">
          <w:marLeft w:val="0"/>
          <w:marRight w:val="0"/>
          <w:marTop w:val="0"/>
          <w:marBottom w:val="0"/>
          <w:divBdr>
            <w:top w:val="none" w:sz="0" w:space="0" w:color="auto"/>
            <w:left w:val="none" w:sz="0" w:space="0" w:color="auto"/>
            <w:bottom w:val="none" w:sz="0" w:space="0" w:color="auto"/>
            <w:right w:val="none" w:sz="0" w:space="0" w:color="auto"/>
          </w:divBdr>
          <w:divsChild>
            <w:div w:id="1722627620">
              <w:marLeft w:val="0"/>
              <w:marRight w:val="0"/>
              <w:marTop w:val="105"/>
              <w:marBottom w:val="0"/>
              <w:divBdr>
                <w:top w:val="none" w:sz="0" w:space="0" w:color="auto"/>
                <w:left w:val="none" w:sz="0" w:space="0" w:color="auto"/>
                <w:bottom w:val="none" w:sz="0" w:space="0" w:color="auto"/>
                <w:right w:val="none" w:sz="0" w:space="0" w:color="auto"/>
              </w:divBdr>
            </w:div>
          </w:divsChild>
        </w:div>
        <w:div w:id="1205948765">
          <w:marLeft w:val="0"/>
          <w:marRight w:val="0"/>
          <w:marTop w:val="0"/>
          <w:marBottom w:val="0"/>
          <w:divBdr>
            <w:top w:val="none" w:sz="0" w:space="0" w:color="auto"/>
            <w:left w:val="none" w:sz="0" w:space="0" w:color="auto"/>
            <w:bottom w:val="none" w:sz="0" w:space="0" w:color="auto"/>
            <w:right w:val="none" w:sz="0" w:space="0" w:color="auto"/>
          </w:divBdr>
          <w:divsChild>
            <w:div w:id="2318940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065984">
      <w:bodyDiv w:val="1"/>
      <w:marLeft w:val="0"/>
      <w:marRight w:val="0"/>
      <w:marTop w:val="0"/>
      <w:marBottom w:val="0"/>
      <w:divBdr>
        <w:top w:val="none" w:sz="0" w:space="0" w:color="auto"/>
        <w:left w:val="none" w:sz="0" w:space="0" w:color="auto"/>
        <w:bottom w:val="none" w:sz="0" w:space="0" w:color="auto"/>
        <w:right w:val="none" w:sz="0" w:space="0" w:color="auto"/>
      </w:divBdr>
      <w:divsChild>
        <w:div w:id="2013143059">
          <w:marLeft w:val="0"/>
          <w:marRight w:val="0"/>
          <w:marTop w:val="0"/>
          <w:marBottom w:val="0"/>
          <w:divBdr>
            <w:top w:val="none" w:sz="0" w:space="0" w:color="auto"/>
            <w:left w:val="none" w:sz="0" w:space="0" w:color="auto"/>
            <w:bottom w:val="none" w:sz="0" w:space="0" w:color="auto"/>
            <w:right w:val="none" w:sz="0" w:space="0" w:color="auto"/>
          </w:divBdr>
          <w:divsChild>
            <w:div w:id="447163852">
              <w:marLeft w:val="0"/>
              <w:marRight w:val="0"/>
              <w:marTop w:val="105"/>
              <w:marBottom w:val="0"/>
              <w:divBdr>
                <w:top w:val="none" w:sz="0" w:space="0" w:color="auto"/>
                <w:left w:val="none" w:sz="0" w:space="0" w:color="auto"/>
                <w:bottom w:val="none" w:sz="0" w:space="0" w:color="auto"/>
                <w:right w:val="none" w:sz="0" w:space="0" w:color="auto"/>
              </w:divBdr>
            </w:div>
          </w:divsChild>
        </w:div>
        <w:div w:id="1945065753">
          <w:marLeft w:val="0"/>
          <w:marRight w:val="0"/>
          <w:marTop w:val="0"/>
          <w:marBottom w:val="0"/>
          <w:divBdr>
            <w:top w:val="none" w:sz="0" w:space="0" w:color="auto"/>
            <w:left w:val="none" w:sz="0" w:space="0" w:color="auto"/>
            <w:bottom w:val="none" w:sz="0" w:space="0" w:color="auto"/>
            <w:right w:val="none" w:sz="0" w:space="0" w:color="auto"/>
          </w:divBdr>
          <w:divsChild>
            <w:div w:id="221911618">
              <w:marLeft w:val="0"/>
              <w:marRight w:val="0"/>
              <w:marTop w:val="105"/>
              <w:marBottom w:val="0"/>
              <w:divBdr>
                <w:top w:val="none" w:sz="0" w:space="0" w:color="auto"/>
                <w:left w:val="none" w:sz="0" w:space="0" w:color="auto"/>
                <w:bottom w:val="none" w:sz="0" w:space="0" w:color="auto"/>
                <w:right w:val="none" w:sz="0" w:space="0" w:color="auto"/>
              </w:divBdr>
            </w:div>
          </w:divsChild>
        </w:div>
        <w:div w:id="786660658">
          <w:marLeft w:val="0"/>
          <w:marRight w:val="0"/>
          <w:marTop w:val="0"/>
          <w:marBottom w:val="0"/>
          <w:divBdr>
            <w:top w:val="none" w:sz="0" w:space="0" w:color="auto"/>
            <w:left w:val="none" w:sz="0" w:space="0" w:color="auto"/>
            <w:bottom w:val="none" w:sz="0" w:space="0" w:color="auto"/>
            <w:right w:val="none" w:sz="0" w:space="0" w:color="auto"/>
          </w:divBdr>
          <w:divsChild>
            <w:div w:id="6315962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450443">
      <w:bodyDiv w:val="1"/>
      <w:marLeft w:val="0"/>
      <w:marRight w:val="0"/>
      <w:marTop w:val="0"/>
      <w:marBottom w:val="0"/>
      <w:divBdr>
        <w:top w:val="none" w:sz="0" w:space="0" w:color="auto"/>
        <w:left w:val="none" w:sz="0" w:space="0" w:color="auto"/>
        <w:bottom w:val="none" w:sz="0" w:space="0" w:color="auto"/>
        <w:right w:val="none" w:sz="0" w:space="0" w:color="auto"/>
      </w:divBdr>
      <w:divsChild>
        <w:div w:id="1276253893">
          <w:marLeft w:val="0"/>
          <w:marRight w:val="0"/>
          <w:marTop w:val="0"/>
          <w:marBottom w:val="0"/>
          <w:divBdr>
            <w:top w:val="none" w:sz="0" w:space="0" w:color="auto"/>
            <w:left w:val="none" w:sz="0" w:space="0" w:color="auto"/>
            <w:bottom w:val="none" w:sz="0" w:space="0" w:color="auto"/>
            <w:right w:val="none" w:sz="0" w:space="0" w:color="auto"/>
          </w:divBdr>
          <w:divsChild>
            <w:div w:id="1317952757">
              <w:marLeft w:val="0"/>
              <w:marRight w:val="0"/>
              <w:marTop w:val="105"/>
              <w:marBottom w:val="0"/>
              <w:divBdr>
                <w:top w:val="none" w:sz="0" w:space="0" w:color="auto"/>
                <w:left w:val="none" w:sz="0" w:space="0" w:color="auto"/>
                <w:bottom w:val="none" w:sz="0" w:space="0" w:color="auto"/>
                <w:right w:val="none" w:sz="0" w:space="0" w:color="auto"/>
              </w:divBdr>
            </w:div>
          </w:divsChild>
        </w:div>
        <w:div w:id="1688948242">
          <w:marLeft w:val="0"/>
          <w:marRight w:val="0"/>
          <w:marTop w:val="0"/>
          <w:marBottom w:val="0"/>
          <w:divBdr>
            <w:top w:val="none" w:sz="0" w:space="0" w:color="auto"/>
            <w:left w:val="none" w:sz="0" w:space="0" w:color="auto"/>
            <w:bottom w:val="none" w:sz="0" w:space="0" w:color="auto"/>
            <w:right w:val="none" w:sz="0" w:space="0" w:color="auto"/>
          </w:divBdr>
          <w:divsChild>
            <w:div w:id="406877524">
              <w:marLeft w:val="0"/>
              <w:marRight w:val="0"/>
              <w:marTop w:val="105"/>
              <w:marBottom w:val="0"/>
              <w:divBdr>
                <w:top w:val="none" w:sz="0" w:space="0" w:color="auto"/>
                <w:left w:val="none" w:sz="0" w:space="0" w:color="auto"/>
                <w:bottom w:val="none" w:sz="0" w:space="0" w:color="auto"/>
                <w:right w:val="none" w:sz="0" w:space="0" w:color="auto"/>
              </w:divBdr>
            </w:div>
            <w:div w:id="1817600431">
              <w:marLeft w:val="0"/>
              <w:marRight w:val="0"/>
              <w:marTop w:val="0"/>
              <w:marBottom w:val="0"/>
              <w:divBdr>
                <w:top w:val="none" w:sz="0" w:space="0" w:color="auto"/>
                <w:left w:val="none" w:sz="0" w:space="0" w:color="auto"/>
                <w:bottom w:val="none" w:sz="0" w:space="0" w:color="auto"/>
                <w:right w:val="none" w:sz="0" w:space="0" w:color="auto"/>
              </w:divBdr>
              <w:divsChild>
                <w:div w:id="1082609569">
                  <w:marLeft w:val="255"/>
                  <w:marRight w:val="0"/>
                  <w:marTop w:val="0"/>
                  <w:marBottom w:val="0"/>
                  <w:divBdr>
                    <w:top w:val="none" w:sz="0" w:space="0" w:color="auto"/>
                    <w:left w:val="none" w:sz="0" w:space="0" w:color="auto"/>
                    <w:bottom w:val="none" w:sz="0" w:space="0" w:color="auto"/>
                    <w:right w:val="none" w:sz="0" w:space="0" w:color="auto"/>
                  </w:divBdr>
                </w:div>
              </w:divsChild>
            </w:div>
            <w:div w:id="741951701">
              <w:marLeft w:val="0"/>
              <w:marRight w:val="0"/>
              <w:marTop w:val="0"/>
              <w:marBottom w:val="0"/>
              <w:divBdr>
                <w:top w:val="none" w:sz="0" w:space="0" w:color="auto"/>
                <w:left w:val="none" w:sz="0" w:space="0" w:color="auto"/>
                <w:bottom w:val="none" w:sz="0" w:space="0" w:color="auto"/>
                <w:right w:val="none" w:sz="0" w:space="0" w:color="auto"/>
              </w:divBdr>
              <w:divsChild>
                <w:div w:id="570434223">
                  <w:marLeft w:val="255"/>
                  <w:marRight w:val="0"/>
                  <w:marTop w:val="0"/>
                  <w:marBottom w:val="0"/>
                  <w:divBdr>
                    <w:top w:val="none" w:sz="0" w:space="0" w:color="auto"/>
                    <w:left w:val="none" w:sz="0" w:space="0" w:color="auto"/>
                    <w:bottom w:val="none" w:sz="0" w:space="0" w:color="auto"/>
                    <w:right w:val="none" w:sz="0" w:space="0" w:color="auto"/>
                  </w:divBdr>
                </w:div>
              </w:divsChild>
            </w:div>
            <w:div w:id="559053385">
              <w:marLeft w:val="0"/>
              <w:marRight w:val="0"/>
              <w:marTop w:val="0"/>
              <w:marBottom w:val="0"/>
              <w:divBdr>
                <w:top w:val="none" w:sz="0" w:space="0" w:color="auto"/>
                <w:left w:val="none" w:sz="0" w:space="0" w:color="auto"/>
                <w:bottom w:val="none" w:sz="0" w:space="0" w:color="auto"/>
                <w:right w:val="none" w:sz="0" w:space="0" w:color="auto"/>
              </w:divBdr>
              <w:divsChild>
                <w:div w:id="6772723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4679872">
          <w:marLeft w:val="0"/>
          <w:marRight w:val="0"/>
          <w:marTop w:val="0"/>
          <w:marBottom w:val="0"/>
          <w:divBdr>
            <w:top w:val="none" w:sz="0" w:space="0" w:color="auto"/>
            <w:left w:val="none" w:sz="0" w:space="0" w:color="auto"/>
            <w:bottom w:val="none" w:sz="0" w:space="0" w:color="auto"/>
            <w:right w:val="none" w:sz="0" w:space="0" w:color="auto"/>
          </w:divBdr>
          <w:divsChild>
            <w:div w:id="8543479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24804">
      <w:bodyDiv w:val="1"/>
      <w:marLeft w:val="0"/>
      <w:marRight w:val="0"/>
      <w:marTop w:val="0"/>
      <w:marBottom w:val="0"/>
      <w:divBdr>
        <w:top w:val="none" w:sz="0" w:space="0" w:color="auto"/>
        <w:left w:val="none" w:sz="0" w:space="0" w:color="auto"/>
        <w:bottom w:val="none" w:sz="0" w:space="0" w:color="auto"/>
        <w:right w:val="none" w:sz="0" w:space="0" w:color="auto"/>
      </w:divBdr>
      <w:divsChild>
        <w:div w:id="250938208">
          <w:marLeft w:val="0"/>
          <w:marRight w:val="0"/>
          <w:marTop w:val="0"/>
          <w:marBottom w:val="0"/>
          <w:divBdr>
            <w:top w:val="none" w:sz="0" w:space="0" w:color="auto"/>
            <w:left w:val="none" w:sz="0" w:space="0" w:color="auto"/>
            <w:bottom w:val="none" w:sz="0" w:space="0" w:color="auto"/>
            <w:right w:val="none" w:sz="0" w:space="0" w:color="auto"/>
          </w:divBdr>
          <w:divsChild>
            <w:div w:id="533150621">
              <w:marLeft w:val="0"/>
              <w:marRight w:val="0"/>
              <w:marTop w:val="105"/>
              <w:marBottom w:val="0"/>
              <w:divBdr>
                <w:top w:val="none" w:sz="0" w:space="0" w:color="auto"/>
                <w:left w:val="none" w:sz="0" w:space="0" w:color="auto"/>
                <w:bottom w:val="none" w:sz="0" w:space="0" w:color="auto"/>
                <w:right w:val="none" w:sz="0" w:space="0" w:color="auto"/>
              </w:divBdr>
            </w:div>
          </w:divsChild>
        </w:div>
        <w:div w:id="873082516">
          <w:marLeft w:val="0"/>
          <w:marRight w:val="0"/>
          <w:marTop w:val="0"/>
          <w:marBottom w:val="0"/>
          <w:divBdr>
            <w:top w:val="none" w:sz="0" w:space="0" w:color="auto"/>
            <w:left w:val="none" w:sz="0" w:space="0" w:color="auto"/>
            <w:bottom w:val="none" w:sz="0" w:space="0" w:color="auto"/>
            <w:right w:val="none" w:sz="0" w:space="0" w:color="auto"/>
          </w:divBdr>
          <w:divsChild>
            <w:div w:id="19683179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299759">
      <w:bodyDiv w:val="1"/>
      <w:marLeft w:val="0"/>
      <w:marRight w:val="0"/>
      <w:marTop w:val="0"/>
      <w:marBottom w:val="0"/>
      <w:divBdr>
        <w:top w:val="none" w:sz="0" w:space="0" w:color="auto"/>
        <w:left w:val="none" w:sz="0" w:space="0" w:color="auto"/>
        <w:bottom w:val="none" w:sz="0" w:space="0" w:color="auto"/>
        <w:right w:val="none" w:sz="0" w:space="0" w:color="auto"/>
      </w:divBdr>
      <w:divsChild>
        <w:div w:id="675614801">
          <w:marLeft w:val="0"/>
          <w:marRight w:val="0"/>
          <w:marTop w:val="0"/>
          <w:marBottom w:val="0"/>
          <w:divBdr>
            <w:top w:val="none" w:sz="0" w:space="0" w:color="auto"/>
            <w:left w:val="none" w:sz="0" w:space="0" w:color="auto"/>
            <w:bottom w:val="none" w:sz="0" w:space="0" w:color="auto"/>
            <w:right w:val="none" w:sz="0" w:space="0" w:color="auto"/>
          </w:divBdr>
          <w:divsChild>
            <w:div w:id="61102070">
              <w:marLeft w:val="0"/>
              <w:marRight w:val="0"/>
              <w:marTop w:val="105"/>
              <w:marBottom w:val="0"/>
              <w:divBdr>
                <w:top w:val="none" w:sz="0" w:space="0" w:color="auto"/>
                <w:left w:val="none" w:sz="0" w:space="0" w:color="auto"/>
                <w:bottom w:val="none" w:sz="0" w:space="0" w:color="auto"/>
                <w:right w:val="none" w:sz="0" w:space="0" w:color="auto"/>
              </w:divBdr>
            </w:div>
          </w:divsChild>
        </w:div>
        <w:div w:id="1778478911">
          <w:marLeft w:val="0"/>
          <w:marRight w:val="0"/>
          <w:marTop w:val="0"/>
          <w:marBottom w:val="0"/>
          <w:divBdr>
            <w:top w:val="none" w:sz="0" w:space="0" w:color="auto"/>
            <w:left w:val="none" w:sz="0" w:space="0" w:color="auto"/>
            <w:bottom w:val="none" w:sz="0" w:space="0" w:color="auto"/>
            <w:right w:val="none" w:sz="0" w:space="0" w:color="auto"/>
          </w:divBdr>
          <w:divsChild>
            <w:div w:id="163132889">
              <w:marLeft w:val="0"/>
              <w:marRight w:val="0"/>
              <w:marTop w:val="105"/>
              <w:marBottom w:val="0"/>
              <w:divBdr>
                <w:top w:val="none" w:sz="0" w:space="0" w:color="auto"/>
                <w:left w:val="none" w:sz="0" w:space="0" w:color="auto"/>
                <w:bottom w:val="none" w:sz="0" w:space="0" w:color="auto"/>
                <w:right w:val="none" w:sz="0" w:space="0" w:color="auto"/>
              </w:divBdr>
            </w:div>
          </w:divsChild>
        </w:div>
        <w:div w:id="1387334787">
          <w:marLeft w:val="0"/>
          <w:marRight w:val="0"/>
          <w:marTop w:val="0"/>
          <w:marBottom w:val="0"/>
          <w:divBdr>
            <w:top w:val="none" w:sz="0" w:space="0" w:color="auto"/>
            <w:left w:val="none" w:sz="0" w:space="0" w:color="auto"/>
            <w:bottom w:val="none" w:sz="0" w:space="0" w:color="auto"/>
            <w:right w:val="none" w:sz="0" w:space="0" w:color="auto"/>
          </w:divBdr>
          <w:divsChild>
            <w:div w:id="1957445311">
              <w:marLeft w:val="0"/>
              <w:marRight w:val="0"/>
              <w:marTop w:val="105"/>
              <w:marBottom w:val="0"/>
              <w:divBdr>
                <w:top w:val="none" w:sz="0" w:space="0" w:color="auto"/>
                <w:left w:val="none" w:sz="0" w:space="0" w:color="auto"/>
                <w:bottom w:val="none" w:sz="0" w:space="0" w:color="auto"/>
                <w:right w:val="none" w:sz="0" w:space="0" w:color="auto"/>
              </w:divBdr>
            </w:div>
          </w:divsChild>
        </w:div>
        <w:div w:id="1717704105">
          <w:marLeft w:val="0"/>
          <w:marRight w:val="0"/>
          <w:marTop w:val="0"/>
          <w:marBottom w:val="0"/>
          <w:divBdr>
            <w:top w:val="none" w:sz="0" w:space="0" w:color="auto"/>
            <w:left w:val="none" w:sz="0" w:space="0" w:color="auto"/>
            <w:bottom w:val="none" w:sz="0" w:space="0" w:color="auto"/>
            <w:right w:val="none" w:sz="0" w:space="0" w:color="auto"/>
          </w:divBdr>
          <w:divsChild>
            <w:div w:id="442265804">
              <w:marLeft w:val="0"/>
              <w:marRight w:val="0"/>
              <w:marTop w:val="105"/>
              <w:marBottom w:val="0"/>
              <w:divBdr>
                <w:top w:val="none" w:sz="0" w:space="0" w:color="auto"/>
                <w:left w:val="none" w:sz="0" w:space="0" w:color="auto"/>
                <w:bottom w:val="none" w:sz="0" w:space="0" w:color="auto"/>
                <w:right w:val="none" w:sz="0" w:space="0" w:color="auto"/>
              </w:divBdr>
            </w:div>
          </w:divsChild>
        </w:div>
        <w:div w:id="2005355602">
          <w:marLeft w:val="0"/>
          <w:marRight w:val="0"/>
          <w:marTop w:val="0"/>
          <w:marBottom w:val="0"/>
          <w:divBdr>
            <w:top w:val="none" w:sz="0" w:space="0" w:color="auto"/>
            <w:left w:val="none" w:sz="0" w:space="0" w:color="auto"/>
            <w:bottom w:val="none" w:sz="0" w:space="0" w:color="auto"/>
            <w:right w:val="none" w:sz="0" w:space="0" w:color="auto"/>
          </w:divBdr>
          <w:divsChild>
            <w:div w:id="1261706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265563">
      <w:bodyDiv w:val="1"/>
      <w:marLeft w:val="0"/>
      <w:marRight w:val="0"/>
      <w:marTop w:val="0"/>
      <w:marBottom w:val="0"/>
      <w:divBdr>
        <w:top w:val="none" w:sz="0" w:space="0" w:color="auto"/>
        <w:left w:val="none" w:sz="0" w:space="0" w:color="auto"/>
        <w:bottom w:val="none" w:sz="0" w:space="0" w:color="auto"/>
        <w:right w:val="none" w:sz="0" w:space="0" w:color="auto"/>
      </w:divBdr>
      <w:divsChild>
        <w:div w:id="215821833">
          <w:marLeft w:val="0"/>
          <w:marRight w:val="0"/>
          <w:marTop w:val="0"/>
          <w:marBottom w:val="0"/>
          <w:divBdr>
            <w:top w:val="none" w:sz="0" w:space="0" w:color="auto"/>
            <w:left w:val="none" w:sz="0" w:space="0" w:color="auto"/>
            <w:bottom w:val="none" w:sz="0" w:space="0" w:color="auto"/>
            <w:right w:val="none" w:sz="0" w:space="0" w:color="auto"/>
          </w:divBdr>
          <w:divsChild>
            <w:div w:id="1520973751">
              <w:marLeft w:val="0"/>
              <w:marRight w:val="0"/>
              <w:marTop w:val="105"/>
              <w:marBottom w:val="0"/>
              <w:divBdr>
                <w:top w:val="none" w:sz="0" w:space="0" w:color="auto"/>
                <w:left w:val="none" w:sz="0" w:space="0" w:color="auto"/>
                <w:bottom w:val="none" w:sz="0" w:space="0" w:color="auto"/>
                <w:right w:val="none" w:sz="0" w:space="0" w:color="auto"/>
              </w:divBdr>
            </w:div>
          </w:divsChild>
        </w:div>
        <w:div w:id="427896648">
          <w:marLeft w:val="0"/>
          <w:marRight w:val="0"/>
          <w:marTop w:val="0"/>
          <w:marBottom w:val="0"/>
          <w:divBdr>
            <w:top w:val="none" w:sz="0" w:space="0" w:color="auto"/>
            <w:left w:val="none" w:sz="0" w:space="0" w:color="auto"/>
            <w:bottom w:val="none" w:sz="0" w:space="0" w:color="auto"/>
            <w:right w:val="none" w:sz="0" w:space="0" w:color="auto"/>
          </w:divBdr>
          <w:divsChild>
            <w:div w:id="786584366">
              <w:marLeft w:val="0"/>
              <w:marRight w:val="0"/>
              <w:marTop w:val="105"/>
              <w:marBottom w:val="0"/>
              <w:divBdr>
                <w:top w:val="none" w:sz="0" w:space="0" w:color="auto"/>
                <w:left w:val="none" w:sz="0" w:space="0" w:color="auto"/>
                <w:bottom w:val="none" w:sz="0" w:space="0" w:color="auto"/>
                <w:right w:val="none" w:sz="0" w:space="0" w:color="auto"/>
              </w:divBdr>
            </w:div>
          </w:divsChild>
        </w:div>
        <w:div w:id="926577966">
          <w:marLeft w:val="0"/>
          <w:marRight w:val="0"/>
          <w:marTop w:val="0"/>
          <w:marBottom w:val="0"/>
          <w:divBdr>
            <w:top w:val="none" w:sz="0" w:space="0" w:color="auto"/>
            <w:left w:val="none" w:sz="0" w:space="0" w:color="auto"/>
            <w:bottom w:val="none" w:sz="0" w:space="0" w:color="auto"/>
            <w:right w:val="none" w:sz="0" w:space="0" w:color="auto"/>
          </w:divBdr>
          <w:divsChild>
            <w:div w:id="2087341510">
              <w:marLeft w:val="0"/>
              <w:marRight w:val="0"/>
              <w:marTop w:val="105"/>
              <w:marBottom w:val="0"/>
              <w:divBdr>
                <w:top w:val="none" w:sz="0" w:space="0" w:color="auto"/>
                <w:left w:val="none" w:sz="0" w:space="0" w:color="auto"/>
                <w:bottom w:val="none" w:sz="0" w:space="0" w:color="auto"/>
                <w:right w:val="none" w:sz="0" w:space="0" w:color="auto"/>
              </w:divBdr>
            </w:div>
          </w:divsChild>
        </w:div>
        <w:div w:id="996610253">
          <w:marLeft w:val="0"/>
          <w:marRight w:val="0"/>
          <w:marTop w:val="0"/>
          <w:marBottom w:val="0"/>
          <w:divBdr>
            <w:top w:val="none" w:sz="0" w:space="0" w:color="auto"/>
            <w:left w:val="none" w:sz="0" w:space="0" w:color="auto"/>
            <w:bottom w:val="none" w:sz="0" w:space="0" w:color="auto"/>
            <w:right w:val="none" w:sz="0" w:space="0" w:color="auto"/>
          </w:divBdr>
          <w:divsChild>
            <w:div w:id="171185525">
              <w:marLeft w:val="0"/>
              <w:marRight w:val="0"/>
              <w:marTop w:val="105"/>
              <w:marBottom w:val="0"/>
              <w:divBdr>
                <w:top w:val="none" w:sz="0" w:space="0" w:color="auto"/>
                <w:left w:val="none" w:sz="0" w:space="0" w:color="auto"/>
                <w:bottom w:val="none" w:sz="0" w:space="0" w:color="auto"/>
                <w:right w:val="none" w:sz="0" w:space="0" w:color="auto"/>
              </w:divBdr>
            </w:div>
            <w:div w:id="1453206672">
              <w:marLeft w:val="0"/>
              <w:marRight w:val="0"/>
              <w:marTop w:val="0"/>
              <w:marBottom w:val="0"/>
              <w:divBdr>
                <w:top w:val="none" w:sz="0" w:space="0" w:color="auto"/>
                <w:left w:val="none" w:sz="0" w:space="0" w:color="auto"/>
                <w:bottom w:val="none" w:sz="0" w:space="0" w:color="auto"/>
                <w:right w:val="none" w:sz="0" w:space="0" w:color="auto"/>
              </w:divBdr>
              <w:divsChild>
                <w:div w:id="1004939829">
                  <w:marLeft w:val="255"/>
                  <w:marRight w:val="0"/>
                  <w:marTop w:val="0"/>
                  <w:marBottom w:val="0"/>
                  <w:divBdr>
                    <w:top w:val="none" w:sz="0" w:space="0" w:color="auto"/>
                    <w:left w:val="none" w:sz="0" w:space="0" w:color="auto"/>
                    <w:bottom w:val="none" w:sz="0" w:space="0" w:color="auto"/>
                    <w:right w:val="none" w:sz="0" w:space="0" w:color="auto"/>
                  </w:divBdr>
                </w:div>
              </w:divsChild>
            </w:div>
            <w:div w:id="1422212708">
              <w:marLeft w:val="0"/>
              <w:marRight w:val="0"/>
              <w:marTop w:val="0"/>
              <w:marBottom w:val="0"/>
              <w:divBdr>
                <w:top w:val="none" w:sz="0" w:space="0" w:color="auto"/>
                <w:left w:val="none" w:sz="0" w:space="0" w:color="auto"/>
                <w:bottom w:val="none" w:sz="0" w:space="0" w:color="auto"/>
                <w:right w:val="none" w:sz="0" w:space="0" w:color="auto"/>
              </w:divBdr>
              <w:divsChild>
                <w:div w:id="312490400">
                  <w:marLeft w:val="255"/>
                  <w:marRight w:val="0"/>
                  <w:marTop w:val="0"/>
                  <w:marBottom w:val="0"/>
                  <w:divBdr>
                    <w:top w:val="none" w:sz="0" w:space="0" w:color="auto"/>
                    <w:left w:val="none" w:sz="0" w:space="0" w:color="auto"/>
                    <w:bottom w:val="none" w:sz="0" w:space="0" w:color="auto"/>
                    <w:right w:val="none" w:sz="0" w:space="0" w:color="auto"/>
                  </w:divBdr>
                </w:div>
              </w:divsChild>
            </w:div>
            <w:div w:id="1691026998">
              <w:marLeft w:val="0"/>
              <w:marRight w:val="0"/>
              <w:marTop w:val="0"/>
              <w:marBottom w:val="0"/>
              <w:divBdr>
                <w:top w:val="none" w:sz="0" w:space="0" w:color="auto"/>
                <w:left w:val="none" w:sz="0" w:space="0" w:color="auto"/>
                <w:bottom w:val="none" w:sz="0" w:space="0" w:color="auto"/>
                <w:right w:val="none" w:sz="0" w:space="0" w:color="auto"/>
              </w:divBdr>
              <w:divsChild>
                <w:div w:id="768965737">
                  <w:marLeft w:val="255"/>
                  <w:marRight w:val="0"/>
                  <w:marTop w:val="0"/>
                  <w:marBottom w:val="0"/>
                  <w:divBdr>
                    <w:top w:val="none" w:sz="0" w:space="0" w:color="auto"/>
                    <w:left w:val="none" w:sz="0" w:space="0" w:color="auto"/>
                    <w:bottom w:val="none" w:sz="0" w:space="0" w:color="auto"/>
                    <w:right w:val="none" w:sz="0" w:space="0" w:color="auto"/>
                  </w:divBdr>
                </w:div>
              </w:divsChild>
            </w:div>
            <w:div w:id="482355313">
              <w:marLeft w:val="0"/>
              <w:marRight w:val="0"/>
              <w:marTop w:val="0"/>
              <w:marBottom w:val="0"/>
              <w:divBdr>
                <w:top w:val="none" w:sz="0" w:space="0" w:color="auto"/>
                <w:left w:val="none" w:sz="0" w:space="0" w:color="auto"/>
                <w:bottom w:val="none" w:sz="0" w:space="0" w:color="auto"/>
                <w:right w:val="none" w:sz="0" w:space="0" w:color="auto"/>
              </w:divBdr>
              <w:divsChild>
                <w:div w:id="1044254722">
                  <w:marLeft w:val="255"/>
                  <w:marRight w:val="0"/>
                  <w:marTop w:val="0"/>
                  <w:marBottom w:val="0"/>
                  <w:divBdr>
                    <w:top w:val="none" w:sz="0" w:space="0" w:color="auto"/>
                    <w:left w:val="none" w:sz="0" w:space="0" w:color="auto"/>
                    <w:bottom w:val="none" w:sz="0" w:space="0" w:color="auto"/>
                    <w:right w:val="none" w:sz="0" w:space="0" w:color="auto"/>
                  </w:divBdr>
                </w:div>
              </w:divsChild>
            </w:div>
            <w:div w:id="527447559">
              <w:marLeft w:val="0"/>
              <w:marRight w:val="0"/>
              <w:marTop w:val="0"/>
              <w:marBottom w:val="0"/>
              <w:divBdr>
                <w:top w:val="none" w:sz="0" w:space="0" w:color="auto"/>
                <w:left w:val="none" w:sz="0" w:space="0" w:color="auto"/>
                <w:bottom w:val="none" w:sz="0" w:space="0" w:color="auto"/>
                <w:right w:val="none" w:sz="0" w:space="0" w:color="auto"/>
              </w:divBdr>
              <w:divsChild>
                <w:div w:id="2068797981">
                  <w:marLeft w:val="255"/>
                  <w:marRight w:val="0"/>
                  <w:marTop w:val="0"/>
                  <w:marBottom w:val="0"/>
                  <w:divBdr>
                    <w:top w:val="none" w:sz="0" w:space="0" w:color="auto"/>
                    <w:left w:val="none" w:sz="0" w:space="0" w:color="auto"/>
                    <w:bottom w:val="none" w:sz="0" w:space="0" w:color="auto"/>
                    <w:right w:val="none" w:sz="0" w:space="0" w:color="auto"/>
                  </w:divBdr>
                </w:div>
              </w:divsChild>
            </w:div>
            <w:div w:id="317416576">
              <w:marLeft w:val="0"/>
              <w:marRight w:val="0"/>
              <w:marTop w:val="0"/>
              <w:marBottom w:val="0"/>
              <w:divBdr>
                <w:top w:val="none" w:sz="0" w:space="0" w:color="auto"/>
                <w:left w:val="none" w:sz="0" w:space="0" w:color="auto"/>
                <w:bottom w:val="none" w:sz="0" w:space="0" w:color="auto"/>
                <w:right w:val="none" w:sz="0" w:space="0" w:color="auto"/>
              </w:divBdr>
              <w:divsChild>
                <w:div w:id="1097794994">
                  <w:marLeft w:val="255"/>
                  <w:marRight w:val="0"/>
                  <w:marTop w:val="0"/>
                  <w:marBottom w:val="0"/>
                  <w:divBdr>
                    <w:top w:val="none" w:sz="0" w:space="0" w:color="auto"/>
                    <w:left w:val="none" w:sz="0" w:space="0" w:color="auto"/>
                    <w:bottom w:val="none" w:sz="0" w:space="0" w:color="auto"/>
                    <w:right w:val="none" w:sz="0" w:space="0" w:color="auto"/>
                  </w:divBdr>
                </w:div>
              </w:divsChild>
            </w:div>
            <w:div w:id="1187062954">
              <w:marLeft w:val="0"/>
              <w:marRight w:val="0"/>
              <w:marTop w:val="0"/>
              <w:marBottom w:val="0"/>
              <w:divBdr>
                <w:top w:val="none" w:sz="0" w:space="0" w:color="auto"/>
                <w:left w:val="none" w:sz="0" w:space="0" w:color="auto"/>
                <w:bottom w:val="none" w:sz="0" w:space="0" w:color="auto"/>
                <w:right w:val="none" w:sz="0" w:space="0" w:color="auto"/>
              </w:divBdr>
              <w:divsChild>
                <w:div w:id="738019725">
                  <w:marLeft w:val="255"/>
                  <w:marRight w:val="0"/>
                  <w:marTop w:val="0"/>
                  <w:marBottom w:val="0"/>
                  <w:divBdr>
                    <w:top w:val="none" w:sz="0" w:space="0" w:color="auto"/>
                    <w:left w:val="none" w:sz="0" w:space="0" w:color="auto"/>
                    <w:bottom w:val="none" w:sz="0" w:space="0" w:color="auto"/>
                    <w:right w:val="none" w:sz="0" w:space="0" w:color="auto"/>
                  </w:divBdr>
                </w:div>
              </w:divsChild>
            </w:div>
            <w:div w:id="1567032184">
              <w:marLeft w:val="0"/>
              <w:marRight w:val="0"/>
              <w:marTop w:val="0"/>
              <w:marBottom w:val="0"/>
              <w:divBdr>
                <w:top w:val="none" w:sz="0" w:space="0" w:color="auto"/>
                <w:left w:val="none" w:sz="0" w:space="0" w:color="auto"/>
                <w:bottom w:val="none" w:sz="0" w:space="0" w:color="auto"/>
                <w:right w:val="none" w:sz="0" w:space="0" w:color="auto"/>
              </w:divBdr>
              <w:divsChild>
                <w:div w:id="783965063">
                  <w:marLeft w:val="255"/>
                  <w:marRight w:val="0"/>
                  <w:marTop w:val="0"/>
                  <w:marBottom w:val="0"/>
                  <w:divBdr>
                    <w:top w:val="none" w:sz="0" w:space="0" w:color="auto"/>
                    <w:left w:val="none" w:sz="0" w:space="0" w:color="auto"/>
                    <w:bottom w:val="none" w:sz="0" w:space="0" w:color="auto"/>
                    <w:right w:val="none" w:sz="0" w:space="0" w:color="auto"/>
                  </w:divBdr>
                </w:div>
              </w:divsChild>
            </w:div>
            <w:div w:id="1142767509">
              <w:marLeft w:val="0"/>
              <w:marRight w:val="0"/>
              <w:marTop w:val="0"/>
              <w:marBottom w:val="0"/>
              <w:divBdr>
                <w:top w:val="none" w:sz="0" w:space="0" w:color="auto"/>
                <w:left w:val="none" w:sz="0" w:space="0" w:color="auto"/>
                <w:bottom w:val="none" w:sz="0" w:space="0" w:color="auto"/>
                <w:right w:val="none" w:sz="0" w:space="0" w:color="auto"/>
              </w:divBdr>
              <w:divsChild>
                <w:div w:id="565067335">
                  <w:marLeft w:val="255"/>
                  <w:marRight w:val="0"/>
                  <w:marTop w:val="0"/>
                  <w:marBottom w:val="0"/>
                  <w:divBdr>
                    <w:top w:val="none" w:sz="0" w:space="0" w:color="auto"/>
                    <w:left w:val="none" w:sz="0" w:space="0" w:color="auto"/>
                    <w:bottom w:val="none" w:sz="0" w:space="0" w:color="auto"/>
                    <w:right w:val="none" w:sz="0" w:space="0" w:color="auto"/>
                  </w:divBdr>
                </w:div>
              </w:divsChild>
            </w:div>
            <w:div w:id="661087664">
              <w:marLeft w:val="0"/>
              <w:marRight w:val="0"/>
              <w:marTop w:val="0"/>
              <w:marBottom w:val="0"/>
              <w:divBdr>
                <w:top w:val="none" w:sz="0" w:space="0" w:color="auto"/>
                <w:left w:val="none" w:sz="0" w:space="0" w:color="auto"/>
                <w:bottom w:val="none" w:sz="0" w:space="0" w:color="auto"/>
                <w:right w:val="none" w:sz="0" w:space="0" w:color="auto"/>
              </w:divBdr>
              <w:divsChild>
                <w:div w:id="10854991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409">
      <w:bodyDiv w:val="1"/>
      <w:marLeft w:val="0"/>
      <w:marRight w:val="0"/>
      <w:marTop w:val="0"/>
      <w:marBottom w:val="0"/>
      <w:divBdr>
        <w:top w:val="none" w:sz="0" w:space="0" w:color="auto"/>
        <w:left w:val="none" w:sz="0" w:space="0" w:color="auto"/>
        <w:bottom w:val="none" w:sz="0" w:space="0" w:color="auto"/>
        <w:right w:val="none" w:sz="0" w:space="0" w:color="auto"/>
      </w:divBdr>
      <w:divsChild>
        <w:div w:id="553781429">
          <w:marLeft w:val="0"/>
          <w:marRight w:val="0"/>
          <w:marTop w:val="0"/>
          <w:marBottom w:val="0"/>
          <w:divBdr>
            <w:top w:val="none" w:sz="0" w:space="0" w:color="auto"/>
            <w:left w:val="none" w:sz="0" w:space="0" w:color="auto"/>
            <w:bottom w:val="none" w:sz="0" w:space="0" w:color="auto"/>
            <w:right w:val="none" w:sz="0" w:space="0" w:color="auto"/>
          </w:divBdr>
          <w:divsChild>
            <w:div w:id="125705025">
              <w:marLeft w:val="0"/>
              <w:marRight w:val="0"/>
              <w:marTop w:val="105"/>
              <w:marBottom w:val="0"/>
              <w:divBdr>
                <w:top w:val="none" w:sz="0" w:space="0" w:color="auto"/>
                <w:left w:val="none" w:sz="0" w:space="0" w:color="auto"/>
                <w:bottom w:val="none" w:sz="0" w:space="0" w:color="auto"/>
                <w:right w:val="none" w:sz="0" w:space="0" w:color="auto"/>
              </w:divBdr>
            </w:div>
          </w:divsChild>
        </w:div>
        <w:div w:id="1301424431">
          <w:marLeft w:val="0"/>
          <w:marRight w:val="0"/>
          <w:marTop w:val="0"/>
          <w:marBottom w:val="0"/>
          <w:divBdr>
            <w:top w:val="none" w:sz="0" w:space="0" w:color="auto"/>
            <w:left w:val="none" w:sz="0" w:space="0" w:color="auto"/>
            <w:bottom w:val="none" w:sz="0" w:space="0" w:color="auto"/>
            <w:right w:val="none" w:sz="0" w:space="0" w:color="auto"/>
          </w:divBdr>
          <w:divsChild>
            <w:div w:id="160706823">
              <w:marLeft w:val="0"/>
              <w:marRight w:val="0"/>
              <w:marTop w:val="105"/>
              <w:marBottom w:val="0"/>
              <w:divBdr>
                <w:top w:val="none" w:sz="0" w:space="0" w:color="auto"/>
                <w:left w:val="none" w:sz="0" w:space="0" w:color="auto"/>
                <w:bottom w:val="none" w:sz="0" w:space="0" w:color="auto"/>
                <w:right w:val="none" w:sz="0" w:space="0" w:color="auto"/>
              </w:divBdr>
            </w:div>
            <w:div w:id="583689446">
              <w:marLeft w:val="0"/>
              <w:marRight w:val="0"/>
              <w:marTop w:val="0"/>
              <w:marBottom w:val="0"/>
              <w:divBdr>
                <w:top w:val="none" w:sz="0" w:space="0" w:color="auto"/>
                <w:left w:val="none" w:sz="0" w:space="0" w:color="auto"/>
                <w:bottom w:val="none" w:sz="0" w:space="0" w:color="auto"/>
                <w:right w:val="none" w:sz="0" w:space="0" w:color="auto"/>
              </w:divBdr>
              <w:divsChild>
                <w:div w:id="1638486162">
                  <w:marLeft w:val="255"/>
                  <w:marRight w:val="0"/>
                  <w:marTop w:val="0"/>
                  <w:marBottom w:val="0"/>
                  <w:divBdr>
                    <w:top w:val="none" w:sz="0" w:space="0" w:color="auto"/>
                    <w:left w:val="none" w:sz="0" w:space="0" w:color="auto"/>
                    <w:bottom w:val="none" w:sz="0" w:space="0" w:color="auto"/>
                    <w:right w:val="none" w:sz="0" w:space="0" w:color="auto"/>
                  </w:divBdr>
                </w:div>
              </w:divsChild>
            </w:div>
            <w:div w:id="1170487570">
              <w:marLeft w:val="0"/>
              <w:marRight w:val="0"/>
              <w:marTop w:val="0"/>
              <w:marBottom w:val="0"/>
              <w:divBdr>
                <w:top w:val="none" w:sz="0" w:space="0" w:color="auto"/>
                <w:left w:val="none" w:sz="0" w:space="0" w:color="auto"/>
                <w:bottom w:val="none" w:sz="0" w:space="0" w:color="auto"/>
                <w:right w:val="none" w:sz="0" w:space="0" w:color="auto"/>
              </w:divBdr>
              <w:divsChild>
                <w:div w:id="2006785391">
                  <w:marLeft w:val="255"/>
                  <w:marRight w:val="0"/>
                  <w:marTop w:val="0"/>
                  <w:marBottom w:val="0"/>
                  <w:divBdr>
                    <w:top w:val="none" w:sz="0" w:space="0" w:color="auto"/>
                    <w:left w:val="none" w:sz="0" w:space="0" w:color="auto"/>
                    <w:bottom w:val="none" w:sz="0" w:space="0" w:color="auto"/>
                    <w:right w:val="none" w:sz="0" w:space="0" w:color="auto"/>
                  </w:divBdr>
                </w:div>
              </w:divsChild>
            </w:div>
            <w:div w:id="1092816226">
              <w:marLeft w:val="0"/>
              <w:marRight w:val="0"/>
              <w:marTop w:val="0"/>
              <w:marBottom w:val="0"/>
              <w:divBdr>
                <w:top w:val="none" w:sz="0" w:space="0" w:color="auto"/>
                <w:left w:val="none" w:sz="0" w:space="0" w:color="auto"/>
                <w:bottom w:val="none" w:sz="0" w:space="0" w:color="auto"/>
                <w:right w:val="none" w:sz="0" w:space="0" w:color="auto"/>
              </w:divBdr>
              <w:divsChild>
                <w:div w:id="2066562314">
                  <w:marLeft w:val="255"/>
                  <w:marRight w:val="0"/>
                  <w:marTop w:val="0"/>
                  <w:marBottom w:val="0"/>
                  <w:divBdr>
                    <w:top w:val="none" w:sz="0" w:space="0" w:color="auto"/>
                    <w:left w:val="none" w:sz="0" w:space="0" w:color="auto"/>
                    <w:bottom w:val="none" w:sz="0" w:space="0" w:color="auto"/>
                    <w:right w:val="none" w:sz="0" w:space="0" w:color="auto"/>
                  </w:divBdr>
                </w:div>
              </w:divsChild>
            </w:div>
            <w:div w:id="1381053038">
              <w:marLeft w:val="0"/>
              <w:marRight w:val="0"/>
              <w:marTop w:val="0"/>
              <w:marBottom w:val="0"/>
              <w:divBdr>
                <w:top w:val="none" w:sz="0" w:space="0" w:color="auto"/>
                <w:left w:val="none" w:sz="0" w:space="0" w:color="auto"/>
                <w:bottom w:val="none" w:sz="0" w:space="0" w:color="auto"/>
                <w:right w:val="none" w:sz="0" w:space="0" w:color="auto"/>
              </w:divBdr>
              <w:divsChild>
                <w:div w:id="185109589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72593640">
          <w:marLeft w:val="0"/>
          <w:marRight w:val="0"/>
          <w:marTop w:val="0"/>
          <w:marBottom w:val="0"/>
          <w:divBdr>
            <w:top w:val="none" w:sz="0" w:space="0" w:color="auto"/>
            <w:left w:val="none" w:sz="0" w:space="0" w:color="auto"/>
            <w:bottom w:val="none" w:sz="0" w:space="0" w:color="auto"/>
            <w:right w:val="none" w:sz="0" w:space="0" w:color="auto"/>
          </w:divBdr>
          <w:divsChild>
            <w:div w:id="392043782">
              <w:marLeft w:val="0"/>
              <w:marRight w:val="0"/>
              <w:marTop w:val="105"/>
              <w:marBottom w:val="0"/>
              <w:divBdr>
                <w:top w:val="none" w:sz="0" w:space="0" w:color="auto"/>
                <w:left w:val="none" w:sz="0" w:space="0" w:color="auto"/>
                <w:bottom w:val="none" w:sz="0" w:space="0" w:color="auto"/>
                <w:right w:val="none" w:sz="0" w:space="0" w:color="auto"/>
              </w:divBdr>
            </w:div>
          </w:divsChild>
        </w:div>
        <w:div w:id="135880842">
          <w:marLeft w:val="0"/>
          <w:marRight w:val="0"/>
          <w:marTop w:val="0"/>
          <w:marBottom w:val="0"/>
          <w:divBdr>
            <w:top w:val="none" w:sz="0" w:space="0" w:color="auto"/>
            <w:left w:val="none" w:sz="0" w:space="0" w:color="auto"/>
            <w:bottom w:val="none" w:sz="0" w:space="0" w:color="auto"/>
            <w:right w:val="none" w:sz="0" w:space="0" w:color="auto"/>
          </w:divBdr>
          <w:divsChild>
            <w:div w:id="1706566131">
              <w:marLeft w:val="0"/>
              <w:marRight w:val="0"/>
              <w:marTop w:val="105"/>
              <w:marBottom w:val="0"/>
              <w:divBdr>
                <w:top w:val="none" w:sz="0" w:space="0" w:color="auto"/>
                <w:left w:val="none" w:sz="0" w:space="0" w:color="auto"/>
                <w:bottom w:val="none" w:sz="0" w:space="0" w:color="auto"/>
                <w:right w:val="none" w:sz="0" w:space="0" w:color="auto"/>
              </w:divBdr>
            </w:div>
          </w:divsChild>
        </w:div>
        <w:div w:id="1542551481">
          <w:marLeft w:val="0"/>
          <w:marRight w:val="0"/>
          <w:marTop w:val="0"/>
          <w:marBottom w:val="0"/>
          <w:divBdr>
            <w:top w:val="none" w:sz="0" w:space="0" w:color="auto"/>
            <w:left w:val="none" w:sz="0" w:space="0" w:color="auto"/>
            <w:bottom w:val="none" w:sz="0" w:space="0" w:color="auto"/>
            <w:right w:val="none" w:sz="0" w:space="0" w:color="auto"/>
          </w:divBdr>
          <w:divsChild>
            <w:div w:id="658583761">
              <w:marLeft w:val="0"/>
              <w:marRight w:val="0"/>
              <w:marTop w:val="105"/>
              <w:marBottom w:val="0"/>
              <w:divBdr>
                <w:top w:val="none" w:sz="0" w:space="0" w:color="auto"/>
                <w:left w:val="none" w:sz="0" w:space="0" w:color="auto"/>
                <w:bottom w:val="none" w:sz="0" w:space="0" w:color="auto"/>
                <w:right w:val="none" w:sz="0" w:space="0" w:color="auto"/>
              </w:divBdr>
            </w:div>
          </w:divsChild>
        </w:div>
        <w:div w:id="674650165">
          <w:marLeft w:val="0"/>
          <w:marRight w:val="0"/>
          <w:marTop w:val="0"/>
          <w:marBottom w:val="0"/>
          <w:divBdr>
            <w:top w:val="none" w:sz="0" w:space="0" w:color="auto"/>
            <w:left w:val="none" w:sz="0" w:space="0" w:color="auto"/>
            <w:bottom w:val="none" w:sz="0" w:space="0" w:color="auto"/>
            <w:right w:val="none" w:sz="0" w:space="0" w:color="auto"/>
          </w:divBdr>
          <w:divsChild>
            <w:div w:id="4726006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970381">
      <w:bodyDiv w:val="1"/>
      <w:marLeft w:val="0"/>
      <w:marRight w:val="0"/>
      <w:marTop w:val="0"/>
      <w:marBottom w:val="0"/>
      <w:divBdr>
        <w:top w:val="none" w:sz="0" w:space="0" w:color="auto"/>
        <w:left w:val="none" w:sz="0" w:space="0" w:color="auto"/>
        <w:bottom w:val="none" w:sz="0" w:space="0" w:color="auto"/>
        <w:right w:val="none" w:sz="0" w:space="0" w:color="auto"/>
      </w:divBdr>
      <w:divsChild>
        <w:div w:id="322241046">
          <w:marLeft w:val="0"/>
          <w:marRight w:val="0"/>
          <w:marTop w:val="0"/>
          <w:marBottom w:val="0"/>
          <w:divBdr>
            <w:top w:val="none" w:sz="0" w:space="0" w:color="auto"/>
            <w:left w:val="none" w:sz="0" w:space="0" w:color="auto"/>
            <w:bottom w:val="none" w:sz="0" w:space="0" w:color="auto"/>
            <w:right w:val="none" w:sz="0" w:space="0" w:color="auto"/>
          </w:divBdr>
          <w:divsChild>
            <w:div w:id="468328838">
              <w:marLeft w:val="0"/>
              <w:marRight w:val="0"/>
              <w:marTop w:val="105"/>
              <w:marBottom w:val="0"/>
              <w:divBdr>
                <w:top w:val="none" w:sz="0" w:space="0" w:color="auto"/>
                <w:left w:val="none" w:sz="0" w:space="0" w:color="auto"/>
                <w:bottom w:val="none" w:sz="0" w:space="0" w:color="auto"/>
                <w:right w:val="none" w:sz="0" w:space="0" w:color="auto"/>
              </w:divBdr>
            </w:div>
          </w:divsChild>
        </w:div>
        <w:div w:id="1700469241">
          <w:marLeft w:val="0"/>
          <w:marRight w:val="0"/>
          <w:marTop w:val="0"/>
          <w:marBottom w:val="0"/>
          <w:divBdr>
            <w:top w:val="none" w:sz="0" w:space="0" w:color="auto"/>
            <w:left w:val="none" w:sz="0" w:space="0" w:color="auto"/>
            <w:bottom w:val="none" w:sz="0" w:space="0" w:color="auto"/>
            <w:right w:val="none" w:sz="0" w:space="0" w:color="auto"/>
          </w:divBdr>
          <w:divsChild>
            <w:div w:id="378172423">
              <w:marLeft w:val="0"/>
              <w:marRight w:val="0"/>
              <w:marTop w:val="105"/>
              <w:marBottom w:val="0"/>
              <w:divBdr>
                <w:top w:val="none" w:sz="0" w:space="0" w:color="auto"/>
                <w:left w:val="none" w:sz="0" w:space="0" w:color="auto"/>
                <w:bottom w:val="none" w:sz="0" w:space="0" w:color="auto"/>
                <w:right w:val="none" w:sz="0" w:space="0" w:color="auto"/>
              </w:divBdr>
            </w:div>
          </w:divsChild>
        </w:div>
        <w:div w:id="1936084838">
          <w:marLeft w:val="0"/>
          <w:marRight w:val="0"/>
          <w:marTop w:val="0"/>
          <w:marBottom w:val="0"/>
          <w:divBdr>
            <w:top w:val="none" w:sz="0" w:space="0" w:color="auto"/>
            <w:left w:val="none" w:sz="0" w:space="0" w:color="auto"/>
            <w:bottom w:val="none" w:sz="0" w:space="0" w:color="auto"/>
            <w:right w:val="none" w:sz="0" w:space="0" w:color="auto"/>
          </w:divBdr>
          <w:divsChild>
            <w:div w:id="57112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9021406">
      <w:bodyDiv w:val="1"/>
      <w:marLeft w:val="0"/>
      <w:marRight w:val="0"/>
      <w:marTop w:val="0"/>
      <w:marBottom w:val="0"/>
      <w:divBdr>
        <w:top w:val="none" w:sz="0" w:space="0" w:color="auto"/>
        <w:left w:val="none" w:sz="0" w:space="0" w:color="auto"/>
        <w:bottom w:val="none" w:sz="0" w:space="0" w:color="auto"/>
        <w:right w:val="none" w:sz="0" w:space="0" w:color="auto"/>
      </w:divBdr>
      <w:divsChild>
        <w:div w:id="502673016">
          <w:marLeft w:val="0"/>
          <w:marRight w:val="0"/>
          <w:marTop w:val="0"/>
          <w:marBottom w:val="0"/>
          <w:divBdr>
            <w:top w:val="none" w:sz="0" w:space="0" w:color="auto"/>
            <w:left w:val="none" w:sz="0" w:space="0" w:color="auto"/>
            <w:bottom w:val="none" w:sz="0" w:space="0" w:color="auto"/>
            <w:right w:val="none" w:sz="0" w:space="0" w:color="auto"/>
          </w:divBdr>
          <w:divsChild>
            <w:div w:id="766656384">
              <w:marLeft w:val="0"/>
              <w:marRight w:val="0"/>
              <w:marTop w:val="105"/>
              <w:marBottom w:val="0"/>
              <w:divBdr>
                <w:top w:val="none" w:sz="0" w:space="0" w:color="auto"/>
                <w:left w:val="none" w:sz="0" w:space="0" w:color="auto"/>
                <w:bottom w:val="none" w:sz="0" w:space="0" w:color="auto"/>
                <w:right w:val="none" w:sz="0" w:space="0" w:color="auto"/>
              </w:divBdr>
            </w:div>
            <w:div w:id="600189835">
              <w:marLeft w:val="0"/>
              <w:marRight w:val="0"/>
              <w:marTop w:val="0"/>
              <w:marBottom w:val="0"/>
              <w:divBdr>
                <w:top w:val="none" w:sz="0" w:space="0" w:color="auto"/>
                <w:left w:val="none" w:sz="0" w:space="0" w:color="auto"/>
                <w:bottom w:val="none" w:sz="0" w:space="0" w:color="auto"/>
                <w:right w:val="none" w:sz="0" w:space="0" w:color="auto"/>
              </w:divBdr>
              <w:divsChild>
                <w:div w:id="625935388">
                  <w:marLeft w:val="255"/>
                  <w:marRight w:val="0"/>
                  <w:marTop w:val="0"/>
                  <w:marBottom w:val="0"/>
                  <w:divBdr>
                    <w:top w:val="none" w:sz="0" w:space="0" w:color="auto"/>
                    <w:left w:val="none" w:sz="0" w:space="0" w:color="auto"/>
                    <w:bottom w:val="none" w:sz="0" w:space="0" w:color="auto"/>
                    <w:right w:val="none" w:sz="0" w:space="0" w:color="auto"/>
                  </w:divBdr>
                </w:div>
              </w:divsChild>
            </w:div>
            <w:div w:id="1081675913">
              <w:marLeft w:val="0"/>
              <w:marRight w:val="0"/>
              <w:marTop w:val="0"/>
              <w:marBottom w:val="0"/>
              <w:divBdr>
                <w:top w:val="none" w:sz="0" w:space="0" w:color="auto"/>
                <w:left w:val="none" w:sz="0" w:space="0" w:color="auto"/>
                <w:bottom w:val="none" w:sz="0" w:space="0" w:color="auto"/>
                <w:right w:val="none" w:sz="0" w:space="0" w:color="auto"/>
              </w:divBdr>
              <w:divsChild>
                <w:div w:id="61753551">
                  <w:marLeft w:val="255"/>
                  <w:marRight w:val="0"/>
                  <w:marTop w:val="0"/>
                  <w:marBottom w:val="0"/>
                  <w:divBdr>
                    <w:top w:val="none" w:sz="0" w:space="0" w:color="auto"/>
                    <w:left w:val="none" w:sz="0" w:space="0" w:color="auto"/>
                    <w:bottom w:val="none" w:sz="0" w:space="0" w:color="auto"/>
                    <w:right w:val="none" w:sz="0" w:space="0" w:color="auto"/>
                  </w:divBdr>
                </w:div>
              </w:divsChild>
            </w:div>
            <w:div w:id="2135639371">
              <w:marLeft w:val="0"/>
              <w:marRight w:val="0"/>
              <w:marTop w:val="0"/>
              <w:marBottom w:val="0"/>
              <w:divBdr>
                <w:top w:val="none" w:sz="0" w:space="0" w:color="auto"/>
                <w:left w:val="none" w:sz="0" w:space="0" w:color="auto"/>
                <w:bottom w:val="none" w:sz="0" w:space="0" w:color="auto"/>
                <w:right w:val="none" w:sz="0" w:space="0" w:color="auto"/>
              </w:divBdr>
              <w:divsChild>
                <w:div w:id="1647010940">
                  <w:marLeft w:val="255"/>
                  <w:marRight w:val="0"/>
                  <w:marTop w:val="0"/>
                  <w:marBottom w:val="0"/>
                  <w:divBdr>
                    <w:top w:val="none" w:sz="0" w:space="0" w:color="auto"/>
                    <w:left w:val="none" w:sz="0" w:space="0" w:color="auto"/>
                    <w:bottom w:val="none" w:sz="0" w:space="0" w:color="auto"/>
                    <w:right w:val="none" w:sz="0" w:space="0" w:color="auto"/>
                  </w:divBdr>
                </w:div>
              </w:divsChild>
            </w:div>
            <w:div w:id="362171221">
              <w:marLeft w:val="0"/>
              <w:marRight w:val="0"/>
              <w:marTop w:val="0"/>
              <w:marBottom w:val="0"/>
              <w:divBdr>
                <w:top w:val="none" w:sz="0" w:space="0" w:color="auto"/>
                <w:left w:val="none" w:sz="0" w:space="0" w:color="auto"/>
                <w:bottom w:val="none" w:sz="0" w:space="0" w:color="auto"/>
                <w:right w:val="none" w:sz="0" w:space="0" w:color="auto"/>
              </w:divBdr>
              <w:divsChild>
                <w:div w:id="18520689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33026013">
          <w:marLeft w:val="0"/>
          <w:marRight w:val="0"/>
          <w:marTop w:val="0"/>
          <w:marBottom w:val="0"/>
          <w:divBdr>
            <w:top w:val="none" w:sz="0" w:space="0" w:color="auto"/>
            <w:left w:val="none" w:sz="0" w:space="0" w:color="auto"/>
            <w:bottom w:val="none" w:sz="0" w:space="0" w:color="auto"/>
            <w:right w:val="none" w:sz="0" w:space="0" w:color="auto"/>
          </w:divBdr>
          <w:divsChild>
            <w:div w:id="992681229">
              <w:marLeft w:val="0"/>
              <w:marRight w:val="0"/>
              <w:marTop w:val="105"/>
              <w:marBottom w:val="0"/>
              <w:divBdr>
                <w:top w:val="none" w:sz="0" w:space="0" w:color="auto"/>
                <w:left w:val="none" w:sz="0" w:space="0" w:color="auto"/>
                <w:bottom w:val="none" w:sz="0" w:space="0" w:color="auto"/>
                <w:right w:val="none" w:sz="0" w:space="0" w:color="auto"/>
              </w:divBdr>
            </w:div>
            <w:div w:id="711000744">
              <w:marLeft w:val="0"/>
              <w:marRight w:val="0"/>
              <w:marTop w:val="0"/>
              <w:marBottom w:val="0"/>
              <w:divBdr>
                <w:top w:val="none" w:sz="0" w:space="0" w:color="auto"/>
                <w:left w:val="none" w:sz="0" w:space="0" w:color="auto"/>
                <w:bottom w:val="none" w:sz="0" w:space="0" w:color="auto"/>
                <w:right w:val="none" w:sz="0" w:space="0" w:color="auto"/>
              </w:divBdr>
              <w:divsChild>
                <w:div w:id="198129232">
                  <w:marLeft w:val="255"/>
                  <w:marRight w:val="0"/>
                  <w:marTop w:val="0"/>
                  <w:marBottom w:val="0"/>
                  <w:divBdr>
                    <w:top w:val="none" w:sz="0" w:space="0" w:color="auto"/>
                    <w:left w:val="none" w:sz="0" w:space="0" w:color="auto"/>
                    <w:bottom w:val="none" w:sz="0" w:space="0" w:color="auto"/>
                    <w:right w:val="none" w:sz="0" w:space="0" w:color="auto"/>
                  </w:divBdr>
                </w:div>
              </w:divsChild>
            </w:div>
            <w:div w:id="1062869187">
              <w:marLeft w:val="0"/>
              <w:marRight w:val="0"/>
              <w:marTop w:val="0"/>
              <w:marBottom w:val="0"/>
              <w:divBdr>
                <w:top w:val="none" w:sz="0" w:space="0" w:color="auto"/>
                <w:left w:val="none" w:sz="0" w:space="0" w:color="auto"/>
                <w:bottom w:val="none" w:sz="0" w:space="0" w:color="auto"/>
                <w:right w:val="none" w:sz="0" w:space="0" w:color="auto"/>
              </w:divBdr>
              <w:divsChild>
                <w:div w:id="1684627634">
                  <w:marLeft w:val="255"/>
                  <w:marRight w:val="0"/>
                  <w:marTop w:val="0"/>
                  <w:marBottom w:val="0"/>
                  <w:divBdr>
                    <w:top w:val="none" w:sz="0" w:space="0" w:color="auto"/>
                    <w:left w:val="none" w:sz="0" w:space="0" w:color="auto"/>
                    <w:bottom w:val="none" w:sz="0" w:space="0" w:color="auto"/>
                    <w:right w:val="none" w:sz="0" w:space="0" w:color="auto"/>
                  </w:divBdr>
                </w:div>
              </w:divsChild>
            </w:div>
            <w:div w:id="1297032887">
              <w:marLeft w:val="0"/>
              <w:marRight w:val="0"/>
              <w:marTop w:val="0"/>
              <w:marBottom w:val="0"/>
              <w:divBdr>
                <w:top w:val="none" w:sz="0" w:space="0" w:color="auto"/>
                <w:left w:val="none" w:sz="0" w:space="0" w:color="auto"/>
                <w:bottom w:val="none" w:sz="0" w:space="0" w:color="auto"/>
                <w:right w:val="none" w:sz="0" w:space="0" w:color="auto"/>
              </w:divBdr>
              <w:divsChild>
                <w:div w:id="1954243126">
                  <w:marLeft w:val="255"/>
                  <w:marRight w:val="0"/>
                  <w:marTop w:val="0"/>
                  <w:marBottom w:val="0"/>
                  <w:divBdr>
                    <w:top w:val="none" w:sz="0" w:space="0" w:color="auto"/>
                    <w:left w:val="none" w:sz="0" w:space="0" w:color="auto"/>
                    <w:bottom w:val="none" w:sz="0" w:space="0" w:color="auto"/>
                    <w:right w:val="none" w:sz="0" w:space="0" w:color="auto"/>
                  </w:divBdr>
                </w:div>
              </w:divsChild>
            </w:div>
            <w:div w:id="1911310542">
              <w:marLeft w:val="0"/>
              <w:marRight w:val="0"/>
              <w:marTop w:val="0"/>
              <w:marBottom w:val="0"/>
              <w:divBdr>
                <w:top w:val="none" w:sz="0" w:space="0" w:color="auto"/>
                <w:left w:val="none" w:sz="0" w:space="0" w:color="auto"/>
                <w:bottom w:val="none" w:sz="0" w:space="0" w:color="auto"/>
                <w:right w:val="none" w:sz="0" w:space="0" w:color="auto"/>
              </w:divBdr>
              <w:divsChild>
                <w:div w:id="1017776922">
                  <w:marLeft w:val="255"/>
                  <w:marRight w:val="0"/>
                  <w:marTop w:val="0"/>
                  <w:marBottom w:val="0"/>
                  <w:divBdr>
                    <w:top w:val="none" w:sz="0" w:space="0" w:color="auto"/>
                    <w:left w:val="none" w:sz="0" w:space="0" w:color="auto"/>
                    <w:bottom w:val="none" w:sz="0" w:space="0" w:color="auto"/>
                    <w:right w:val="none" w:sz="0" w:space="0" w:color="auto"/>
                  </w:divBdr>
                </w:div>
              </w:divsChild>
            </w:div>
            <w:div w:id="468017895">
              <w:marLeft w:val="0"/>
              <w:marRight w:val="0"/>
              <w:marTop w:val="0"/>
              <w:marBottom w:val="0"/>
              <w:divBdr>
                <w:top w:val="none" w:sz="0" w:space="0" w:color="auto"/>
                <w:left w:val="none" w:sz="0" w:space="0" w:color="auto"/>
                <w:bottom w:val="none" w:sz="0" w:space="0" w:color="auto"/>
                <w:right w:val="none" w:sz="0" w:space="0" w:color="auto"/>
              </w:divBdr>
              <w:divsChild>
                <w:div w:id="846092221">
                  <w:marLeft w:val="255"/>
                  <w:marRight w:val="0"/>
                  <w:marTop w:val="0"/>
                  <w:marBottom w:val="0"/>
                  <w:divBdr>
                    <w:top w:val="none" w:sz="0" w:space="0" w:color="auto"/>
                    <w:left w:val="none" w:sz="0" w:space="0" w:color="auto"/>
                    <w:bottom w:val="none" w:sz="0" w:space="0" w:color="auto"/>
                    <w:right w:val="none" w:sz="0" w:space="0" w:color="auto"/>
                  </w:divBdr>
                </w:div>
              </w:divsChild>
            </w:div>
            <w:div w:id="1961570760">
              <w:marLeft w:val="0"/>
              <w:marRight w:val="0"/>
              <w:marTop w:val="0"/>
              <w:marBottom w:val="0"/>
              <w:divBdr>
                <w:top w:val="none" w:sz="0" w:space="0" w:color="auto"/>
                <w:left w:val="none" w:sz="0" w:space="0" w:color="auto"/>
                <w:bottom w:val="none" w:sz="0" w:space="0" w:color="auto"/>
                <w:right w:val="none" w:sz="0" w:space="0" w:color="auto"/>
              </w:divBdr>
              <w:divsChild>
                <w:div w:id="18524068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1940672">
          <w:marLeft w:val="0"/>
          <w:marRight w:val="0"/>
          <w:marTop w:val="0"/>
          <w:marBottom w:val="0"/>
          <w:divBdr>
            <w:top w:val="none" w:sz="0" w:space="0" w:color="auto"/>
            <w:left w:val="none" w:sz="0" w:space="0" w:color="auto"/>
            <w:bottom w:val="none" w:sz="0" w:space="0" w:color="auto"/>
            <w:right w:val="none" w:sz="0" w:space="0" w:color="auto"/>
          </w:divBdr>
          <w:divsChild>
            <w:div w:id="5133445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0676881">
      <w:bodyDiv w:val="1"/>
      <w:marLeft w:val="0"/>
      <w:marRight w:val="0"/>
      <w:marTop w:val="0"/>
      <w:marBottom w:val="0"/>
      <w:divBdr>
        <w:top w:val="none" w:sz="0" w:space="0" w:color="auto"/>
        <w:left w:val="none" w:sz="0" w:space="0" w:color="auto"/>
        <w:bottom w:val="none" w:sz="0" w:space="0" w:color="auto"/>
        <w:right w:val="none" w:sz="0" w:space="0" w:color="auto"/>
      </w:divBdr>
      <w:divsChild>
        <w:div w:id="1948586299">
          <w:marLeft w:val="0"/>
          <w:marRight w:val="0"/>
          <w:marTop w:val="0"/>
          <w:marBottom w:val="0"/>
          <w:divBdr>
            <w:top w:val="none" w:sz="0" w:space="0" w:color="auto"/>
            <w:left w:val="none" w:sz="0" w:space="0" w:color="auto"/>
            <w:bottom w:val="none" w:sz="0" w:space="0" w:color="auto"/>
            <w:right w:val="none" w:sz="0" w:space="0" w:color="auto"/>
          </w:divBdr>
          <w:divsChild>
            <w:div w:id="682320385">
              <w:marLeft w:val="0"/>
              <w:marRight w:val="0"/>
              <w:marTop w:val="105"/>
              <w:marBottom w:val="0"/>
              <w:divBdr>
                <w:top w:val="none" w:sz="0" w:space="0" w:color="auto"/>
                <w:left w:val="none" w:sz="0" w:space="0" w:color="auto"/>
                <w:bottom w:val="none" w:sz="0" w:space="0" w:color="auto"/>
                <w:right w:val="none" w:sz="0" w:space="0" w:color="auto"/>
              </w:divBdr>
            </w:div>
          </w:divsChild>
        </w:div>
        <w:div w:id="957101400">
          <w:marLeft w:val="0"/>
          <w:marRight w:val="0"/>
          <w:marTop w:val="0"/>
          <w:marBottom w:val="0"/>
          <w:divBdr>
            <w:top w:val="none" w:sz="0" w:space="0" w:color="auto"/>
            <w:left w:val="none" w:sz="0" w:space="0" w:color="auto"/>
            <w:bottom w:val="none" w:sz="0" w:space="0" w:color="auto"/>
            <w:right w:val="none" w:sz="0" w:space="0" w:color="auto"/>
          </w:divBdr>
          <w:divsChild>
            <w:div w:id="466364040">
              <w:marLeft w:val="0"/>
              <w:marRight w:val="0"/>
              <w:marTop w:val="105"/>
              <w:marBottom w:val="0"/>
              <w:divBdr>
                <w:top w:val="none" w:sz="0" w:space="0" w:color="auto"/>
                <w:left w:val="none" w:sz="0" w:space="0" w:color="auto"/>
                <w:bottom w:val="none" w:sz="0" w:space="0" w:color="auto"/>
                <w:right w:val="none" w:sz="0" w:space="0" w:color="auto"/>
              </w:divBdr>
            </w:div>
          </w:divsChild>
        </w:div>
        <w:div w:id="117116415">
          <w:marLeft w:val="0"/>
          <w:marRight w:val="0"/>
          <w:marTop w:val="0"/>
          <w:marBottom w:val="0"/>
          <w:divBdr>
            <w:top w:val="none" w:sz="0" w:space="0" w:color="auto"/>
            <w:left w:val="none" w:sz="0" w:space="0" w:color="auto"/>
            <w:bottom w:val="none" w:sz="0" w:space="0" w:color="auto"/>
            <w:right w:val="none" w:sz="0" w:space="0" w:color="auto"/>
          </w:divBdr>
          <w:divsChild>
            <w:div w:id="2028749665">
              <w:marLeft w:val="0"/>
              <w:marRight w:val="0"/>
              <w:marTop w:val="105"/>
              <w:marBottom w:val="0"/>
              <w:divBdr>
                <w:top w:val="none" w:sz="0" w:space="0" w:color="auto"/>
                <w:left w:val="none" w:sz="0" w:space="0" w:color="auto"/>
                <w:bottom w:val="none" w:sz="0" w:space="0" w:color="auto"/>
                <w:right w:val="none" w:sz="0" w:space="0" w:color="auto"/>
              </w:divBdr>
            </w:div>
            <w:div w:id="2001077717">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255"/>
                  <w:marRight w:val="0"/>
                  <w:marTop w:val="0"/>
                  <w:marBottom w:val="0"/>
                  <w:divBdr>
                    <w:top w:val="none" w:sz="0" w:space="0" w:color="auto"/>
                    <w:left w:val="none" w:sz="0" w:space="0" w:color="auto"/>
                    <w:bottom w:val="none" w:sz="0" w:space="0" w:color="auto"/>
                    <w:right w:val="none" w:sz="0" w:space="0" w:color="auto"/>
                  </w:divBdr>
                </w:div>
              </w:divsChild>
            </w:div>
            <w:div w:id="1768228176">
              <w:marLeft w:val="0"/>
              <w:marRight w:val="0"/>
              <w:marTop w:val="0"/>
              <w:marBottom w:val="0"/>
              <w:divBdr>
                <w:top w:val="none" w:sz="0" w:space="0" w:color="auto"/>
                <w:left w:val="none" w:sz="0" w:space="0" w:color="auto"/>
                <w:bottom w:val="none" w:sz="0" w:space="0" w:color="auto"/>
                <w:right w:val="none" w:sz="0" w:space="0" w:color="auto"/>
              </w:divBdr>
              <w:divsChild>
                <w:div w:id="1022785584">
                  <w:marLeft w:val="255"/>
                  <w:marRight w:val="0"/>
                  <w:marTop w:val="0"/>
                  <w:marBottom w:val="0"/>
                  <w:divBdr>
                    <w:top w:val="none" w:sz="0" w:space="0" w:color="auto"/>
                    <w:left w:val="none" w:sz="0" w:space="0" w:color="auto"/>
                    <w:bottom w:val="none" w:sz="0" w:space="0" w:color="auto"/>
                    <w:right w:val="none" w:sz="0" w:space="0" w:color="auto"/>
                  </w:divBdr>
                </w:div>
              </w:divsChild>
            </w:div>
            <w:div w:id="257100761">
              <w:marLeft w:val="0"/>
              <w:marRight w:val="0"/>
              <w:marTop w:val="0"/>
              <w:marBottom w:val="0"/>
              <w:divBdr>
                <w:top w:val="none" w:sz="0" w:space="0" w:color="auto"/>
                <w:left w:val="none" w:sz="0" w:space="0" w:color="auto"/>
                <w:bottom w:val="none" w:sz="0" w:space="0" w:color="auto"/>
                <w:right w:val="none" w:sz="0" w:space="0" w:color="auto"/>
              </w:divBdr>
              <w:divsChild>
                <w:div w:id="14144730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8484">
      <w:bodyDiv w:val="1"/>
      <w:marLeft w:val="0"/>
      <w:marRight w:val="0"/>
      <w:marTop w:val="0"/>
      <w:marBottom w:val="0"/>
      <w:divBdr>
        <w:top w:val="none" w:sz="0" w:space="0" w:color="auto"/>
        <w:left w:val="none" w:sz="0" w:space="0" w:color="auto"/>
        <w:bottom w:val="none" w:sz="0" w:space="0" w:color="auto"/>
        <w:right w:val="none" w:sz="0" w:space="0" w:color="auto"/>
      </w:divBdr>
      <w:divsChild>
        <w:div w:id="1718040806">
          <w:marLeft w:val="0"/>
          <w:marRight w:val="0"/>
          <w:marTop w:val="0"/>
          <w:marBottom w:val="0"/>
          <w:divBdr>
            <w:top w:val="none" w:sz="0" w:space="0" w:color="auto"/>
            <w:left w:val="none" w:sz="0" w:space="0" w:color="auto"/>
            <w:bottom w:val="none" w:sz="0" w:space="0" w:color="auto"/>
            <w:right w:val="none" w:sz="0" w:space="0" w:color="auto"/>
          </w:divBdr>
          <w:divsChild>
            <w:div w:id="1802574712">
              <w:marLeft w:val="0"/>
              <w:marRight w:val="0"/>
              <w:marTop w:val="105"/>
              <w:marBottom w:val="0"/>
              <w:divBdr>
                <w:top w:val="none" w:sz="0" w:space="0" w:color="auto"/>
                <w:left w:val="none" w:sz="0" w:space="0" w:color="auto"/>
                <w:bottom w:val="none" w:sz="0" w:space="0" w:color="auto"/>
                <w:right w:val="none" w:sz="0" w:space="0" w:color="auto"/>
              </w:divBdr>
            </w:div>
          </w:divsChild>
        </w:div>
        <w:div w:id="1234046078">
          <w:marLeft w:val="0"/>
          <w:marRight w:val="0"/>
          <w:marTop w:val="0"/>
          <w:marBottom w:val="0"/>
          <w:divBdr>
            <w:top w:val="none" w:sz="0" w:space="0" w:color="auto"/>
            <w:left w:val="none" w:sz="0" w:space="0" w:color="auto"/>
            <w:bottom w:val="none" w:sz="0" w:space="0" w:color="auto"/>
            <w:right w:val="none" w:sz="0" w:space="0" w:color="auto"/>
          </w:divBdr>
          <w:divsChild>
            <w:div w:id="1827553683">
              <w:marLeft w:val="0"/>
              <w:marRight w:val="0"/>
              <w:marTop w:val="105"/>
              <w:marBottom w:val="0"/>
              <w:divBdr>
                <w:top w:val="none" w:sz="0" w:space="0" w:color="auto"/>
                <w:left w:val="none" w:sz="0" w:space="0" w:color="auto"/>
                <w:bottom w:val="none" w:sz="0" w:space="0" w:color="auto"/>
                <w:right w:val="none" w:sz="0" w:space="0" w:color="auto"/>
              </w:divBdr>
            </w:div>
          </w:divsChild>
        </w:div>
        <w:div w:id="313148302">
          <w:marLeft w:val="0"/>
          <w:marRight w:val="0"/>
          <w:marTop w:val="0"/>
          <w:marBottom w:val="0"/>
          <w:divBdr>
            <w:top w:val="none" w:sz="0" w:space="0" w:color="auto"/>
            <w:left w:val="none" w:sz="0" w:space="0" w:color="auto"/>
            <w:bottom w:val="none" w:sz="0" w:space="0" w:color="auto"/>
            <w:right w:val="none" w:sz="0" w:space="0" w:color="auto"/>
          </w:divBdr>
          <w:divsChild>
            <w:div w:id="1188255967">
              <w:marLeft w:val="0"/>
              <w:marRight w:val="0"/>
              <w:marTop w:val="105"/>
              <w:marBottom w:val="0"/>
              <w:divBdr>
                <w:top w:val="none" w:sz="0" w:space="0" w:color="auto"/>
                <w:left w:val="none" w:sz="0" w:space="0" w:color="auto"/>
                <w:bottom w:val="none" w:sz="0" w:space="0" w:color="auto"/>
                <w:right w:val="none" w:sz="0" w:space="0" w:color="auto"/>
              </w:divBdr>
            </w:div>
          </w:divsChild>
        </w:div>
        <w:div w:id="1526870253">
          <w:marLeft w:val="0"/>
          <w:marRight w:val="0"/>
          <w:marTop w:val="0"/>
          <w:marBottom w:val="0"/>
          <w:divBdr>
            <w:top w:val="none" w:sz="0" w:space="0" w:color="auto"/>
            <w:left w:val="none" w:sz="0" w:space="0" w:color="auto"/>
            <w:bottom w:val="none" w:sz="0" w:space="0" w:color="auto"/>
            <w:right w:val="none" w:sz="0" w:space="0" w:color="auto"/>
          </w:divBdr>
          <w:divsChild>
            <w:div w:id="6840200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47227871">
      <w:bodyDiv w:val="1"/>
      <w:marLeft w:val="0"/>
      <w:marRight w:val="0"/>
      <w:marTop w:val="0"/>
      <w:marBottom w:val="0"/>
      <w:divBdr>
        <w:top w:val="none" w:sz="0" w:space="0" w:color="auto"/>
        <w:left w:val="none" w:sz="0" w:space="0" w:color="auto"/>
        <w:bottom w:val="none" w:sz="0" w:space="0" w:color="auto"/>
        <w:right w:val="none" w:sz="0" w:space="0" w:color="auto"/>
      </w:divBdr>
      <w:divsChild>
        <w:div w:id="719747144">
          <w:marLeft w:val="0"/>
          <w:marRight w:val="0"/>
          <w:marTop w:val="0"/>
          <w:marBottom w:val="0"/>
          <w:divBdr>
            <w:top w:val="none" w:sz="0" w:space="0" w:color="auto"/>
            <w:left w:val="none" w:sz="0" w:space="0" w:color="auto"/>
            <w:bottom w:val="none" w:sz="0" w:space="0" w:color="auto"/>
            <w:right w:val="none" w:sz="0" w:space="0" w:color="auto"/>
          </w:divBdr>
          <w:divsChild>
            <w:div w:id="877280184">
              <w:marLeft w:val="0"/>
              <w:marRight w:val="0"/>
              <w:marTop w:val="105"/>
              <w:marBottom w:val="0"/>
              <w:divBdr>
                <w:top w:val="none" w:sz="0" w:space="0" w:color="auto"/>
                <w:left w:val="none" w:sz="0" w:space="0" w:color="auto"/>
                <w:bottom w:val="none" w:sz="0" w:space="0" w:color="auto"/>
                <w:right w:val="none" w:sz="0" w:space="0" w:color="auto"/>
              </w:divBdr>
            </w:div>
          </w:divsChild>
        </w:div>
        <w:div w:id="1670869064">
          <w:marLeft w:val="0"/>
          <w:marRight w:val="0"/>
          <w:marTop w:val="0"/>
          <w:marBottom w:val="0"/>
          <w:divBdr>
            <w:top w:val="none" w:sz="0" w:space="0" w:color="auto"/>
            <w:left w:val="none" w:sz="0" w:space="0" w:color="auto"/>
            <w:bottom w:val="none" w:sz="0" w:space="0" w:color="auto"/>
            <w:right w:val="none" w:sz="0" w:space="0" w:color="auto"/>
          </w:divBdr>
          <w:divsChild>
            <w:div w:id="236016595">
              <w:marLeft w:val="0"/>
              <w:marRight w:val="0"/>
              <w:marTop w:val="105"/>
              <w:marBottom w:val="0"/>
              <w:divBdr>
                <w:top w:val="none" w:sz="0" w:space="0" w:color="auto"/>
                <w:left w:val="none" w:sz="0" w:space="0" w:color="auto"/>
                <w:bottom w:val="none" w:sz="0" w:space="0" w:color="auto"/>
                <w:right w:val="none" w:sz="0" w:space="0" w:color="auto"/>
              </w:divBdr>
            </w:div>
          </w:divsChild>
        </w:div>
        <w:div w:id="773213567">
          <w:marLeft w:val="0"/>
          <w:marRight w:val="0"/>
          <w:marTop w:val="0"/>
          <w:marBottom w:val="0"/>
          <w:divBdr>
            <w:top w:val="none" w:sz="0" w:space="0" w:color="auto"/>
            <w:left w:val="none" w:sz="0" w:space="0" w:color="auto"/>
            <w:bottom w:val="none" w:sz="0" w:space="0" w:color="auto"/>
            <w:right w:val="none" w:sz="0" w:space="0" w:color="auto"/>
          </w:divBdr>
          <w:divsChild>
            <w:div w:id="3339198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6273240">
      <w:bodyDiv w:val="1"/>
      <w:marLeft w:val="0"/>
      <w:marRight w:val="0"/>
      <w:marTop w:val="0"/>
      <w:marBottom w:val="0"/>
      <w:divBdr>
        <w:top w:val="none" w:sz="0" w:space="0" w:color="auto"/>
        <w:left w:val="none" w:sz="0" w:space="0" w:color="auto"/>
        <w:bottom w:val="none" w:sz="0" w:space="0" w:color="auto"/>
        <w:right w:val="none" w:sz="0" w:space="0" w:color="auto"/>
      </w:divBdr>
      <w:divsChild>
        <w:div w:id="169759492">
          <w:marLeft w:val="0"/>
          <w:marRight w:val="0"/>
          <w:marTop w:val="0"/>
          <w:marBottom w:val="0"/>
          <w:divBdr>
            <w:top w:val="none" w:sz="0" w:space="0" w:color="auto"/>
            <w:left w:val="none" w:sz="0" w:space="0" w:color="auto"/>
            <w:bottom w:val="none" w:sz="0" w:space="0" w:color="auto"/>
            <w:right w:val="none" w:sz="0" w:space="0" w:color="auto"/>
          </w:divBdr>
          <w:divsChild>
            <w:div w:id="965888749">
              <w:marLeft w:val="0"/>
              <w:marRight w:val="0"/>
              <w:marTop w:val="105"/>
              <w:marBottom w:val="0"/>
              <w:divBdr>
                <w:top w:val="none" w:sz="0" w:space="0" w:color="auto"/>
                <w:left w:val="none" w:sz="0" w:space="0" w:color="auto"/>
                <w:bottom w:val="none" w:sz="0" w:space="0" w:color="auto"/>
                <w:right w:val="none" w:sz="0" w:space="0" w:color="auto"/>
              </w:divBdr>
            </w:div>
          </w:divsChild>
        </w:div>
        <w:div w:id="1988896132">
          <w:marLeft w:val="0"/>
          <w:marRight w:val="0"/>
          <w:marTop w:val="0"/>
          <w:marBottom w:val="0"/>
          <w:divBdr>
            <w:top w:val="none" w:sz="0" w:space="0" w:color="auto"/>
            <w:left w:val="none" w:sz="0" w:space="0" w:color="auto"/>
            <w:bottom w:val="none" w:sz="0" w:space="0" w:color="auto"/>
            <w:right w:val="none" w:sz="0" w:space="0" w:color="auto"/>
          </w:divBdr>
          <w:divsChild>
            <w:div w:id="1496384723">
              <w:marLeft w:val="0"/>
              <w:marRight w:val="0"/>
              <w:marTop w:val="105"/>
              <w:marBottom w:val="0"/>
              <w:divBdr>
                <w:top w:val="none" w:sz="0" w:space="0" w:color="auto"/>
                <w:left w:val="none" w:sz="0" w:space="0" w:color="auto"/>
                <w:bottom w:val="none" w:sz="0" w:space="0" w:color="auto"/>
                <w:right w:val="none" w:sz="0" w:space="0" w:color="auto"/>
              </w:divBdr>
            </w:div>
            <w:div w:id="1764297670">
              <w:marLeft w:val="0"/>
              <w:marRight w:val="0"/>
              <w:marTop w:val="0"/>
              <w:marBottom w:val="0"/>
              <w:divBdr>
                <w:top w:val="none" w:sz="0" w:space="0" w:color="auto"/>
                <w:left w:val="none" w:sz="0" w:space="0" w:color="auto"/>
                <w:bottom w:val="none" w:sz="0" w:space="0" w:color="auto"/>
                <w:right w:val="none" w:sz="0" w:space="0" w:color="auto"/>
              </w:divBdr>
              <w:divsChild>
                <w:div w:id="547227091">
                  <w:marLeft w:val="255"/>
                  <w:marRight w:val="0"/>
                  <w:marTop w:val="0"/>
                  <w:marBottom w:val="0"/>
                  <w:divBdr>
                    <w:top w:val="none" w:sz="0" w:space="0" w:color="auto"/>
                    <w:left w:val="none" w:sz="0" w:space="0" w:color="auto"/>
                    <w:bottom w:val="none" w:sz="0" w:space="0" w:color="auto"/>
                    <w:right w:val="none" w:sz="0" w:space="0" w:color="auto"/>
                  </w:divBdr>
                </w:div>
              </w:divsChild>
            </w:div>
            <w:div w:id="1274820644">
              <w:marLeft w:val="0"/>
              <w:marRight w:val="0"/>
              <w:marTop w:val="0"/>
              <w:marBottom w:val="0"/>
              <w:divBdr>
                <w:top w:val="none" w:sz="0" w:space="0" w:color="auto"/>
                <w:left w:val="none" w:sz="0" w:space="0" w:color="auto"/>
                <w:bottom w:val="none" w:sz="0" w:space="0" w:color="auto"/>
                <w:right w:val="none" w:sz="0" w:space="0" w:color="auto"/>
              </w:divBdr>
              <w:divsChild>
                <w:div w:id="844368562">
                  <w:marLeft w:val="255"/>
                  <w:marRight w:val="0"/>
                  <w:marTop w:val="0"/>
                  <w:marBottom w:val="0"/>
                  <w:divBdr>
                    <w:top w:val="none" w:sz="0" w:space="0" w:color="auto"/>
                    <w:left w:val="none" w:sz="0" w:space="0" w:color="auto"/>
                    <w:bottom w:val="none" w:sz="0" w:space="0" w:color="auto"/>
                    <w:right w:val="none" w:sz="0" w:space="0" w:color="auto"/>
                  </w:divBdr>
                </w:div>
              </w:divsChild>
            </w:div>
            <w:div w:id="1740443579">
              <w:marLeft w:val="0"/>
              <w:marRight w:val="0"/>
              <w:marTop w:val="0"/>
              <w:marBottom w:val="0"/>
              <w:divBdr>
                <w:top w:val="none" w:sz="0" w:space="0" w:color="auto"/>
                <w:left w:val="none" w:sz="0" w:space="0" w:color="auto"/>
                <w:bottom w:val="none" w:sz="0" w:space="0" w:color="auto"/>
                <w:right w:val="none" w:sz="0" w:space="0" w:color="auto"/>
              </w:divBdr>
              <w:divsChild>
                <w:div w:id="1458601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96211869">
          <w:marLeft w:val="0"/>
          <w:marRight w:val="0"/>
          <w:marTop w:val="0"/>
          <w:marBottom w:val="0"/>
          <w:divBdr>
            <w:top w:val="none" w:sz="0" w:space="0" w:color="auto"/>
            <w:left w:val="none" w:sz="0" w:space="0" w:color="auto"/>
            <w:bottom w:val="none" w:sz="0" w:space="0" w:color="auto"/>
            <w:right w:val="none" w:sz="0" w:space="0" w:color="auto"/>
          </w:divBdr>
          <w:divsChild>
            <w:div w:id="14780619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8204340">
      <w:bodyDiv w:val="1"/>
      <w:marLeft w:val="0"/>
      <w:marRight w:val="0"/>
      <w:marTop w:val="0"/>
      <w:marBottom w:val="0"/>
      <w:divBdr>
        <w:top w:val="none" w:sz="0" w:space="0" w:color="auto"/>
        <w:left w:val="none" w:sz="0" w:space="0" w:color="auto"/>
        <w:bottom w:val="none" w:sz="0" w:space="0" w:color="auto"/>
        <w:right w:val="none" w:sz="0" w:space="0" w:color="auto"/>
      </w:divBdr>
      <w:divsChild>
        <w:div w:id="762918963">
          <w:marLeft w:val="0"/>
          <w:marRight w:val="0"/>
          <w:marTop w:val="0"/>
          <w:marBottom w:val="0"/>
          <w:divBdr>
            <w:top w:val="none" w:sz="0" w:space="0" w:color="auto"/>
            <w:left w:val="none" w:sz="0" w:space="0" w:color="auto"/>
            <w:bottom w:val="none" w:sz="0" w:space="0" w:color="auto"/>
            <w:right w:val="none" w:sz="0" w:space="0" w:color="auto"/>
          </w:divBdr>
          <w:divsChild>
            <w:div w:id="1206257624">
              <w:marLeft w:val="0"/>
              <w:marRight w:val="0"/>
              <w:marTop w:val="105"/>
              <w:marBottom w:val="0"/>
              <w:divBdr>
                <w:top w:val="none" w:sz="0" w:space="0" w:color="auto"/>
                <w:left w:val="none" w:sz="0" w:space="0" w:color="auto"/>
                <w:bottom w:val="none" w:sz="0" w:space="0" w:color="auto"/>
                <w:right w:val="none" w:sz="0" w:space="0" w:color="auto"/>
              </w:divBdr>
            </w:div>
            <w:div w:id="610163116">
              <w:marLeft w:val="0"/>
              <w:marRight w:val="0"/>
              <w:marTop w:val="0"/>
              <w:marBottom w:val="0"/>
              <w:divBdr>
                <w:top w:val="none" w:sz="0" w:space="0" w:color="auto"/>
                <w:left w:val="none" w:sz="0" w:space="0" w:color="auto"/>
                <w:bottom w:val="none" w:sz="0" w:space="0" w:color="auto"/>
                <w:right w:val="none" w:sz="0" w:space="0" w:color="auto"/>
              </w:divBdr>
              <w:divsChild>
                <w:div w:id="1657341603">
                  <w:marLeft w:val="255"/>
                  <w:marRight w:val="0"/>
                  <w:marTop w:val="0"/>
                  <w:marBottom w:val="0"/>
                  <w:divBdr>
                    <w:top w:val="none" w:sz="0" w:space="0" w:color="auto"/>
                    <w:left w:val="none" w:sz="0" w:space="0" w:color="auto"/>
                    <w:bottom w:val="none" w:sz="0" w:space="0" w:color="auto"/>
                    <w:right w:val="none" w:sz="0" w:space="0" w:color="auto"/>
                  </w:divBdr>
                </w:div>
              </w:divsChild>
            </w:div>
            <w:div w:id="1057820293">
              <w:marLeft w:val="0"/>
              <w:marRight w:val="0"/>
              <w:marTop w:val="0"/>
              <w:marBottom w:val="0"/>
              <w:divBdr>
                <w:top w:val="none" w:sz="0" w:space="0" w:color="auto"/>
                <w:left w:val="none" w:sz="0" w:space="0" w:color="auto"/>
                <w:bottom w:val="none" w:sz="0" w:space="0" w:color="auto"/>
                <w:right w:val="none" w:sz="0" w:space="0" w:color="auto"/>
              </w:divBdr>
              <w:divsChild>
                <w:div w:id="1206018440">
                  <w:marLeft w:val="255"/>
                  <w:marRight w:val="0"/>
                  <w:marTop w:val="0"/>
                  <w:marBottom w:val="0"/>
                  <w:divBdr>
                    <w:top w:val="none" w:sz="0" w:space="0" w:color="auto"/>
                    <w:left w:val="none" w:sz="0" w:space="0" w:color="auto"/>
                    <w:bottom w:val="none" w:sz="0" w:space="0" w:color="auto"/>
                    <w:right w:val="none" w:sz="0" w:space="0" w:color="auto"/>
                  </w:divBdr>
                </w:div>
              </w:divsChild>
            </w:div>
            <w:div w:id="1454329389">
              <w:marLeft w:val="0"/>
              <w:marRight w:val="0"/>
              <w:marTop w:val="0"/>
              <w:marBottom w:val="0"/>
              <w:divBdr>
                <w:top w:val="none" w:sz="0" w:space="0" w:color="auto"/>
                <w:left w:val="none" w:sz="0" w:space="0" w:color="auto"/>
                <w:bottom w:val="none" w:sz="0" w:space="0" w:color="auto"/>
                <w:right w:val="none" w:sz="0" w:space="0" w:color="auto"/>
              </w:divBdr>
              <w:divsChild>
                <w:div w:id="139659540">
                  <w:marLeft w:val="255"/>
                  <w:marRight w:val="0"/>
                  <w:marTop w:val="0"/>
                  <w:marBottom w:val="0"/>
                  <w:divBdr>
                    <w:top w:val="none" w:sz="0" w:space="0" w:color="auto"/>
                    <w:left w:val="none" w:sz="0" w:space="0" w:color="auto"/>
                    <w:bottom w:val="none" w:sz="0" w:space="0" w:color="auto"/>
                    <w:right w:val="none" w:sz="0" w:space="0" w:color="auto"/>
                  </w:divBdr>
                </w:div>
              </w:divsChild>
            </w:div>
            <w:div w:id="1453091568">
              <w:marLeft w:val="0"/>
              <w:marRight w:val="0"/>
              <w:marTop w:val="0"/>
              <w:marBottom w:val="0"/>
              <w:divBdr>
                <w:top w:val="none" w:sz="0" w:space="0" w:color="auto"/>
                <w:left w:val="none" w:sz="0" w:space="0" w:color="auto"/>
                <w:bottom w:val="none" w:sz="0" w:space="0" w:color="auto"/>
                <w:right w:val="none" w:sz="0" w:space="0" w:color="auto"/>
              </w:divBdr>
              <w:divsChild>
                <w:div w:id="559243593">
                  <w:marLeft w:val="255"/>
                  <w:marRight w:val="0"/>
                  <w:marTop w:val="0"/>
                  <w:marBottom w:val="0"/>
                  <w:divBdr>
                    <w:top w:val="none" w:sz="0" w:space="0" w:color="auto"/>
                    <w:left w:val="none" w:sz="0" w:space="0" w:color="auto"/>
                    <w:bottom w:val="none" w:sz="0" w:space="0" w:color="auto"/>
                    <w:right w:val="none" w:sz="0" w:space="0" w:color="auto"/>
                  </w:divBdr>
                </w:div>
              </w:divsChild>
            </w:div>
            <w:div w:id="96145001">
              <w:marLeft w:val="0"/>
              <w:marRight w:val="0"/>
              <w:marTop w:val="0"/>
              <w:marBottom w:val="0"/>
              <w:divBdr>
                <w:top w:val="none" w:sz="0" w:space="0" w:color="auto"/>
                <w:left w:val="none" w:sz="0" w:space="0" w:color="auto"/>
                <w:bottom w:val="none" w:sz="0" w:space="0" w:color="auto"/>
                <w:right w:val="none" w:sz="0" w:space="0" w:color="auto"/>
              </w:divBdr>
              <w:divsChild>
                <w:div w:id="289015028">
                  <w:marLeft w:val="255"/>
                  <w:marRight w:val="0"/>
                  <w:marTop w:val="0"/>
                  <w:marBottom w:val="0"/>
                  <w:divBdr>
                    <w:top w:val="none" w:sz="0" w:space="0" w:color="auto"/>
                    <w:left w:val="none" w:sz="0" w:space="0" w:color="auto"/>
                    <w:bottom w:val="none" w:sz="0" w:space="0" w:color="auto"/>
                    <w:right w:val="none" w:sz="0" w:space="0" w:color="auto"/>
                  </w:divBdr>
                </w:div>
              </w:divsChild>
            </w:div>
            <w:div w:id="2049530177">
              <w:marLeft w:val="0"/>
              <w:marRight w:val="0"/>
              <w:marTop w:val="0"/>
              <w:marBottom w:val="0"/>
              <w:divBdr>
                <w:top w:val="none" w:sz="0" w:space="0" w:color="auto"/>
                <w:left w:val="none" w:sz="0" w:space="0" w:color="auto"/>
                <w:bottom w:val="none" w:sz="0" w:space="0" w:color="auto"/>
                <w:right w:val="none" w:sz="0" w:space="0" w:color="auto"/>
              </w:divBdr>
              <w:divsChild>
                <w:div w:id="1782917846">
                  <w:marLeft w:val="255"/>
                  <w:marRight w:val="0"/>
                  <w:marTop w:val="0"/>
                  <w:marBottom w:val="0"/>
                  <w:divBdr>
                    <w:top w:val="none" w:sz="0" w:space="0" w:color="auto"/>
                    <w:left w:val="none" w:sz="0" w:space="0" w:color="auto"/>
                    <w:bottom w:val="none" w:sz="0" w:space="0" w:color="auto"/>
                    <w:right w:val="none" w:sz="0" w:space="0" w:color="auto"/>
                  </w:divBdr>
                </w:div>
              </w:divsChild>
            </w:div>
            <w:div w:id="893538305">
              <w:marLeft w:val="0"/>
              <w:marRight w:val="0"/>
              <w:marTop w:val="0"/>
              <w:marBottom w:val="0"/>
              <w:divBdr>
                <w:top w:val="none" w:sz="0" w:space="0" w:color="auto"/>
                <w:left w:val="none" w:sz="0" w:space="0" w:color="auto"/>
                <w:bottom w:val="none" w:sz="0" w:space="0" w:color="auto"/>
                <w:right w:val="none" w:sz="0" w:space="0" w:color="auto"/>
              </w:divBdr>
              <w:divsChild>
                <w:div w:id="690958914">
                  <w:marLeft w:val="255"/>
                  <w:marRight w:val="0"/>
                  <w:marTop w:val="0"/>
                  <w:marBottom w:val="0"/>
                  <w:divBdr>
                    <w:top w:val="none" w:sz="0" w:space="0" w:color="auto"/>
                    <w:left w:val="none" w:sz="0" w:space="0" w:color="auto"/>
                    <w:bottom w:val="none" w:sz="0" w:space="0" w:color="auto"/>
                    <w:right w:val="none" w:sz="0" w:space="0" w:color="auto"/>
                  </w:divBdr>
                </w:div>
              </w:divsChild>
            </w:div>
            <w:div w:id="1799450722">
              <w:marLeft w:val="0"/>
              <w:marRight w:val="0"/>
              <w:marTop w:val="0"/>
              <w:marBottom w:val="0"/>
              <w:divBdr>
                <w:top w:val="none" w:sz="0" w:space="0" w:color="auto"/>
                <w:left w:val="none" w:sz="0" w:space="0" w:color="auto"/>
                <w:bottom w:val="none" w:sz="0" w:space="0" w:color="auto"/>
                <w:right w:val="none" w:sz="0" w:space="0" w:color="auto"/>
              </w:divBdr>
              <w:divsChild>
                <w:div w:id="1560702092">
                  <w:marLeft w:val="255"/>
                  <w:marRight w:val="0"/>
                  <w:marTop w:val="0"/>
                  <w:marBottom w:val="0"/>
                  <w:divBdr>
                    <w:top w:val="none" w:sz="0" w:space="0" w:color="auto"/>
                    <w:left w:val="none" w:sz="0" w:space="0" w:color="auto"/>
                    <w:bottom w:val="none" w:sz="0" w:space="0" w:color="auto"/>
                    <w:right w:val="none" w:sz="0" w:space="0" w:color="auto"/>
                  </w:divBdr>
                </w:div>
              </w:divsChild>
            </w:div>
            <w:div w:id="767386235">
              <w:marLeft w:val="0"/>
              <w:marRight w:val="0"/>
              <w:marTop w:val="0"/>
              <w:marBottom w:val="0"/>
              <w:divBdr>
                <w:top w:val="none" w:sz="0" w:space="0" w:color="auto"/>
                <w:left w:val="none" w:sz="0" w:space="0" w:color="auto"/>
                <w:bottom w:val="none" w:sz="0" w:space="0" w:color="auto"/>
                <w:right w:val="none" w:sz="0" w:space="0" w:color="auto"/>
              </w:divBdr>
              <w:divsChild>
                <w:div w:id="427501889">
                  <w:marLeft w:val="255"/>
                  <w:marRight w:val="0"/>
                  <w:marTop w:val="0"/>
                  <w:marBottom w:val="0"/>
                  <w:divBdr>
                    <w:top w:val="none" w:sz="0" w:space="0" w:color="auto"/>
                    <w:left w:val="none" w:sz="0" w:space="0" w:color="auto"/>
                    <w:bottom w:val="none" w:sz="0" w:space="0" w:color="auto"/>
                    <w:right w:val="none" w:sz="0" w:space="0" w:color="auto"/>
                  </w:divBdr>
                </w:div>
              </w:divsChild>
            </w:div>
            <w:div w:id="1411997273">
              <w:marLeft w:val="0"/>
              <w:marRight w:val="0"/>
              <w:marTop w:val="0"/>
              <w:marBottom w:val="0"/>
              <w:divBdr>
                <w:top w:val="none" w:sz="0" w:space="0" w:color="auto"/>
                <w:left w:val="none" w:sz="0" w:space="0" w:color="auto"/>
                <w:bottom w:val="none" w:sz="0" w:space="0" w:color="auto"/>
                <w:right w:val="none" w:sz="0" w:space="0" w:color="auto"/>
              </w:divBdr>
              <w:divsChild>
                <w:div w:id="838470115">
                  <w:marLeft w:val="255"/>
                  <w:marRight w:val="0"/>
                  <w:marTop w:val="0"/>
                  <w:marBottom w:val="0"/>
                  <w:divBdr>
                    <w:top w:val="none" w:sz="0" w:space="0" w:color="auto"/>
                    <w:left w:val="none" w:sz="0" w:space="0" w:color="auto"/>
                    <w:bottom w:val="none" w:sz="0" w:space="0" w:color="auto"/>
                    <w:right w:val="none" w:sz="0" w:space="0" w:color="auto"/>
                  </w:divBdr>
                </w:div>
              </w:divsChild>
            </w:div>
            <w:div w:id="1328246419">
              <w:marLeft w:val="0"/>
              <w:marRight w:val="0"/>
              <w:marTop w:val="0"/>
              <w:marBottom w:val="0"/>
              <w:divBdr>
                <w:top w:val="none" w:sz="0" w:space="0" w:color="auto"/>
                <w:left w:val="none" w:sz="0" w:space="0" w:color="auto"/>
                <w:bottom w:val="none" w:sz="0" w:space="0" w:color="auto"/>
                <w:right w:val="none" w:sz="0" w:space="0" w:color="auto"/>
              </w:divBdr>
              <w:divsChild>
                <w:div w:id="2586835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5673840">
          <w:marLeft w:val="0"/>
          <w:marRight w:val="0"/>
          <w:marTop w:val="0"/>
          <w:marBottom w:val="0"/>
          <w:divBdr>
            <w:top w:val="none" w:sz="0" w:space="0" w:color="auto"/>
            <w:left w:val="none" w:sz="0" w:space="0" w:color="auto"/>
            <w:bottom w:val="none" w:sz="0" w:space="0" w:color="auto"/>
            <w:right w:val="none" w:sz="0" w:space="0" w:color="auto"/>
          </w:divBdr>
          <w:divsChild>
            <w:div w:id="632902216">
              <w:marLeft w:val="0"/>
              <w:marRight w:val="0"/>
              <w:marTop w:val="105"/>
              <w:marBottom w:val="0"/>
              <w:divBdr>
                <w:top w:val="none" w:sz="0" w:space="0" w:color="auto"/>
                <w:left w:val="none" w:sz="0" w:space="0" w:color="auto"/>
                <w:bottom w:val="none" w:sz="0" w:space="0" w:color="auto"/>
                <w:right w:val="none" w:sz="0" w:space="0" w:color="auto"/>
              </w:divBdr>
            </w:div>
            <w:div w:id="1468624581">
              <w:marLeft w:val="0"/>
              <w:marRight w:val="0"/>
              <w:marTop w:val="0"/>
              <w:marBottom w:val="0"/>
              <w:divBdr>
                <w:top w:val="none" w:sz="0" w:space="0" w:color="auto"/>
                <w:left w:val="none" w:sz="0" w:space="0" w:color="auto"/>
                <w:bottom w:val="none" w:sz="0" w:space="0" w:color="auto"/>
                <w:right w:val="none" w:sz="0" w:space="0" w:color="auto"/>
              </w:divBdr>
              <w:divsChild>
                <w:div w:id="677973309">
                  <w:marLeft w:val="255"/>
                  <w:marRight w:val="0"/>
                  <w:marTop w:val="0"/>
                  <w:marBottom w:val="0"/>
                  <w:divBdr>
                    <w:top w:val="none" w:sz="0" w:space="0" w:color="auto"/>
                    <w:left w:val="none" w:sz="0" w:space="0" w:color="auto"/>
                    <w:bottom w:val="none" w:sz="0" w:space="0" w:color="auto"/>
                    <w:right w:val="none" w:sz="0" w:space="0" w:color="auto"/>
                  </w:divBdr>
                </w:div>
              </w:divsChild>
            </w:div>
            <w:div w:id="1535777029">
              <w:marLeft w:val="0"/>
              <w:marRight w:val="0"/>
              <w:marTop w:val="0"/>
              <w:marBottom w:val="0"/>
              <w:divBdr>
                <w:top w:val="none" w:sz="0" w:space="0" w:color="auto"/>
                <w:left w:val="none" w:sz="0" w:space="0" w:color="auto"/>
                <w:bottom w:val="none" w:sz="0" w:space="0" w:color="auto"/>
                <w:right w:val="none" w:sz="0" w:space="0" w:color="auto"/>
              </w:divBdr>
              <w:divsChild>
                <w:div w:id="692458389">
                  <w:marLeft w:val="255"/>
                  <w:marRight w:val="0"/>
                  <w:marTop w:val="0"/>
                  <w:marBottom w:val="0"/>
                  <w:divBdr>
                    <w:top w:val="none" w:sz="0" w:space="0" w:color="auto"/>
                    <w:left w:val="none" w:sz="0" w:space="0" w:color="auto"/>
                    <w:bottom w:val="none" w:sz="0" w:space="0" w:color="auto"/>
                    <w:right w:val="none" w:sz="0" w:space="0" w:color="auto"/>
                  </w:divBdr>
                </w:div>
              </w:divsChild>
            </w:div>
            <w:div w:id="1844513376">
              <w:marLeft w:val="0"/>
              <w:marRight w:val="0"/>
              <w:marTop w:val="0"/>
              <w:marBottom w:val="0"/>
              <w:divBdr>
                <w:top w:val="none" w:sz="0" w:space="0" w:color="auto"/>
                <w:left w:val="none" w:sz="0" w:space="0" w:color="auto"/>
                <w:bottom w:val="none" w:sz="0" w:space="0" w:color="auto"/>
                <w:right w:val="none" w:sz="0" w:space="0" w:color="auto"/>
              </w:divBdr>
              <w:divsChild>
                <w:div w:id="13975148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766596">
          <w:marLeft w:val="0"/>
          <w:marRight w:val="0"/>
          <w:marTop w:val="0"/>
          <w:marBottom w:val="0"/>
          <w:divBdr>
            <w:top w:val="none" w:sz="0" w:space="0" w:color="auto"/>
            <w:left w:val="none" w:sz="0" w:space="0" w:color="auto"/>
            <w:bottom w:val="none" w:sz="0" w:space="0" w:color="auto"/>
            <w:right w:val="none" w:sz="0" w:space="0" w:color="auto"/>
          </w:divBdr>
          <w:divsChild>
            <w:div w:id="15769403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0205723">
      <w:bodyDiv w:val="1"/>
      <w:marLeft w:val="0"/>
      <w:marRight w:val="0"/>
      <w:marTop w:val="0"/>
      <w:marBottom w:val="0"/>
      <w:divBdr>
        <w:top w:val="none" w:sz="0" w:space="0" w:color="auto"/>
        <w:left w:val="none" w:sz="0" w:space="0" w:color="auto"/>
        <w:bottom w:val="none" w:sz="0" w:space="0" w:color="auto"/>
        <w:right w:val="none" w:sz="0" w:space="0" w:color="auto"/>
      </w:divBdr>
      <w:divsChild>
        <w:div w:id="2129662301">
          <w:marLeft w:val="0"/>
          <w:marRight w:val="0"/>
          <w:marTop w:val="150"/>
          <w:marBottom w:val="168"/>
          <w:divBdr>
            <w:top w:val="none" w:sz="0" w:space="0" w:color="auto"/>
            <w:left w:val="none" w:sz="0" w:space="0" w:color="auto"/>
            <w:bottom w:val="none" w:sz="0" w:space="0" w:color="auto"/>
            <w:right w:val="none" w:sz="0" w:space="0" w:color="auto"/>
          </w:divBdr>
        </w:div>
        <w:div w:id="967130797">
          <w:marLeft w:val="0"/>
          <w:marRight w:val="0"/>
          <w:marTop w:val="0"/>
          <w:marBottom w:val="0"/>
          <w:divBdr>
            <w:top w:val="none" w:sz="0" w:space="0" w:color="auto"/>
            <w:left w:val="none" w:sz="0" w:space="0" w:color="auto"/>
            <w:bottom w:val="none" w:sz="0" w:space="0" w:color="auto"/>
            <w:right w:val="none" w:sz="0" w:space="0" w:color="auto"/>
          </w:divBdr>
          <w:divsChild>
            <w:div w:id="522934767">
              <w:marLeft w:val="255"/>
              <w:marRight w:val="0"/>
              <w:marTop w:val="0"/>
              <w:marBottom w:val="0"/>
              <w:divBdr>
                <w:top w:val="none" w:sz="0" w:space="0" w:color="auto"/>
                <w:left w:val="none" w:sz="0" w:space="0" w:color="auto"/>
                <w:bottom w:val="none" w:sz="0" w:space="0" w:color="auto"/>
                <w:right w:val="none" w:sz="0" w:space="0" w:color="auto"/>
              </w:divBdr>
            </w:div>
          </w:divsChild>
        </w:div>
        <w:div w:id="1940329361">
          <w:marLeft w:val="0"/>
          <w:marRight w:val="0"/>
          <w:marTop w:val="0"/>
          <w:marBottom w:val="0"/>
          <w:divBdr>
            <w:top w:val="none" w:sz="0" w:space="0" w:color="auto"/>
            <w:left w:val="none" w:sz="0" w:space="0" w:color="auto"/>
            <w:bottom w:val="none" w:sz="0" w:space="0" w:color="auto"/>
            <w:right w:val="none" w:sz="0" w:space="0" w:color="auto"/>
          </w:divBdr>
          <w:divsChild>
            <w:div w:id="110830260">
              <w:marLeft w:val="255"/>
              <w:marRight w:val="0"/>
              <w:marTop w:val="0"/>
              <w:marBottom w:val="0"/>
              <w:divBdr>
                <w:top w:val="none" w:sz="0" w:space="0" w:color="auto"/>
                <w:left w:val="none" w:sz="0" w:space="0" w:color="auto"/>
                <w:bottom w:val="none" w:sz="0" w:space="0" w:color="auto"/>
                <w:right w:val="none" w:sz="0" w:space="0" w:color="auto"/>
              </w:divBdr>
            </w:div>
          </w:divsChild>
        </w:div>
        <w:div w:id="1919707181">
          <w:marLeft w:val="0"/>
          <w:marRight w:val="0"/>
          <w:marTop w:val="0"/>
          <w:marBottom w:val="0"/>
          <w:divBdr>
            <w:top w:val="none" w:sz="0" w:space="0" w:color="auto"/>
            <w:left w:val="none" w:sz="0" w:space="0" w:color="auto"/>
            <w:bottom w:val="none" w:sz="0" w:space="0" w:color="auto"/>
            <w:right w:val="none" w:sz="0" w:space="0" w:color="auto"/>
          </w:divBdr>
          <w:divsChild>
            <w:div w:id="669603419">
              <w:marLeft w:val="255"/>
              <w:marRight w:val="0"/>
              <w:marTop w:val="0"/>
              <w:marBottom w:val="0"/>
              <w:divBdr>
                <w:top w:val="none" w:sz="0" w:space="0" w:color="auto"/>
                <w:left w:val="none" w:sz="0" w:space="0" w:color="auto"/>
                <w:bottom w:val="none" w:sz="0" w:space="0" w:color="auto"/>
                <w:right w:val="none" w:sz="0" w:space="0" w:color="auto"/>
              </w:divBdr>
            </w:div>
          </w:divsChild>
        </w:div>
        <w:div w:id="840124735">
          <w:marLeft w:val="0"/>
          <w:marRight w:val="0"/>
          <w:marTop w:val="0"/>
          <w:marBottom w:val="0"/>
          <w:divBdr>
            <w:top w:val="none" w:sz="0" w:space="0" w:color="auto"/>
            <w:left w:val="none" w:sz="0" w:space="0" w:color="auto"/>
            <w:bottom w:val="none" w:sz="0" w:space="0" w:color="auto"/>
            <w:right w:val="none" w:sz="0" w:space="0" w:color="auto"/>
          </w:divBdr>
          <w:divsChild>
            <w:div w:id="8799014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79848485">
      <w:bodyDiv w:val="1"/>
      <w:marLeft w:val="0"/>
      <w:marRight w:val="0"/>
      <w:marTop w:val="0"/>
      <w:marBottom w:val="0"/>
      <w:divBdr>
        <w:top w:val="none" w:sz="0" w:space="0" w:color="auto"/>
        <w:left w:val="none" w:sz="0" w:space="0" w:color="auto"/>
        <w:bottom w:val="none" w:sz="0" w:space="0" w:color="auto"/>
        <w:right w:val="none" w:sz="0" w:space="0" w:color="auto"/>
      </w:divBdr>
      <w:divsChild>
        <w:div w:id="546994170">
          <w:marLeft w:val="0"/>
          <w:marRight w:val="0"/>
          <w:marTop w:val="0"/>
          <w:marBottom w:val="0"/>
          <w:divBdr>
            <w:top w:val="none" w:sz="0" w:space="0" w:color="auto"/>
            <w:left w:val="none" w:sz="0" w:space="0" w:color="auto"/>
            <w:bottom w:val="none" w:sz="0" w:space="0" w:color="auto"/>
            <w:right w:val="none" w:sz="0" w:space="0" w:color="auto"/>
          </w:divBdr>
          <w:divsChild>
            <w:div w:id="267273526">
              <w:marLeft w:val="0"/>
              <w:marRight w:val="0"/>
              <w:marTop w:val="0"/>
              <w:marBottom w:val="0"/>
              <w:divBdr>
                <w:top w:val="none" w:sz="0" w:space="0" w:color="auto"/>
                <w:left w:val="none" w:sz="0" w:space="0" w:color="auto"/>
                <w:bottom w:val="none" w:sz="0" w:space="0" w:color="auto"/>
                <w:right w:val="none" w:sz="0" w:space="0" w:color="auto"/>
              </w:divBdr>
              <w:divsChild>
                <w:div w:id="331034848">
                  <w:marLeft w:val="0"/>
                  <w:marRight w:val="0"/>
                  <w:marTop w:val="105"/>
                  <w:marBottom w:val="0"/>
                  <w:divBdr>
                    <w:top w:val="none" w:sz="0" w:space="0" w:color="auto"/>
                    <w:left w:val="none" w:sz="0" w:space="0" w:color="auto"/>
                    <w:bottom w:val="none" w:sz="0" w:space="0" w:color="auto"/>
                    <w:right w:val="none" w:sz="0" w:space="0" w:color="auto"/>
                  </w:divBdr>
                </w:div>
              </w:divsChild>
            </w:div>
            <w:div w:id="1319455272">
              <w:marLeft w:val="0"/>
              <w:marRight w:val="0"/>
              <w:marTop w:val="0"/>
              <w:marBottom w:val="0"/>
              <w:divBdr>
                <w:top w:val="none" w:sz="0" w:space="0" w:color="auto"/>
                <w:left w:val="none" w:sz="0" w:space="0" w:color="auto"/>
                <w:bottom w:val="none" w:sz="0" w:space="0" w:color="auto"/>
                <w:right w:val="none" w:sz="0" w:space="0" w:color="auto"/>
              </w:divBdr>
              <w:divsChild>
                <w:div w:id="1457333239">
                  <w:marLeft w:val="0"/>
                  <w:marRight w:val="0"/>
                  <w:marTop w:val="105"/>
                  <w:marBottom w:val="0"/>
                  <w:divBdr>
                    <w:top w:val="none" w:sz="0" w:space="0" w:color="auto"/>
                    <w:left w:val="none" w:sz="0" w:space="0" w:color="auto"/>
                    <w:bottom w:val="none" w:sz="0" w:space="0" w:color="auto"/>
                    <w:right w:val="none" w:sz="0" w:space="0" w:color="auto"/>
                  </w:divBdr>
                </w:div>
              </w:divsChild>
            </w:div>
            <w:div w:id="1400591302">
              <w:marLeft w:val="0"/>
              <w:marRight w:val="0"/>
              <w:marTop w:val="0"/>
              <w:marBottom w:val="0"/>
              <w:divBdr>
                <w:top w:val="none" w:sz="0" w:space="0" w:color="auto"/>
                <w:left w:val="none" w:sz="0" w:space="0" w:color="auto"/>
                <w:bottom w:val="none" w:sz="0" w:space="0" w:color="auto"/>
                <w:right w:val="none" w:sz="0" w:space="0" w:color="auto"/>
              </w:divBdr>
              <w:divsChild>
                <w:div w:id="2140340630">
                  <w:marLeft w:val="0"/>
                  <w:marRight w:val="0"/>
                  <w:marTop w:val="105"/>
                  <w:marBottom w:val="0"/>
                  <w:divBdr>
                    <w:top w:val="none" w:sz="0" w:space="0" w:color="auto"/>
                    <w:left w:val="none" w:sz="0" w:space="0" w:color="auto"/>
                    <w:bottom w:val="none" w:sz="0" w:space="0" w:color="auto"/>
                    <w:right w:val="none" w:sz="0" w:space="0" w:color="auto"/>
                  </w:divBdr>
                </w:div>
              </w:divsChild>
            </w:div>
            <w:div w:id="1957634455">
              <w:marLeft w:val="0"/>
              <w:marRight w:val="0"/>
              <w:marTop w:val="0"/>
              <w:marBottom w:val="0"/>
              <w:divBdr>
                <w:top w:val="none" w:sz="0" w:space="0" w:color="auto"/>
                <w:left w:val="none" w:sz="0" w:space="0" w:color="auto"/>
                <w:bottom w:val="none" w:sz="0" w:space="0" w:color="auto"/>
                <w:right w:val="none" w:sz="0" w:space="0" w:color="auto"/>
              </w:divBdr>
              <w:divsChild>
                <w:div w:id="19423776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2362514">
          <w:marLeft w:val="0"/>
          <w:marRight w:val="0"/>
          <w:marTop w:val="0"/>
          <w:marBottom w:val="0"/>
          <w:divBdr>
            <w:top w:val="none" w:sz="0" w:space="0" w:color="auto"/>
            <w:left w:val="none" w:sz="0" w:space="0" w:color="auto"/>
            <w:bottom w:val="none" w:sz="0" w:space="0" w:color="auto"/>
            <w:right w:val="none" w:sz="0" w:space="0" w:color="auto"/>
          </w:divBdr>
          <w:divsChild>
            <w:div w:id="1876501179">
              <w:marLeft w:val="0"/>
              <w:marRight w:val="0"/>
              <w:marTop w:val="150"/>
              <w:marBottom w:val="168"/>
              <w:divBdr>
                <w:top w:val="none" w:sz="0" w:space="0" w:color="auto"/>
                <w:left w:val="none" w:sz="0" w:space="0" w:color="auto"/>
                <w:bottom w:val="none" w:sz="0" w:space="0" w:color="auto"/>
                <w:right w:val="none" w:sz="0" w:space="0" w:color="auto"/>
              </w:divBdr>
            </w:div>
            <w:div w:id="958728630">
              <w:marLeft w:val="0"/>
              <w:marRight w:val="0"/>
              <w:marTop w:val="0"/>
              <w:marBottom w:val="0"/>
              <w:divBdr>
                <w:top w:val="none" w:sz="0" w:space="0" w:color="auto"/>
                <w:left w:val="none" w:sz="0" w:space="0" w:color="auto"/>
                <w:bottom w:val="none" w:sz="0" w:space="0" w:color="auto"/>
                <w:right w:val="none" w:sz="0" w:space="0" w:color="auto"/>
              </w:divBdr>
              <w:divsChild>
                <w:div w:id="1836996886">
                  <w:marLeft w:val="0"/>
                  <w:marRight w:val="0"/>
                  <w:marTop w:val="105"/>
                  <w:marBottom w:val="0"/>
                  <w:divBdr>
                    <w:top w:val="none" w:sz="0" w:space="0" w:color="auto"/>
                    <w:left w:val="none" w:sz="0" w:space="0" w:color="auto"/>
                    <w:bottom w:val="none" w:sz="0" w:space="0" w:color="auto"/>
                    <w:right w:val="none" w:sz="0" w:space="0" w:color="auto"/>
                  </w:divBdr>
                </w:div>
              </w:divsChild>
            </w:div>
            <w:div w:id="2010327091">
              <w:marLeft w:val="0"/>
              <w:marRight w:val="0"/>
              <w:marTop w:val="0"/>
              <w:marBottom w:val="0"/>
              <w:divBdr>
                <w:top w:val="none" w:sz="0" w:space="0" w:color="auto"/>
                <w:left w:val="none" w:sz="0" w:space="0" w:color="auto"/>
                <w:bottom w:val="none" w:sz="0" w:space="0" w:color="auto"/>
                <w:right w:val="none" w:sz="0" w:space="0" w:color="auto"/>
              </w:divBdr>
              <w:divsChild>
                <w:div w:id="461457449">
                  <w:marLeft w:val="0"/>
                  <w:marRight w:val="0"/>
                  <w:marTop w:val="105"/>
                  <w:marBottom w:val="0"/>
                  <w:divBdr>
                    <w:top w:val="none" w:sz="0" w:space="0" w:color="auto"/>
                    <w:left w:val="none" w:sz="0" w:space="0" w:color="auto"/>
                    <w:bottom w:val="none" w:sz="0" w:space="0" w:color="auto"/>
                    <w:right w:val="none" w:sz="0" w:space="0" w:color="auto"/>
                  </w:divBdr>
                </w:div>
              </w:divsChild>
            </w:div>
            <w:div w:id="1566798786">
              <w:marLeft w:val="0"/>
              <w:marRight w:val="0"/>
              <w:marTop w:val="0"/>
              <w:marBottom w:val="0"/>
              <w:divBdr>
                <w:top w:val="none" w:sz="0" w:space="0" w:color="auto"/>
                <w:left w:val="none" w:sz="0" w:space="0" w:color="auto"/>
                <w:bottom w:val="none" w:sz="0" w:space="0" w:color="auto"/>
                <w:right w:val="none" w:sz="0" w:space="0" w:color="auto"/>
              </w:divBdr>
              <w:divsChild>
                <w:div w:id="12813031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87468901">
      <w:bodyDiv w:val="1"/>
      <w:marLeft w:val="0"/>
      <w:marRight w:val="0"/>
      <w:marTop w:val="0"/>
      <w:marBottom w:val="0"/>
      <w:divBdr>
        <w:top w:val="none" w:sz="0" w:space="0" w:color="auto"/>
        <w:left w:val="none" w:sz="0" w:space="0" w:color="auto"/>
        <w:bottom w:val="none" w:sz="0" w:space="0" w:color="auto"/>
        <w:right w:val="none" w:sz="0" w:space="0" w:color="auto"/>
      </w:divBdr>
      <w:divsChild>
        <w:div w:id="1098208452">
          <w:marLeft w:val="0"/>
          <w:marRight w:val="0"/>
          <w:marTop w:val="0"/>
          <w:marBottom w:val="0"/>
          <w:divBdr>
            <w:top w:val="none" w:sz="0" w:space="0" w:color="auto"/>
            <w:left w:val="none" w:sz="0" w:space="0" w:color="auto"/>
            <w:bottom w:val="none" w:sz="0" w:space="0" w:color="auto"/>
            <w:right w:val="none" w:sz="0" w:space="0" w:color="auto"/>
          </w:divBdr>
          <w:divsChild>
            <w:div w:id="18405354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0914758">
      <w:bodyDiv w:val="1"/>
      <w:marLeft w:val="0"/>
      <w:marRight w:val="0"/>
      <w:marTop w:val="0"/>
      <w:marBottom w:val="0"/>
      <w:divBdr>
        <w:top w:val="none" w:sz="0" w:space="0" w:color="auto"/>
        <w:left w:val="none" w:sz="0" w:space="0" w:color="auto"/>
        <w:bottom w:val="none" w:sz="0" w:space="0" w:color="auto"/>
        <w:right w:val="none" w:sz="0" w:space="0" w:color="auto"/>
      </w:divBdr>
      <w:divsChild>
        <w:div w:id="277642629">
          <w:marLeft w:val="0"/>
          <w:marRight w:val="0"/>
          <w:marTop w:val="0"/>
          <w:marBottom w:val="0"/>
          <w:divBdr>
            <w:top w:val="none" w:sz="0" w:space="0" w:color="auto"/>
            <w:left w:val="none" w:sz="0" w:space="0" w:color="auto"/>
            <w:bottom w:val="none" w:sz="0" w:space="0" w:color="auto"/>
            <w:right w:val="none" w:sz="0" w:space="0" w:color="auto"/>
          </w:divBdr>
          <w:divsChild>
            <w:div w:id="1211921333">
              <w:marLeft w:val="0"/>
              <w:marRight w:val="0"/>
              <w:marTop w:val="105"/>
              <w:marBottom w:val="0"/>
              <w:divBdr>
                <w:top w:val="none" w:sz="0" w:space="0" w:color="auto"/>
                <w:left w:val="none" w:sz="0" w:space="0" w:color="auto"/>
                <w:bottom w:val="none" w:sz="0" w:space="0" w:color="auto"/>
                <w:right w:val="none" w:sz="0" w:space="0" w:color="auto"/>
              </w:divBdr>
            </w:div>
          </w:divsChild>
        </w:div>
        <w:div w:id="2064016044">
          <w:marLeft w:val="0"/>
          <w:marRight w:val="0"/>
          <w:marTop w:val="0"/>
          <w:marBottom w:val="0"/>
          <w:divBdr>
            <w:top w:val="none" w:sz="0" w:space="0" w:color="auto"/>
            <w:left w:val="none" w:sz="0" w:space="0" w:color="auto"/>
            <w:bottom w:val="none" w:sz="0" w:space="0" w:color="auto"/>
            <w:right w:val="none" w:sz="0" w:space="0" w:color="auto"/>
          </w:divBdr>
          <w:divsChild>
            <w:div w:id="3469529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19189">
      <w:bodyDiv w:val="1"/>
      <w:marLeft w:val="0"/>
      <w:marRight w:val="0"/>
      <w:marTop w:val="0"/>
      <w:marBottom w:val="0"/>
      <w:divBdr>
        <w:top w:val="none" w:sz="0" w:space="0" w:color="auto"/>
        <w:left w:val="none" w:sz="0" w:space="0" w:color="auto"/>
        <w:bottom w:val="none" w:sz="0" w:space="0" w:color="auto"/>
        <w:right w:val="none" w:sz="0" w:space="0" w:color="auto"/>
      </w:divBdr>
      <w:divsChild>
        <w:div w:id="455758829">
          <w:marLeft w:val="0"/>
          <w:marRight w:val="0"/>
          <w:marTop w:val="0"/>
          <w:marBottom w:val="0"/>
          <w:divBdr>
            <w:top w:val="none" w:sz="0" w:space="0" w:color="auto"/>
            <w:left w:val="none" w:sz="0" w:space="0" w:color="auto"/>
            <w:bottom w:val="none" w:sz="0" w:space="0" w:color="auto"/>
            <w:right w:val="none" w:sz="0" w:space="0" w:color="auto"/>
          </w:divBdr>
          <w:divsChild>
            <w:div w:id="1916278019">
              <w:marLeft w:val="0"/>
              <w:marRight w:val="0"/>
              <w:marTop w:val="105"/>
              <w:marBottom w:val="0"/>
              <w:divBdr>
                <w:top w:val="none" w:sz="0" w:space="0" w:color="auto"/>
                <w:left w:val="none" w:sz="0" w:space="0" w:color="auto"/>
                <w:bottom w:val="none" w:sz="0" w:space="0" w:color="auto"/>
                <w:right w:val="none" w:sz="0" w:space="0" w:color="auto"/>
              </w:divBdr>
            </w:div>
          </w:divsChild>
        </w:div>
        <w:div w:id="1286236828">
          <w:marLeft w:val="0"/>
          <w:marRight w:val="0"/>
          <w:marTop w:val="0"/>
          <w:marBottom w:val="0"/>
          <w:divBdr>
            <w:top w:val="none" w:sz="0" w:space="0" w:color="auto"/>
            <w:left w:val="none" w:sz="0" w:space="0" w:color="auto"/>
            <w:bottom w:val="none" w:sz="0" w:space="0" w:color="auto"/>
            <w:right w:val="none" w:sz="0" w:space="0" w:color="auto"/>
          </w:divBdr>
          <w:divsChild>
            <w:div w:id="13219577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87530012">
      <w:bodyDiv w:val="1"/>
      <w:marLeft w:val="0"/>
      <w:marRight w:val="0"/>
      <w:marTop w:val="0"/>
      <w:marBottom w:val="0"/>
      <w:divBdr>
        <w:top w:val="none" w:sz="0" w:space="0" w:color="auto"/>
        <w:left w:val="none" w:sz="0" w:space="0" w:color="auto"/>
        <w:bottom w:val="none" w:sz="0" w:space="0" w:color="auto"/>
        <w:right w:val="none" w:sz="0" w:space="0" w:color="auto"/>
      </w:divBdr>
      <w:divsChild>
        <w:div w:id="922908541">
          <w:marLeft w:val="0"/>
          <w:marRight w:val="0"/>
          <w:marTop w:val="0"/>
          <w:marBottom w:val="0"/>
          <w:divBdr>
            <w:top w:val="none" w:sz="0" w:space="0" w:color="auto"/>
            <w:left w:val="none" w:sz="0" w:space="0" w:color="auto"/>
            <w:bottom w:val="none" w:sz="0" w:space="0" w:color="auto"/>
            <w:right w:val="none" w:sz="0" w:space="0" w:color="auto"/>
          </w:divBdr>
          <w:divsChild>
            <w:div w:id="379406047">
              <w:marLeft w:val="0"/>
              <w:marRight w:val="0"/>
              <w:marTop w:val="105"/>
              <w:marBottom w:val="0"/>
              <w:divBdr>
                <w:top w:val="none" w:sz="0" w:space="0" w:color="auto"/>
                <w:left w:val="none" w:sz="0" w:space="0" w:color="auto"/>
                <w:bottom w:val="none" w:sz="0" w:space="0" w:color="auto"/>
                <w:right w:val="none" w:sz="0" w:space="0" w:color="auto"/>
              </w:divBdr>
            </w:div>
            <w:div w:id="472992112">
              <w:marLeft w:val="0"/>
              <w:marRight w:val="0"/>
              <w:marTop w:val="0"/>
              <w:marBottom w:val="0"/>
              <w:divBdr>
                <w:top w:val="none" w:sz="0" w:space="0" w:color="auto"/>
                <w:left w:val="none" w:sz="0" w:space="0" w:color="auto"/>
                <w:bottom w:val="none" w:sz="0" w:space="0" w:color="auto"/>
                <w:right w:val="none" w:sz="0" w:space="0" w:color="auto"/>
              </w:divBdr>
              <w:divsChild>
                <w:div w:id="138543308">
                  <w:marLeft w:val="255"/>
                  <w:marRight w:val="0"/>
                  <w:marTop w:val="0"/>
                  <w:marBottom w:val="0"/>
                  <w:divBdr>
                    <w:top w:val="none" w:sz="0" w:space="0" w:color="auto"/>
                    <w:left w:val="none" w:sz="0" w:space="0" w:color="auto"/>
                    <w:bottom w:val="none" w:sz="0" w:space="0" w:color="auto"/>
                    <w:right w:val="none" w:sz="0" w:space="0" w:color="auto"/>
                  </w:divBdr>
                </w:div>
              </w:divsChild>
            </w:div>
            <w:div w:id="1928340597">
              <w:marLeft w:val="0"/>
              <w:marRight w:val="0"/>
              <w:marTop w:val="0"/>
              <w:marBottom w:val="0"/>
              <w:divBdr>
                <w:top w:val="none" w:sz="0" w:space="0" w:color="auto"/>
                <w:left w:val="none" w:sz="0" w:space="0" w:color="auto"/>
                <w:bottom w:val="none" w:sz="0" w:space="0" w:color="auto"/>
                <w:right w:val="none" w:sz="0" w:space="0" w:color="auto"/>
              </w:divBdr>
              <w:divsChild>
                <w:div w:id="15451729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7245145">
          <w:marLeft w:val="0"/>
          <w:marRight w:val="0"/>
          <w:marTop w:val="0"/>
          <w:marBottom w:val="0"/>
          <w:divBdr>
            <w:top w:val="none" w:sz="0" w:space="0" w:color="auto"/>
            <w:left w:val="none" w:sz="0" w:space="0" w:color="auto"/>
            <w:bottom w:val="none" w:sz="0" w:space="0" w:color="auto"/>
            <w:right w:val="none" w:sz="0" w:space="0" w:color="auto"/>
          </w:divBdr>
          <w:divsChild>
            <w:div w:id="659970626">
              <w:marLeft w:val="0"/>
              <w:marRight w:val="0"/>
              <w:marTop w:val="105"/>
              <w:marBottom w:val="0"/>
              <w:divBdr>
                <w:top w:val="none" w:sz="0" w:space="0" w:color="auto"/>
                <w:left w:val="none" w:sz="0" w:space="0" w:color="auto"/>
                <w:bottom w:val="none" w:sz="0" w:space="0" w:color="auto"/>
                <w:right w:val="none" w:sz="0" w:space="0" w:color="auto"/>
              </w:divBdr>
            </w:div>
          </w:divsChild>
        </w:div>
        <w:div w:id="981811915">
          <w:marLeft w:val="0"/>
          <w:marRight w:val="0"/>
          <w:marTop w:val="0"/>
          <w:marBottom w:val="0"/>
          <w:divBdr>
            <w:top w:val="none" w:sz="0" w:space="0" w:color="auto"/>
            <w:left w:val="none" w:sz="0" w:space="0" w:color="auto"/>
            <w:bottom w:val="none" w:sz="0" w:space="0" w:color="auto"/>
            <w:right w:val="none" w:sz="0" w:space="0" w:color="auto"/>
          </w:divBdr>
          <w:divsChild>
            <w:div w:id="1928421674">
              <w:marLeft w:val="0"/>
              <w:marRight w:val="0"/>
              <w:marTop w:val="105"/>
              <w:marBottom w:val="0"/>
              <w:divBdr>
                <w:top w:val="none" w:sz="0" w:space="0" w:color="auto"/>
                <w:left w:val="none" w:sz="0" w:space="0" w:color="auto"/>
                <w:bottom w:val="none" w:sz="0" w:space="0" w:color="auto"/>
                <w:right w:val="none" w:sz="0" w:space="0" w:color="auto"/>
              </w:divBdr>
            </w:div>
          </w:divsChild>
        </w:div>
        <w:div w:id="1030885187">
          <w:marLeft w:val="0"/>
          <w:marRight w:val="0"/>
          <w:marTop w:val="0"/>
          <w:marBottom w:val="0"/>
          <w:divBdr>
            <w:top w:val="none" w:sz="0" w:space="0" w:color="auto"/>
            <w:left w:val="none" w:sz="0" w:space="0" w:color="auto"/>
            <w:bottom w:val="none" w:sz="0" w:space="0" w:color="auto"/>
            <w:right w:val="none" w:sz="0" w:space="0" w:color="auto"/>
          </w:divBdr>
          <w:divsChild>
            <w:div w:id="318965328">
              <w:marLeft w:val="0"/>
              <w:marRight w:val="0"/>
              <w:marTop w:val="105"/>
              <w:marBottom w:val="0"/>
              <w:divBdr>
                <w:top w:val="none" w:sz="0" w:space="0" w:color="auto"/>
                <w:left w:val="none" w:sz="0" w:space="0" w:color="auto"/>
                <w:bottom w:val="none" w:sz="0" w:space="0" w:color="auto"/>
                <w:right w:val="none" w:sz="0" w:space="0" w:color="auto"/>
              </w:divBdr>
            </w:div>
          </w:divsChild>
        </w:div>
        <w:div w:id="1772891630">
          <w:marLeft w:val="0"/>
          <w:marRight w:val="0"/>
          <w:marTop w:val="0"/>
          <w:marBottom w:val="0"/>
          <w:divBdr>
            <w:top w:val="none" w:sz="0" w:space="0" w:color="auto"/>
            <w:left w:val="none" w:sz="0" w:space="0" w:color="auto"/>
            <w:bottom w:val="none" w:sz="0" w:space="0" w:color="auto"/>
            <w:right w:val="none" w:sz="0" w:space="0" w:color="auto"/>
          </w:divBdr>
          <w:divsChild>
            <w:div w:id="2026439196">
              <w:marLeft w:val="0"/>
              <w:marRight w:val="0"/>
              <w:marTop w:val="105"/>
              <w:marBottom w:val="0"/>
              <w:divBdr>
                <w:top w:val="none" w:sz="0" w:space="0" w:color="auto"/>
                <w:left w:val="none" w:sz="0" w:space="0" w:color="auto"/>
                <w:bottom w:val="none" w:sz="0" w:space="0" w:color="auto"/>
                <w:right w:val="none" w:sz="0" w:space="0" w:color="auto"/>
              </w:divBdr>
            </w:div>
          </w:divsChild>
        </w:div>
        <w:div w:id="1779331854">
          <w:marLeft w:val="0"/>
          <w:marRight w:val="0"/>
          <w:marTop w:val="0"/>
          <w:marBottom w:val="0"/>
          <w:divBdr>
            <w:top w:val="none" w:sz="0" w:space="0" w:color="auto"/>
            <w:left w:val="none" w:sz="0" w:space="0" w:color="auto"/>
            <w:bottom w:val="none" w:sz="0" w:space="0" w:color="auto"/>
            <w:right w:val="none" w:sz="0" w:space="0" w:color="auto"/>
          </w:divBdr>
          <w:divsChild>
            <w:div w:id="1869186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9932678">
      <w:bodyDiv w:val="1"/>
      <w:marLeft w:val="0"/>
      <w:marRight w:val="0"/>
      <w:marTop w:val="0"/>
      <w:marBottom w:val="0"/>
      <w:divBdr>
        <w:top w:val="none" w:sz="0" w:space="0" w:color="auto"/>
        <w:left w:val="none" w:sz="0" w:space="0" w:color="auto"/>
        <w:bottom w:val="none" w:sz="0" w:space="0" w:color="auto"/>
        <w:right w:val="none" w:sz="0" w:space="0" w:color="auto"/>
      </w:divBdr>
      <w:divsChild>
        <w:div w:id="365106519">
          <w:marLeft w:val="0"/>
          <w:marRight w:val="0"/>
          <w:marTop w:val="0"/>
          <w:marBottom w:val="0"/>
          <w:divBdr>
            <w:top w:val="none" w:sz="0" w:space="0" w:color="auto"/>
            <w:left w:val="none" w:sz="0" w:space="0" w:color="auto"/>
            <w:bottom w:val="none" w:sz="0" w:space="0" w:color="auto"/>
            <w:right w:val="none" w:sz="0" w:space="0" w:color="auto"/>
          </w:divBdr>
          <w:divsChild>
            <w:div w:id="1758206328">
              <w:marLeft w:val="0"/>
              <w:marRight w:val="0"/>
              <w:marTop w:val="105"/>
              <w:marBottom w:val="0"/>
              <w:divBdr>
                <w:top w:val="none" w:sz="0" w:space="0" w:color="auto"/>
                <w:left w:val="none" w:sz="0" w:space="0" w:color="auto"/>
                <w:bottom w:val="none" w:sz="0" w:space="0" w:color="auto"/>
                <w:right w:val="none" w:sz="0" w:space="0" w:color="auto"/>
              </w:divBdr>
            </w:div>
          </w:divsChild>
        </w:div>
        <w:div w:id="1024555453">
          <w:marLeft w:val="0"/>
          <w:marRight w:val="0"/>
          <w:marTop w:val="0"/>
          <w:marBottom w:val="0"/>
          <w:divBdr>
            <w:top w:val="none" w:sz="0" w:space="0" w:color="auto"/>
            <w:left w:val="none" w:sz="0" w:space="0" w:color="auto"/>
            <w:bottom w:val="none" w:sz="0" w:space="0" w:color="auto"/>
            <w:right w:val="none" w:sz="0" w:space="0" w:color="auto"/>
          </w:divBdr>
          <w:divsChild>
            <w:div w:id="961879594">
              <w:marLeft w:val="0"/>
              <w:marRight w:val="0"/>
              <w:marTop w:val="105"/>
              <w:marBottom w:val="0"/>
              <w:divBdr>
                <w:top w:val="none" w:sz="0" w:space="0" w:color="auto"/>
                <w:left w:val="none" w:sz="0" w:space="0" w:color="auto"/>
                <w:bottom w:val="none" w:sz="0" w:space="0" w:color="auto"/>
                <w:right w:val="none" w:sz="0" w:space="0" w:color="auto"/>
              </w:divBdr>
            </w:div>
          </w:divsChild>
        </w:div>
        <w:div w:id="711421569">
          <w:marLeft w:val="0"/>
          <w:marRight w:val="0"/>
          <w:marTop w:val="0"/>
          <w:marBottom w:val="0"/>
          <w:divBdr>
            <w:top w:val="none" w:sz="0" w:space="0" w:color="auto"/>
            <w:left w:val="none" w:sz="0" w:space="0" w:color="auto"/>
            <w:bottom w:val="none" w:sz="0" w:space="0" w:color="auto"/>
            <w:right w:val="none" w:sz="0" w:space="0" w:color="auto"/>
          </w:divBdr>
          <w:divsChild>
            <w:div w:id="2028629438">
              <w:marLeft w:val="0"/>
              <w:marRight w:val="0"/>
              <w:marTop w:val="105"/>
              <w:marBottom w:val="0"/>
              <w:divBdr>
                <w:top w:val="none" w:sz="0" w:space="0" w:color="auto"/>
                <w:left w:val="none" w:sz="0" w:space="0" w:color="auto"/>
                <w:bottom w:val="none" w:sz="0" w:space="0" w:color="auto"/>
                <w:right w:val="none" w:sz="0" w:space="0" w:color="auto"/>
              </w:divBdr>
            </w:div>
          </w:divsChild>
        </w:div>
        <w:div w:id="739207094">
          <w:marLeft w:val="0"/>
          <w:marRight w:val="0"/>
          <w:marTop w:val="0"/>
          <w:marBottom w:val="0"/>
          <w:divBdr>
            <w:top w:val="none" w:sz="0" w:space="0" w:color="auto"/>
            <w:left w:val="none" w:sz="0" w:space="0" w:color="auto"/>
            <w:bottom w:val="none" w:sz="0" w:space="0" w:color="auto"/>
            <w:right w:val="none" w:sz="0" w:space="0" w:color="auto"/>
          </w:divBdr>
          <w:divsChild>
            <w:div w:id="1975331407">
              <w:marLeft w:val="0"/>
              <w:marRight w:val="0"/>
              <w:marTop w:val="105"/>
              <w:marBottom w:val="0"/>
              <w:divBdr>
                <w:top w:val="none" w:sz="0" w:space="0" w:color="auto"/>
                <w:left w:val="none" w:sz="0" w:space="0" w:color="auto"/>
                <w:bottom w:val="none" w:sz="0" w:space="0" w:color="auto"/>
                <w:right w:val="none" w:sz="0" w:space="0" w:color="auto"/>
              </w:divBdr>
            </w:div>
          </w:divsChild>
        </w:div>
        <w:div w:id="344095179">
          <w:marLeft w:val="0"/>
          <w:marRight w:val="0"/>
          <w:marTop w:val="0"/>
          <w:marBottom w:val="0"/>
          <w:divBdr>
            <w:top w:val="none" w:sz="0" w:space="0" w:color="auto"/>
            <w:left w:val="none" w:sz="0" w:space="0" w:color="auto"/>
            <w:bottom w:val="none" w:sz="0" w:space="0" w:color="auto"/>
            <w:right w:val="none" w:sz="0" w:space="0" w:color="auto"/>
          </w:divBdr>
          <w:divsChild>
            <w:div w:id="1164129324">
              <w:marLeft w:val="0"/>
              <w:marRight w:val="0"/>
              <w:marTop w:val="105"/>
              <w:marBottom w:val="0"/>
              <w:divBdr>
                <w:top w:val="none" w:sz="0" w:space="0" w:color="auto"/>
                <w:left w:val="none" w:sz="0" w:space="0" w:color="auto"/>
                <w:bottom w:val="none" w:sz="0" w:space="0" w:color="auto"/>
                <w:right w:val="none" w:sz="0" w:space="0" w:color="auto"/>
              </w:divBdr>
            </w:div>
          </w:divsChild>
        </w:div>
        <w:div w:id="1812752318">
          <w:marLeft w:val="0"/>
          <w:marRight w:val="0"/>
          <w:marTop w:val="0"/>
          <w:marBottom w:val="0"/>
          <w:divBdr>
            <w:top w:val="none" w:sz="0" w:space="0" w:color="auto"/>
            <w:left w:val="none" w:sz="0" w:space="0" w:color="auto"/>
            <w:bottom w:val="none" w:sz="0" w:space="0" w:color="auto"/>
            <w:right w:val="none" w:sz="0" w:space="0" w:color="auto"/>
          </w:divBdr>
          <w:divsChild>
            <w:div w:id="5176179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35290912">
      <w:bodyDiv w:val="1"/>
      <w:marLeft w:val="0"/>
      <w:marRight w:val="0"/>
      <w:marTop w:val="0"/>
      <w:marBottom w:val="0"/>
      <w:divBdr>
        <w:top w:val="none" w:sz="0" w:space="0" w:color="auto"/>
        <w:left w:val="none" w:sz="0" w:space="0" w:color="auto"/>
        <w:bottom w:val="none" w:sz="0" w:space="0" w:color="auto"/>
        <w:right w:val="none" w:sz="0" w:space="0" w:color="auto"/>
      </w:divBdr>
      <w:divsChild>
        <w:div w:id="1928222212">
          <w:marLeft w:val="0"/>
          <w:marRight w:val="0"/>
          <w:marTop w:val="0"/>
          <w:marBottom w:val="0"/>
          <w:divBdr>
            <w:top w:val="none" w:sz="0" w:space="0" w:color="auto"/>
            <w:left w:val="none" w:sz="0" w:space="0" w:color="auto"/>
            <w:bottom w:val="none" w:sz="0" w:space="0" w:color="auto"/>
            <w:right w:val="none" w:sz="0" w:space="0" w:color="auto"/>
          </w:divBdr>
          <w:divsChild>
            <w:div w:id="1499347568">
              <w:marLeft w:val="0"/>
              <w:marRight w:val="0"/>
              <w:marTop w:val="105"/>
              <w:marBottom w:val="0"/>
              <w:divBdr>
                <w:top w:val="none" w:sz="0" w:space="0" w:color="auto"/>
                <w:left w:val="none" w:sz="0" w:space="0" w:color="auto"/>
                <w:bottom w:val="none" w:sz="0" w:space="0" w:color="auto"/>
                <w:right w:val="none" w:sz="0" w:space="0" w:color="auto"/>
              </w:divBdr>
            </w:div>
          </w:divsChild>
        </w:div>
        <w:div w:id="1959219481">
          <w:marLeft w:val="0"/>
          <w:marRight w:val="0"/>
          <w:marTop w:val="0"/>
          <w:marBottom w:val="0"/>
          <w:divBdr>
            <w:top w:val="none" w:sz="0" w:space="0" w:color="auto"/>
            <w:left w:val="none" w:sz="0" w:space="0" w:color="auto"/>
            <w:bottom w:val="none" w:sz="0" w:space="0" w:color="auto"/>
            <w:right w:val="none" w:sz="0" w:space="0" w:color="auto"/>
          </w:divBdr>
          <w:divsChild>
            <w:div w:id="92865039">
              <w:marLeft w:val="0"/>
              <w:marRight w:val="0"/>
              <w:marTop w:val="105"/>
              <w:marBottom w:val="0"/>
              <w:divBdr>
                <w:top w:val="none" w:sz="0" w:space="0" w:color="auto"/>
                <w:left w:val="none" w:sz="0" w:space="0" w:color="auto"/>
                <w:bottom w:val="none" w:sz="0" w:space="0" w:color="auto"/>
                <w:right w:val="none" w:sz="0" w:space="0" w:color="auto"/>
              </w:divBdr>
            </w:div>
          </w:divsChild>
        </w:div>
        <w:div w:id="1864590505">
          <w:marLeft w:val="0"/>
          <w:marRight w:val="0"/>
          <w:marTop w:val="0"/>
          <w:marBottom w:val="0"/>
          <w:divBdr>
            <w:top w:val="none" w:sz="0" w:space="0" w:color="auto"/>
            <w:left w:val="none" w:sz="0" w:space="0" w:color="auto"/>
            <w:bottom w:val="none" w:sz="0" w:space="0" w:color="auto"/>
            <w:right w:val="none" w:sz="0" w:space="0" w:color="auto"/>
          </w:divBdr>
          <w:divsChild>
            <w:div w:id="1548879550">
              <w:marLeft w:val="0"/>
              <w:marRight w:val="0"/>
              <w:marTop w:val="105"/>
              <w:marBottom w:val="0"/>
              <w:divBdr>
                <w:top w:val="none" w:sz="0" w:space="0" w:color="auto"/>
                <w:left w:val="none" w:sz="0" w:space="0" w:color="auto"/>
                <w:bottom w:val="none" w:sz="0" w:space="0" w:color="auto"/>
                <w:right w:val="none" w:sz="0" w:space="0" w:color="auto"/>
              </w:divBdr>
            </w:div>
            <w:div w:id="321466215">
              <w:marLeft w:val="0"/>
              <w:marRight w:val="0"/>
              <w:marTop w:val="0"/>
              <w:marBottom w:val="0"/>
              <w:divBdr>
                <w:top w:val="none" w:sz="0" w:space="0" w:color="auto"/>
                <w:left w:val="none" w:sz="0" w:space="0" w:color="auto"/>
                <w:bottom w:val="none" w:sz="0" w:space="0" w:color="auto"/>
                <w:right w:val="none" w:sz="0" w:space="0" w:color="auto"/>
              </w:divBdr>
              <w:divsChild>
                <w:div w:id="876282043">
                  <w:marLeft w:val="255"/>
                  <w:marRight w:val="0"/>
                  <w:marTop w:val="0"/>
                  <w:marBottom w:val="0"/>
                  <w:divBdr>
                    <w:top w:val="none" w:sz="0" w:space="0" w:color="auto"/>
                    <w:left w:val="none" w:sz="0" w:space="0" w:color="auto"/>
                    <w:bottom w:val="none" w:sz="0" w:space="0" w:color="auto"/>
                    <w:right w:val="none" w:sz="0" w:space="0" w:color="auto"/>
                  </w:divBdr>
                </w:div>
              </w:divsChild>
            </w:div>
            <w:div w:id="1763990871">
              <w:marLeft w:val="0"/>
              <w:marRight w:val="0"/>
              <w:marTop w:val="0"/>
              <w:marBottom w:val="0"/>
              <w:divBdr>
                <w:top w:val="none" w:sz="0" w:space="0" w:color="auto"/>
                <w:left w:val="none" w:sz="0" w:space="0" w:color="auto"/>
                <w:bottom w:val="none" w:sz="0" w:space="0" w:color="auto"/>
                <w:right w:val="none" w:sz="0" w:space="0" w:color="auto"/>
              </w:divBdr>
              <w:divsChild>
                <w:div w:id="674456862">
                  <w:marLeft w:val="255"/>
                  <w:marRight w:val="0"/>
                  <w:marTop w:val="0"/>
                  <w:marBottom w:val="0"/>
                  <w:divBdr>
                    <w:top w:val="none" w:sz="0" w:space="0" w:color="auto"/>
                    <w:left w:val="none" w:sz="0" w:space="0" w:color="auto"/>
                    <w:bottom w:val="none" w:sz="0" w:space="0" w:color="auto"/>
                    <w:right w:val="none" w:sz="0" w:space="0" w:color="auto"/>
                  </w:divBdr>
                </w:div>
              </w:divsChild>
            </w:div>
            <w:div w:id="734741955">
              <w:marLeft w:val="0"/>
              <w:marRight w:val="0"/>
              <w:marTop w:val="0"/>
              <w:marBottom w:val="0"/>
              <w:divBdr>
                <w:top w:val="none" w:sz="0" w:space="0" w:color="auto"/>
                <w:left w:val="none" w:sz="0" w:space="0" w:color="auto"/>
                <w:bottom w:val="none" w:sz="0" w:space="0" w:color="auto"/>
                <w:right w:val="none" w:sz="0" w:space="0" w:color="auto"/>
              </w:divBdr>
              <w:divsChild>
                <w:div w:id="17937898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9659484">
          <w:marLeft w:val="0"/>
          <w:marRight w:val="0"/>
          <w:marTop w:val="0"/>
          <w:marBottom w:val="0"/>
          <w:divBdr>
            <w:top w:val="none" w:sz="0" w:space="0" w:color="auto"/>
            <w:left w:val="none" w:sz="0" w:space="0" w:color="auto"/>
            <w:bottom w:val="none" w:sz="0" w:space="0" w:color="auto"/>
            <w:right w:val="none" w:sz="0" w:space="0" w:color="auto"/>
          </w:divBdr>
          <w:divsChild>
            <w:div w:id="1154878336">
              <w:marLeft w:val="0"/>
              <w:marRight w:val="0"/>
              <w:marTop w:val="105"/>
              <w:marBottom w:val="0"/>
              <w:divBdr>
                <w:top w:val="none" w:sz="0" w:space="0" w:color="auto"/>
                <w:left w:val="none" w:sz="0" w:space="0" w:color="auto"/>
                <w:bottom w:val="none" w:sz="0" w:space="0" w:color="auto"/>
                <w:right w:val="none" w:sz="0" w:space="0" w:color="auto"/>
              </w:divBdr>
            </w:div>
          </w:divsChild>
        </w:div>
        <w:div w:id="1328558047">
          <w:marLeft w:val="0"/>
          <w:marRight w:val="0"/>
          <w:marTop w:val="0"/>
          <w:marBottom w:val="0"/>
          <w:divBdr>
            <w:top w:val="none" w:sz="0" w:space="0" w:color="auto"/>
            <w:left w:val="none" w:sz="0" w:space="0" w:color="auto"/>
            <w:bottom w:val="none" w:sz="0" w:space="0" w:color="auto"/>
            <w:right w:val="none" w:sz="0" w:space="0" w:color="auto"/>
          </w:divBdr>
          <w:divsChild>
            <w:div w:id="9886315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4541585">
      <w:bodyDiv w:val="1"/>
      <w:marLeft w:val="0"/>
      <w:marRight w:val="0"/>
      <w:marTop w:val="0"/>
      <w:marBottom w:val="0"/>
      <w:divBdr>
        <w:top w:val="none" w:sz="0" w:space="0" w:color="auto"/>
        <w:left w:val="none" w:sz="0" w:space="0" w:color="auto"/>
        <w:bottom w:val="none" w:sz="0" w:space="0" w:color="auto"/>
        <w:right w:val="none" w:sz="0" w:space="0" w:color="auto"/>
      </w:divBdr>
      <w:divsChild>
        <w:div w:id="745418627">
          <w:marLeft w:val="0"/>
          <w:marRight w:val="0"/>
          <w:marTop w:val="150"/>
          <w:marBottom w:val="168"/>
          <w:divBdr>
            <w:top w:val="none" w:sz="0" w:space="0" w:color="auto"/>
            <w:left w:val="none" w:sz="0" w:space="0" w:color="auto"/>
            <w:bottom w:val="none" w:sz="0" w:space="0" w:color="auto"/>
            <w:right w:val="none" w:sz="0" w:space="0" w:color="auto"/>
          </w:divBdr>
        </w:div>
        <w:div w:id="1363362533">
          <w:marLeft w:val="0"/>
          <w:marRight w:val="0"/>
          <w:marTop w:val="0"/>
          <w:marBottom w:val="0"/>
          <w:divBdr>
            <w:top w:val="none" w:sz="0" w:space="0" w:color="auto"/>
            <w:left w:val="none" w:sz="0" w:space="0" w:color="auto"/>
            <w:bottom w:val="none" w:sz="0" w:space="0" w:color="auto"/>
            <w:right w:val="none" w:sz="0" w:space="0" w:color="auto"/>
          </w:divBdr>
          <w:divsChild>
            <w:div w:id="1377656759">
              <w:marLeft w:val="0"/>
              <w:marRight w:val="0"/>
              <w:marTop w:val="105"/>
              <w:marBottom w:val="0"/>
              <w:divBdr>
                <w:top w:val="none" w:sz="0" w:space="0" w:color="auto"/>
                <w:left w:val="none" w:sz="0" w:space="0" w:color="auto"/>
                <w:bottom w:val="none" w:sz="0" w:space="0" w:color="auto"/>
                <w:right w:val="none" w:sz="0" w:space="0" w:color="auto"/>
              </w:divBdr>
            </w:div>
            <w:div w:id="195431613">
              <w:marLeft w:val="0"/>
              <w:marRight w:val="0"/>
              <w:marTop w:val="0"/>
              <w:marBottom w:val="0"/>
              <w:divBdr>
                <w:top w:val="none" w:sz="0" w:space="0" w:color="auto"/>
                <w:left w:val="none" w:sz="0" w:space="0" w:color="auto"/>
                <w:bottom w:val="none" w:sz="0" w:space="0" w:color="auto"/>
                <w:right w:val="none" w:sz="0" w:space="0" w:color="auto"/>
              </w:divBdr>
              <w:divsChild>
                <w:div w:id="432363616">
                  <w:marLeft w:val="255"/>
                  <w:marRight w:val="0"/>
                  <w:marTop w:val="0"/>
                  <w:marBottom w:val="0"/>
                  <w:divBdr>
                    <w:top w:val="none" w:sz="0" w:space="0" w:color="auto"/>
                    <w:left w:val="none" w:sz="0" w:space="0" w:color="auto"/>
                    <w:bottom w:val="none" w:sz="0" w:space="0" w:color="auto"/>
                    <w:right w:val="none" w:sz="0" w:space="0" w:color="auto"/>
                  </w:divBdr>
                </w:div>
              </w:divsChild>
            </w:div>
            <w:div w:id="1326857714">
              <w:marLeft w:val="0"/>
              <w:marRight w:val="0"/>
              <w:marTop w:val="0"/>
              <w:marBottom w:val="0"/>
              <w:divBdr>
                <w:top w:val="none" w:sz="0" w:space="0" w:color="auto"/>
                <w:left w:val="none" w:sz="0" w:space="0" w:color="auto"/>
                <w:bottom w:val="none" w:sz="0" w:space="0" w:color="auto"/>
                <w:right w:val="none" w:sz="0" w:space="0" w:color="auto"/>
              </w:divBdr>
              <w:divsChild>
                <w:div w:id="1172835611">
                  <w:marLeft w:val="255"/>
                  <w:marRight w:val="0"/>
                  <w:marTop w:val="0"/>
                  <w:marBottom w:val="0"/>
                  <w:divBdr>
                    <w:top w:val="none" w:sz="0" w:space="0" w:color="auto"/>
                    <w:left w:val="none" w:sz="0" w:space="0" w:color="auto"/>
                    <w:bottom w:val="none" w:sz="0" w:space="0" w:color="auto"/>
                    <w:right w:val="none" w:sz="0" w:space="0" w:color="auto"/>
                  </w:divBdr>
                </w:div>
              </w:divsChild>
            </w:div>
            <w:div w:id="1797869716">
              <w:marLeft w:val="0"/>
              <w:marRight w:val="0"/>
              <w:marTop w:val="0"/>
              <w:marBottom w:val="0"/>
              <w:divBdr>
                <w:top w:val="none" w:sz="0" w:space="0" w:color="auto"/>
                <w:left w:val="none" w:sz="0" w:space="0" w:color="auto"/>
                <w:bottom w:val="none" w:sz="0" w:space="0" w:color="auto"/>
                <w:right w:val="none" w:sz="0" w:space="0" w:color="auto"/>
              </w:divBdr>
              <w:divsChild>
                <w:div w:id="324433828">
                  <w:marLeft w:val="255"/>
                  <w:marRight w:val="0"/>
                  <w:marTop w:val="0"/>
                  <w:marBottom w:val="0"/>
                  <w:divBdr>
                    <w:top w:val="none" w:sz="0" w:space="0" w:color="auto"/>
                    <w:left w:val="none" w:sz="0" w:space="0" w:color="auto"/>
                    <w:bottom w:val="none" w:sz="0" w:space="0" w:color="auto"/>
                    <w:right w:val="none" w:sz="0" w:space="0" w:color="auto"/>
                  </w:divBdr>
                </w:div>
              </w:divsChild>
            </w:div>
            <w:div w:id="1956061301">
              <w:marLeft w:val="0"/>
              <w:marRight w:val="0"/>
              <w:marTop w:val="0"/>
              <w:marBottom w:val="0"/>
              <w:divBdr>
                <w:top w:val="none" w:sz="0" w:space="0" w:color="auto"/>
                <w:left w:val="none" w:sz="0" w:space="0" w:color="auto"/>
                <w:bottom w:val="none" w:sz="0" w:space="0" w:color="auto"/>
                <w:right w:val="none" w:sz="0" w:space="0" w:color="auto"/>
              </w:divBdr>
              <w:divsChild>
                <w:div w:id="1596015400">
                  <w:marLeft w:val="255"/>
                  <w:marRight w:val="0"/>
                  <w:marTop w:val="0"/>
                  <w:marBottom w:val="0"/>
                  <w:divBdr>
                    <w:top w:val="none" w:sz="0" w:space="0" w:color="auto"/>
                    <w:left w:val="none" w:sz="0" w:space="0" w:color="auto"/>
                    <w:bottom w:val="none" w:sz="0" w:space="0" w:color="auto"/>
                    <w:right w:val="none" w:sz="0" w:space="0" w:color="auto"/>
                  </w:divBdr>
                </w:div>
              </w:divsChild>
            </w:div>
            <w:div w:id="41710689">
              <w:marLeft w:val="0"/>
              <w:marRight w:val="0"/>
              <w:marTop w:val="0"/>
              <w:marBottom w:val="0"/>
              <w:divBdr>
                <w:top w:val="none" w:sz="0" w:space="0" w:color="auto"/>
                <w:left w:val="none" w:sz="0" w:space="0" w:color="auto"/>
                <w:bottom w:val="none" w:sz="0" w:space="0" w:color="auto"/>
                <w:right w:val="none" w:sz="0" w:space="0" w:color="auto"/>
              </w:divBdr>
              <w:divsChild>
                <w:div w:id="8679096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31557570">
          <w:marLeft w:val="0"/>
          <w:marRight w:val="0"/>
          <w:marTop w:val="0"/>
          <w:marBottom w:val="0"/>
          <w:divBdr>
            <w:top w:val="none" w:sz="0" w:space="0" w:color="auto"/>
            <w:left w:val="none" w:sz="0" w:space="0" w:color="auto"/>
            <w:bottom w:val="none" w:sz="0" w:space="0" w:color="auto"/>
            <w:right w:val="none" w:sz="0" w:space="0" w:color="auto"/>
          </w:divBdr>
          <w:divsChild>
            <w:div w:id="1656912579">
              <w:marLeft w:val="0"/>
              <w:marRight w:val="0"/>
              <w:marTop w:val="105"/>
              <w:marBottom w:val="0"/>
              <w:divBdr>
                <w:top w:val="none" w:sz="0" w:space="0" w:color="auto"/>
                <w:left w:val="none" w:sz="0" w:space="0" w:color="auto"/>
                <w:bottom w:val="none" w:sz="0" w:space="0" w:color="auto"/>
                <w:right w:val="none" w:sz="0" w:space="0" w:color="auto"/>
              </w:divBdr>
            </w:div>
          </w:divsChild>
        </w:div>
        <w:div w:id="406999151">
          <w:marLeft w:val="0"/>
          <w:marRight w:val="0"/>
          <w:marTop w:val="0"/>
          <w:marBottom w:val="0"/>
          <w:divBdr>
            <w:top w:val="none" w:sz="0" w:space="0" w:color="auto"/>
            <w:left w:val="none" w:sz="0" w:space="0" w:color="auto"/>
            <w:bottom w:val="none" w:sz="0" w:space="0" w:color="auto"/>
            <w:right w:val="none" w:sz="0" w:space="0" w:color="auto"/>
          </w:divBdr>
          <w:divsChild>
            <w:div w:id="1088845332">
              <w:marLeft w:val="0"/>
              <w:marRight w:val="0"/>
              <w:marTop w:val="105"/>
              <w:marBottom w:val="0"/>
              <w:divBdr>
                <w:top w:val="none" w:sz="0" w:space="0" w:color="auto"/>
                <w:left w:val="none" w:sz="0" w:space="0" w:color="auto"/>
                <w:bottom w:val="none" w:sz="0" w:space="0" w:color="auto"/>
                <w:right w:val="none" w:sz="0" w:space="0" w:color="auto"/>
              </w:divBdr>
            </w:div>
          </w:divsChild>
        </w:div>
        <w:div w:id="426078300">
          <w:marLeft w:val="0"/>
          <w:marRight w:val="0"/>
          <w:marTop w:val="0"/>
          <w:marBottom w:val="0"/>
          <w:divBdr>
            <w:top w:val="none" w:sz="0" w:space="0" w:color="auto"/>
            <w:left w:val="none" w:sz="0" w:space="0" w:color="auto"/>
            <w:bottom w:val="none" w:sz="0" w:space="0" w:color="auto"/>
            <w:right w:val="none" w:sz="0" w:space="0" w:color="auto"/>
          </w:divBdr>
          <w:divsChild>
            <w:div w:id="1221595865">
              <w:marLeft w:val="0"/>
              <w:marRight w:val="0"/>
              <w:marTop w:val="105"/>
              <w:marBottom w:val="0"/>
              <w:divBdr>
                <w:top w:val="none" w:sz="0" w:space="0" w:color="auto"/>
                <w:left w:val="none" w:sz="0" w:space="0" w:color="auto"/>
                <w:bottom w:val="none" w:sz="0" w:space="0" w:color="auto"/>
                <w:right w:val="none" w:sz="0" w:space="0" w:color="auto"/>
              </w:divBdr>
            </w:div>
          </w:divsChild>
        </w:div>
        <w:div w:id="2053114550">
          <w:marLeft w:val="0"/>
          <w:marRight w:val="0"/>
          <w:marTop w:val="0"/>
          <w:marBottom w:val="0"/>
          <w:divBdr>
            <w:top w:val="none" w:sz="0" w:space="0" w:color="auto"/>
            <w:left w:val="none" w:sz="0" w:space="0" w:color="auto"/>
            <w:bottom w:val="none" w:sz="0" w:space="0" w:color="auto"/>
            <w:right w:val="none" w:sz="0" w:space="0" w:color="auto"/>
          </w:divBdr>
          <w:divsChild>
            <w:div w:id="395975742">
              <w:marLeft w:val="0"/>
              <w:marRight w:val="0"/>
              <w:marTop w:val="105"/>
              <w:marBottom w:val="0"/>
              <w:divBdr>
                <w:top w:val="none" w:sz="0" w:space="0" w:color="auto"/>
                <w:left w:val="none" w:sz="0" w:space="0" w:color="auto"/>
                <w:bottom w:val="none" w:sz="0" w:space="0" w:color="auto"/>
                <w:right w:val="none" w:sz="0" w:space="0" w:color="auto"/>
              </w:divBdr>
            </w:div>
          </w:divsChild>
        </w:div>
        <w:div w:id="1123034390">
          <w:marLeft w:val="0"/>
          <w:marRight w:val="0"/>
          <w:marTop w:val="0"/>
          <w:marBottom w:val="0"/>
          <w:divBdr>
            <w:top w:val="none" w:sz="0" w:space="0" w:color="auto"/>
            <w:left w:val="none" w:sz="0" w:space="0" w:color="auto"/>
            <w:bottom w:val="none" w:sz="0" w:space="0" w:color="auto"/>
            <w:right w:val="none" w:sz="0" w:space="0" w:color="auto"/>
          </w:divBdr>
          <w:divsChild>
            <w:div w:id="1736777395">
              <w:marLeft w:val="0"/>
              <w:marRight w:val="0"/>
              <w:marTop w:val="105"/>
              <w:marBottom w:val="0"/>
              <w:divBdr>
                <w:top w:val="none" w:sz="0" w:space="0" w:color="auto"/>
                <w:left w:val="none" w:sz="0" w:space="0" w:color="auto"/>
                <w:bottom w:val="none" w:sz="0" w:space="0" w:color="auto"/>
                <w:right w:val="none" w:sz="0" w:space="0" w:color="auto"/>
              </w:divBdr>
            </w:div>
          </w:divsChild>
        </w:div>
        <w:div w:id="1872303333">
          <w:marLeft w:val="0"/>
          <w:marRight w:val="0"/>
          <w:marTop w:val="0"/>
          <w:marBottom w:val="0"/>
          <w:divBdr>
            <w:top w:val="none" w:sz="0" w:space="0" w:color="auto"/>
            <w:left w:val="none" w:sz="0" w:space="0" w:color="auto"/>
            <w:bottom w:val="none" w:sz="0" w:space="0" w:color="auto"/>
            <w:right w:val="none" w:sz="0" w:space="0" w:color="auto"/>
          </w:divBdr>
          <w:divsChild>
            <w:div w:id="15815953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9657273">
      <w:bodyDiv w:val="1"/>
      <w:marLeft w:val="0"/>
      <w:marRight w:val="0"/>
      <w:marTop w:val="0"/>
      <w:marBottom w:val="0"/>
      <w:divBdr>
        <w:top w:val="none" w:sz="0" w:space="0" w:color="auto"/>
        <w:left w:val="none" w:sz="0" w:space="0" w:color="auto"/>
        <w:bottom w:val="none" w:sz="0" w:space="0" w:color="auto"/>
        <w:right w:val="none" w:sz="0" w:space="0" w:color="auto"/>
      </w:divBdr>
      <w:divsChild>
        <w:div w:id="469329049">
          <w:marLeft w:val="0"/>
          <w:marRight w:val="0"/>
          <w:marTop w:val="0"/>
          <w:marBottom w:val="0"/>
          <w:divBdr>
            <w:top w:val="none" w:sz="0" w:space="0" w:color="auto"/>
            <w:left w:val="none" w:sz="0" w:space="0" w:color="auto"/>
            <w:bottom w:val="none" w:sz="0" w:space="0" w:color="auto"/>
            <w:right w:val="none" w:sz="0" w:space="0" w:color="auto"/>
          </w:divBdr>
          <w:divsChild>
            <w:div w:id="2042658455">
              <w:marLeft w:val="0"/>
              <w:marRight w:val="0"/>
              <w:marTop w:val="105"/>
              <w:marBottom w:val="0"/>
              <w:divBdr>
                <w:top w:val="none" w:sz="0" w:space="0" w:color="auto"/>
                <w:left w:val="none" w:sz="0" w:space="0" w:color="auto"/>
                <w:bottom w:val="none" w:sz="0" w:space="0" w:color="auto"/>
                <w:right w:val="none" w:sz="0" w:space="0" w:color="auto"/>
              </w:divBdr>
            </w:div>
          </w:divsChild>
        </w:div>
        <w:div w:id="816263254">
          <w:marLeft w:val="0"/>
          <w:marRight w:val="0"/>
          <w:marTop w:val="0"/>
          <w:marBottom w:val="0"/>
          <w:divBdr>
            <w:top w:val="none" w:sz="0" w:space="0" w:color="auto"/>
            <w:left w:val="none" w:sz="0" w:space="0" w:color="auto"/>
            <w:bottom w:val="none" w:sz="0" w:space="0" w:color="auto"/>
            <w:right w:val="none" w:sz="0" w:space="0" w:color="auto"/>
          </w:divBdr>
          <w:divsChild>
            <w:div w:id="1652367464">
              <w:marLeft w:val="0"/>
              <w:marRight w:val="0"/>
              <w:marTop w:val="105"/>
              <w:marBottom w:val="0"/>
              <w:divBdr>
                <w:top w:val="none" w:sz="0" w:space="0" w:color="auto"/>
                <w:left w:val="none" w:sz="0" w:space="0" w:color="auto"/>
                <w:bottom w:val="none" w:sz="0" w:space="0" w:color="auto"/>
                <w:right w:val="none" w:sz="0" w:space="0" w:color="auto"/>
              </w:divBdr>
            </w:div>
            <w:div w:id="270863151">
              <w:marLeft w:val="0"/>
              <w:marRight w:val="0"/>
              <w:marTop w:val="0"/>
              <w:marBottom w:val="0"/>
              <w:divBdr>
                <w:top w:val="none" w:sz="0" w:space="0" w:color="auto"/>
                <w:left w:val="none" w:sz="0" w:space="0" w:color="auto"/>
                <w:bottom w:val="none" w:sz="0" w:space="0" w:color="auto"/>
                <w:right w:val="none" w:sz="0" w:space="0" w:color="auto"/>
              </w:divBdr>
              <w:divsChild>
                <w:div w:id="914514321">
                  <w:marLeft w:val="255"/>
                  <w:marRight w:val="0"/>
                  <w:marTop w:val="0"/>
                  <w:marBottom w:val="0"/>
                  <w:divBdr>
                    <w:top w:val="none" w:sz="0" w:space="0" w:color="auto"/>
                    <w:left w:val="none" w:sz="0" w:space="0" w:color="auto"/>
                    <w:bottom w:val="none" w:sz="0" w:space="0" w:color="auto"/>
                    <w:right w:val="none" w:sz="0" w:space="0" w:color="auto"/>
                  </w:divBdr>
                </w:div>
              </w:divsChild>
            </w:div>
            <w:div w:id="772746230">
              <w:marLeft w:val="0"/>
              <w:marRight w:val="0"/>
              <w:marTop w:val="0"/>
              <w:marBottom w:val="0"/>
              <w:divBdr>
                <w:top w:val="none" w:sz="0" w:space="0" w:color="auto"/>
                <w:left w:val="none" w:sz="0" w:space="0" w:color="auto"/>
                <w:bottom w:val="none" w:sz="0" w:space="0" w:color="auto"/>
                <w:right w:val="none" w:sz="0" w:space="0" w:color="auto"/>
              </w:divBdr>
              <w:divsChild>
                <w:div w:id="101532174">
                  <w:marLeft w:val="255"/>
                  <w:marRight w:val="0"/>
                  <w:marTop w:val="0"/>
                  <w:marBottom w:val="0"/>
                  <w:divBdr>
                    <w:top w:val="none" w:sz="0" w:space="0" w:color="auto"/>
                    <w:left w:val="none" w:sz="0" w:space="0" w:color="auto"/>
                    <w:bottom w:val="none" w:sz="0" w:space="0" w:color="auto"/>
                    <w:right w:val="none" w:sz="0" w:space="0" w:color="auto"/>
                  </w:divBdr>
                </w:div>
              </w:divsChild>
            </w:div>
            <w:div w:id="1700005719">
              <w:marLeft w:val="0"/>
              <w:marRight w:val="0"/>
              <w:marTop w:val="0"/>
              <w:marBottom w:val="0"/>
              <w:divBdr>
                <w:top w:val="none" w:sz="0" w:space="0" w:color="auto"/>
                <w:left w:val="none" w:sz="0" w:space="0" w:color="auto"/>
                <w:bottom w:val="none" w:sz="0" w:space="0" w:color="auto"/>
                <w:right w:val="none" w:sz="0" w:space="0" w:color="auto"/>
              </w:divBdr>
              <w:divsChild>
                <w:div w:id="4071965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15425500">
          <w:marLeft w:val="0"/>
          <w:marRight w:val="0"/>
          <w:marTop w:val="0"/>
          <w:marBottom w:val="0"/>
          <w:divBdr>
            <w:top w:val="none" w:sz="0" w:space="0" w:color="auto"/>
            <w:left w:val="none" w:sz="0" w:space="0" w:color="auto"/>
            <w:bottom w:val="none" w:sz="0" w:space="0" w:color="auto"/>
            <w:right w:val="none" w:sz="0" w:space="0" w:color="auto"/>
          </w:divBdr>
          <w:divsChild>
            <w:div w:id="15167313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5176366">
      <w:bodyDiv w:val="1"/>
      <w:marLeft w:val="0"/>
      <w:marRight w:val="0"/>
      <w:marTop w:val="0"/>
      <w:marBottom w:val="0"/>
      <w:divBdr>
        <w:top w:val="none" w:sz="0" w:space="0" w:color="auto"/>
        <w:left w:val="none" w:sz="0" w:space="0" w:color="auto"/>
        <w:bottom w:val="none" w:sz="0" w:space="0" w:color="auto"/>
        <w:right w:val="none" w:sz="0" w:space="0" w:color="auto"/>
      </w:divBdr>
      <w:divsChild>
        <w:div w:id="1890921875">
          <w:marLeft w:val="0"/>
          <w:marRight w:val="0"/>
          <w:marTop w:val="0"/>
          <w:marBottom w:val="0"/>
          <w:divBdr>
            <w:top w:val="none" w:sz="0" w:space="0" w:color="auto"/>
            <w:left w:val="none" w:sz="0" w:space="0" w:color="auto"/>
            <w:bottom w:val="none" w:sz="0" w:space="0" w:color="auto"/>
            <w:right w:val="none" w:sz="0" w:space="0" w:color="auto"/>
          </w:divBdr>
          <w:divsChild>
            <w:div w:id="103691397">
              <w:marLeft w:val="0"/>
              <w:marRight w:val="0"/>
              <w:marTop w:val="105"/>
              <w:marBottom w:val="0"/>
              <w:divBdr>
                <w:top w:val="none" w:sz="0" w:space="0" w:color="auto"/>
                <w:left w:val="none" w:sz="0" w:space="0" w:color="auto"/>
                <w:bottom w:val="none" w:sz="0" w:space="0" w:color="auto"/>
                <w:right w:val="none" w:sz="0" w:space="0" w:color="auto"/>
              </w:divBdr>
            </w:div>
          </w:divsChild>
        </w:div>
        <w:div w:id="1886287825">
          <w:marLeft w:val="0"/>
          <w:marRight w:val="0"/>
          <w:marTop w:val="0"/>
          <w:marBottom w:val="0"/>
          <w:divBdr>
            <w:top w:val="none" w:sz="0" w:space="0" w:color="auto"/>
            <w:left w:val="none" w:sz="0" w:space="0" w:color="auto"/>
            <w:bottom w:val="none" w:sz="0" w:space="0" w:color="auto"/>
            <w:right w:val="none" w:sz="0" w:space="0" w:color="auto"/>
          </w:divBdr>
          <w:divsChild>
            <w:div w:id="1915315983">
              <w:marLeft w:val="0"/>
              <w:marRight w:val="0"/>
              <w:marTop w:val="105"/>
              <w:marBottom w:val="0"/>
              <w:divBdr>
                <w:top w:val="none" w:sz="0" w:space="0" w:color="auto"/>
                <w:left w:val="none" w:sz="0" w:space="0" w:color="auto"/>
                <w:bottom w:val="none" w:sz="0" w:space="0" w:color="auto"/>
                <w:right w:val="none" w:sz="0" w:space="0" w:color="auto"/>
              </w:divBdr>
            </w:div>
            <w:div w:id="1416585261">
              <w:marLeft w:val="0"/>
              <w:marRight w:val="0"/>
              <w:marTop w:val="0"/>
              <w:marBottom w:val="0"/>
              <w:divBdr>
                <w:top w:val="none" w:sz="0" w:space="0" w:color="auto"/>
                <w:left w:val="none" w:sz="0" w:space="0" w:color="auto"/>
                <w:bottom w:val="none" w:sz="0" w:space="0" w:color="auto"/>
                <w:right w:val="none" w:sz="0" w:space="0" w:color="auto"/>
              </w:divBdr>
              <w:divsChild>
                <w:div w:id="1491680689">
                  <w:marLeft w:val="255"/>
                  <w:marRight w:val="0"/>
                  <w:marTop w:val="0"/>
                  <w:marBottom w:val="0"/>
                  <w:divBdr>
                    <w:top w:val="none" w:sz="0" w:space="0" w:color="auto"/>
                    <w:left w:val="none" w:sz="0" w:space="0" w:color="auto"/>
                    <w:bottom w:val="none" w:sz="0" w:space="0" w:color="auto"/>
                    <w:right w:val="none" w:sz="0" w:space="0" w:color="auto"/>
                  </w:divBdr>
                </w:div>
              </w:divsChild>
            </w:div>
            <w:div w:id="1053233978">
              <w:marLeft w:val="0"/>
              <w:marRight w:val="0"/>
              <w:marTop w:val="0"/>
              <w:marBottom w:val="0"/>
              <w:divBdr>
                <w:top w:val="none" w:sz="0" w:space="0" w:color="auto"/>
                <w:left w:val="none" w:sz="0" w:space="0" w:color="auto"/>
                <w:bottom w:val="none" w:sz="0" w:space="0" w:color="auto"/>
                <w:right w:val="none" w:sz="0" w:space="0" w:color="auto"/>
              </w:divBdr>
              <w:divsChild>
                <w:div w:id="1080834117">
                  <w:marLeft w:val="255"/>
                  <w:marRight w:val="0"/>
                  <w:marTop w:val="0"/>
                  <w:marBottom w:val="0"/>
                  <w:divBdr>
                    <w:top w:val="none" w:sz="0" w:space="0" w:color="auto"/>
                    <w:left w:val="none" w:sz="0" w:space="0" w:color="auto"/>
                    <w:bottom w:val="none" w:sz="0" w:space="0" w:color="auto"/>
                    <w:right w:val="none" w:sz="0" w:space="0" w:color="auto"/>
                  </w:divBdr>
                </w:div>
              </w:divsChild>
            </w:div>
            <w:div w:id="989214510">
              <w:marLeft w:val="0"/>
              <w:marRight w:val="0"/>
              <w:marTop w:val="0"/>
              <w:marBottom w:val="0"/>
              <w:divBdr>
                <w:top w:val="none" w:sz="0" w:space="0" w:color="auto"/>
                <w:left w:val="none" w:sz="0" w:space="0" w:color="auto"/>
                <w:bottom w:val="none" w:sz="0" w:space="0" w:color="auto"/>
                <w:right w:val="none" w:sz="0" w:space="0" w:color="auto"/>
              </w:divBdr>
              <w:divsChild>
                <w:div w:id="8530347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1749782">
          <w:marLeft w:val="0"/>
          <w:marRight w:val="0"/>
          <w:marTop w:val="0"/>
          <w:marBottom w:val="0"/>
          <w:divBdr>
            <w:top w:val="none" w:sz="0" w:space="0" w:color="auto"/>
            <w:left w:val="none" w:sz="0" w:space="0" w:color="auto"/>
            <w:bottom w:val="none" w:sz="0" w:space="0" w:color="auto"/>
            <w:right w:val="none" w:sz="0" w:space="0" w:color="auto"/>
          </w:divBdr>
          <w:divsChild>
            <w:div w:id="783113872">
              <w:marLeft w:val="0"/>
              <w:marRight w:val="0"/>
              <w:marTop w:val="105"/>
              <w:marBottom w:val="0"/>
              <w:divBdr>
                <w:top w:val="none" w:sz="0" w:space="0" w:color="auto"/>
                <w:left w:val="none" w:sz="0" w:space="0" w:color="auto"/>
                <w:bottom w:val="none" w:sz="0" w:space="0" w:color="auto"/>
                <w:right w:val="none" w:sz="0" w:space="0" w:color="auto"/>
              </w:divBdr>
            </w:div>
          </w:divsChild>
        </w:div>
        <w:div w:id="369649236">
          <w:marLeft w:val="0"/>
          <w:marRight w:val="0"/>
          <w:marTop w:val="0"/>
          <w:marBottom w:val="0"/>
          <w:divBdr>
            <w:top w:val="none" w:sz="0" w:space="0" w:color="auto"/>
            <w:left w:val="none" w:sz="0" w:space="0" w:color="auto"/>
            <w:bottom w:val="none" w:sz="0" w:space="0" w:color="auto"/>
            <w:right w:val="none" w:sz="0" w:space="0" w:color="auto"/>
          </w:divBdr>
          <w:divsChild>
            <w:div w:id="2141726037">
              <w:marLeft w:val="0"/>
              <w:marRight w:val="0"/>
              <w:marTop w:val="105"/>
              <w:marBottom w:val="0"/>
              <w:divBdr>
                <w:top w:val="none" w:sz="0" w:space="0" w:color="auto"/>
                <w:left w:val="none" w:sz="0" w:space="0" w:color="auto"/>
                <w:bottom w:val="none" w:sz="0" w:space="0" w:color="auto"/>
                <w:right w:val="none" w:sz="0" w:space="0" w:color="auto"/>
              </w:divBdr>
            </w:div>
            <w:div w:id="1296453264">
              <w:marLeft w:val="0"/>
              <w:marRight w:val="0"/>
              <w:marTop w:val="0"/>
              <w:marBottom w:val="0"/>
              <w:divBdr>
                <w:top w:val="none" w:sz="0" w:space="0" w:color="auto"/>
                <w:left w:val="none" w:sz="0" w:space="0" w:color="auto"/>
                <w:bottom w:val="none" w:sz="0" w:space="0" w:color="auto"/>
                <w:right w:val="none" w:sz="0" w:space="0" w:color="auto"/>
              </w:divBdr>
              <w:divsChild>
                <w:div w:id="833642404">
                  <w:marLeft w:val="255"/>
                  <w:marRight w:val="0"/>
                  <w:marTop w:val="0"/>
                  <w:marBottom w:val="0"/>
                  <w:divBdr>
                    <w:top w:val="none" w:sz="0" w:space="0" w:color="auto"/>
                    <w:left w:val="none" w:sz="0" w:space="0" w:color="auto"/>
                    <w:bottom w:val="none" w:sz="0" w:space="0" w:color="auto"/>
                    <w:right w:val="none" w:sz="0" w:space="0" w:color="auto"/>
                  </w:divBdr>
                </w:div>
              </w:divsChild>
            </w:div>
            <w:div w:id="1855801327">
              <w:marLeft w:val="0"/>
              <w:marRight w:val="0"/>
              <w:marTop w:val="0"/>
              <w:marBottom w:val="0"/>
              <w:divBdr>
                <w:top w:val="none" w:sz="0" w:space="0" w:color="auto"/>
                <w:left w:val="none" w:sz="0" w:space="0" w:color="auto"/>
                <w:bottom w:val="none" w:sz="0" w:space="0" w:color="auto"/>
                <w:right w:val="none" w:sz="0" w:space="0" w:color="auto"/>
              </w:divBdr>
              <w:divsChild>
                <w:div w:id="248198831">
                  <w:marLeft w:val="255"/>
                  <w:marRight w:val="0"/>
                  <w:marTop w:val="0"/>
                  <w:marBottom w:val="0"/>
                  <w:divBdr>
                    <w:top w:val="none" w:sz="0" w:space="0" w:color="auto"/>
                    <w:left w:val="none" w:sz="0" w:space="0" w:color="auto"/>
                    <w:bottom w:val="none" w:sz="0" w:space="0" w:color="auto"/>
                    <w:right w:val="none" w:sz="0" w:space="0" w:color="auto"/>
                  </w:divBdr>
                </w:div>
              </w:divsChild>
            </w:div>
            <w:div w:id="599875846">
              <w:marLeft w:val="0"/>
              <w:marRight w:val="0"/>
              <w:marTop w:val="0"/>
              <w:marBottom w:val="0"/>
              <w:divBdr>
                <w:top w:val="none" w:sz="0" w:space="0" w:color="auto"/>
                <w:left w:val="none" w:sz="0" w:space="0" w:color="auto"/>
                <w:bottom w:val="none" w:sz="0" w:space="0" w:color="auto"/>
                <w:right w:val="none" w:sz="0" w:space="0" w:color="auto"/>
              </w:divBdr>
              <w:divsChild>
                <w:div w:id="796678721">
                  <w:marLeft w:val="255"/>
                  <w:marRight w:val="0"/>
                  <w:marTop w:val="0"/>
                  <w:marBottom w:val="0"/>
                  <w:divBdr>
                    <w:top w:val="none" w:sz="0" w:space="0" w:color="auto"/>
                    <w:left w:val="none" w:sz="0" w:space="0" w:color="auto"/>
                    <w:bottom w:val="none" w:sz="0" w:space="0" w:color="auto"/>
                    <w:right w:val="none" w:sz="0" w:space="0" w:color="auto"/>
                  </w:divBdr>
                </w:div>
              </w:divsChild>
            </w:div>
            <w:div w:id="1279414243">
              <w:marLeft w:val="0"/>
              <w:marRight w:val="0"/>
              <w:marTop w:val="0"/>
              <w:marBottom w:val="0"/>
              <w:divBdr>
                <w:top w:val="none" w:sz="0" w:space="0" w:color="auto"/>
                <w:left w:val="none" w:sz="0" w:space="0" w:color="auto"/>
                <w:bottom w:val="none" w:sz="0" w:space="0" w:color="auto"/>
                <w:right w:val="none" w:sz="0" w:space="0" w:color="auto"/>
              </w:divBdr>
              <w:divsChild>
                <w:div w:id="1189835482">
                  <w:marLeft w:val="255"/>
                  <w:marRight w:val="0"/>
                  <w:marTop w:val="0"/>
                  <w:marBottom w:val="0"/>
                  <w:divBdr>
                    <w:top w:val="none" w:sz="0" w:space="0" w:color="auto"/>
                    <w:left w:val="none" w:sz="0" w:space="0" w:color="auto"/>
                    <w:bottom w:val="none" w:sz="0" w:space="0" w:color="auto"/>
                    <w:right w:val="none" w:sz="0" w:space="0" w:color="auto"/>
                  </w:divBdr>
                </w:div>
              </w:divsChild>
            </w:div>
            <w:div w:id="1399549054">
              <w:marLeft w:val="0"/>
              <w:marRight w:val="0"/>
              <w:marTop w:val="0"/>
              <w:marBottom w:val="0"/>
              <w:divBdr>
                <w:top w:val="none" w:sz="0" w:space="0" w:color="auto"/>
                <w:left w:val="none" w:sz="0" w:space="0" w:color="auto"/>
                <w:bottom w:val="none" w:sz="0" w:space="0" w:color="auto"/>
                <w:right w:val="none" w:sz="0" w:space="0" w:color="auto"/>
              </w:divBdr>
              <w:divsChild>
                <w:div w:id="1302343999">
                  <w:marLeft w:val="255"/>
                  <w:marRight w:val="0"/>
                  <w:marTop w:val="0"/>
                  <w:marBottom w:val="0"/>
                  <w:divBdr>
                    <w:top w:val="none" w:sz="0" w:space="0" w:color="auto"/>
                    <w:left w:val="none" w:sz="0" w:space="0" w:color="auto"/>
                    <w:bottom w:val="none" w:sz="0" w:space="0" w:color="auto"/>
                    <w:right w:val="none" w:sz="0" w:space="0" w:color="auto"/>
                  </w:divBdr>
                </w:div>
              </w:divsChild>
            </w:div>
            <w:div w:id="898518125">
              <w:marLeft w:val="0"/>
              <w:marRight w:val="0"/>
              <w:marTop w:val="0"/>
              <w:marBottom w:val="0"/>
              <w:divBdr>
                <w:top w:val="none" w:sz="0" w:space="0" w:color="auto"/>
                <w:left w:val="none" w:sz="0" w:space="0" w:color="auto"/>
                <w:bottom w:val="none" w:sz="0" w:space="0" w:color="auto"/>
                <w:right w:val="none" w:sz="0" w:space="0" w:color="auto"/>
              </w:divBdr>
              <w:divsChild>
                <w:div w:id="13129489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52152734">
          <w:marLeft w:val="0"/>
          <w:marRight w:val="0"/>
          <w:marTop w:val="0"/>
          <w:marBottom w:val="0"/>
          <w:divBdr>
            <w:top w:val="none" w:sz="0" w:space="0" w:color="auto"/>
            <w:left w:val="none" w:sz="0" w:space="0" w:color="auto"/>
            <w:bottom w:val="none" w:sz="0" w:space="0" w:color="auto"/>
            <w:right w:val="none" w:sz="0" w:space="0" w:color="auto"/>
          </w:divBdr>
          <w:divsChild>
            <w:div w:id="11215379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9222758">
      <w:bodyDiv w:val="1"/>
      <w:marLeft w:val="0"/>
      <w:marRight w:val="0"/>
      <w:marTop w:val="0"/>
      <w:marBottom w:val="0"/>
      <w:divBdr>
        <w:top w:val="none" w:sz="0" w:space="0" w:color="auto"/>
        <w:left w:val="none" w:sz="0" w:space="0" w:color="auto"/>
        <w:bottom w:val="none" w:sz="0" w:space="0" w:color="auto"/>
        <w:right w:val="none" w:sz="0" w:space="0" w:color="auto"/>
      </w:divBdr>
    </w:div>
    <w:div w:id="514878851">
      <w:bodyDiv w:val="1"/>
      <w:marLeft w:val="0"/>
      <w:marRight w:val="0"/>
      <w:marTop w:val="0"/>
      <w:marBottom w:val="0"/>
      <w:divBdr>
        <w:top w:val="none" w:sz="0" w:space="0" w:color="auto"/>
        <w:left w:val="none" w:sz="0" w:space="0" w:color="auto"/>
        <w:bottom w:val="none" w:sz="0" w:space="0" w:color="auto"/>
        <w:right w:val="none" w:sz="0" w:space="0" w:color="auto"/>
      </w:divBdr>
      <w:divsChild>
        <w:div w:id="835922802">
          <w:marLeft w:val="0"/>
          <w:marRight w:val="0"/>
          <w:marTop w:val="0"/>
          <w:marBottom w:val="0"/>
          <w:divBdr>
            <w:top w:val="none" w:sz="0" w:space="0" w:color="auto"/>
            <w:left w:val="none" w:sz="0" w:space="0" w:color="auto"/>
            <w:bottom w:val="none" w:sz="0" w:space="0" w:color="auto"/>
            <w:right w:val="none" w:sz="0" w:space="0" w:color="auto"/>
          </w:divBdr>
          <w:divsChild>
            <w:div w:id="1980762527">
              <w:marLeft w:val="0"/>
              <w:marRight w:val="0"/>
              <w:marTop w:val="105"/>
              <w:marBottom w:val="0"/>
              <w:divBdr>
                <w:top w:val="none" w:sz="0" w:space="0" w:color="auto"/>
                <w:left w:val="none" w:sz="0" w:space="0" w:color="auto"/>
                <w:bottom w:val="none" w:sz="0" w:space="0" w:color="auto"/>
                <w:right w:val="none" w:sz="0" w:space="0" w:color="auto"/>
              </w:divBdr>
            </w:div>
          </w:divsChild>
        </w:div>
        <w:div w:id="1056591998">
          <w:marLeft w:val="0"/>
          <w:marRight w:val="0"/>
          <w:marTop w:val="0"/>
          <w:marBottom w:val="0"/>
          <w:divBdr>
            <w:top w:val="none" w:sz="0" w:space="0" w:color="auto"/>
            <w:left w:val="none" w:sz="0" w:space="0" w:color="auto"/>
            <w:bottom w:val="none" w:sz="0" w:space="0" w:color="auto"/>
            <w:right w:val="none" w:sz="0" w:space="0" w:color="auto"/>
          </w:divBdr>
          <w:divsChild>
            <w:div w:id="1327631956">
              <w:marLeft w:val="0"/>
              <w:marRight w:val="0"/>
              <w:marTop w:val="105"/>
              <w:marBottom w:val="0"/>
              <w:divBdr>
                <w:top w:val="none" w:sz="0" w:space="0" w:color="auto"/>
                <w:left w:val="none" w:sz="0" w:space="0" w:color="auto"/>
                <w:bottom w:val="none" w:sz="0" w:space="0" w:color="auto"/>
                <w:right w:val="none" w:sz="0" w:space="0" w:color="auto"/>
              </w:divBdr>
            </w:div>
          </w:divsChild>
        </w:div>
        <w:div w:id="130251462">
          <w:marLeft w:val="0"/>
          <w:marRight w:val="0"/>
          <w:marTop w:val="0"/>
          <w:marBottom w:val="0"/>
          <w:divBdr>
            <w:top w:val="none" w:sz="0" w:space="0" w:color="auto"/>
            <w:left w:val="none" w:sz="0" w:space="0" w:color="auto"/>
            <w:bottom w:val="none" w:sz="0" w:space="0" w:color="auto"/>
            <w:right w:val="none" w:sz="0" w:space="0" w:color="auto"/>
          </w:divBdr>
          <w:divsChild>
            <w:div w:id="5556301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1330055">
      <w:bodyDiv w:val="1"/>
      <w:marLeft w:val="0"/>
      <w:marRight w:val="0"/>
      <w:marTop w:val="0"/>
      <w:marBottom w:val="0"/>
      <w:divBdr>
        <w:top w:val="none" w:sz="0" w:space="0" w:color="auto"/>
        <w:left w:val="none" w:sz="0" w:space="0" w:color="auto"/>
        <w:bottom w:val="none" w:sz="0" w:space="0" w:color="auto"/>
        <w:right w:val="none" w:sz="0" w:space="0" w:color="auto"/>
      </w:divBdr>
      <w:divsChild>
        <w:div w:id="2098402485">
          <w:marLeft w:val="0"/>
          <w:marRight w:val="0"/>
          <w:marTop w:val="0"/>
          <w:marBottom w:val="0"/>
          <w:divBdr>
            <w:top w:val="none" w:sz="0" w:space="0" w:color="auto"/>
            <w:left w:val="none" w:sz="0" w:space="0" w:color="auto"/>
            <w:bottom w:val="none" w:sz="0" w:space="0" w:color="auto"/>
            <w:right w:val="none" w:sz="0" w:space="0" w:color="auto"/>
          </w:divBdr>
          <w:divsChild>
            <w:div w:id="1131554257">
              <w:marLeft w:val="0"/>
              <w:marRight w:val="0"/>
              <w:marTop w:val="105"/>
              <w:marBottom w:val="0"/>
              <w:divBdr>
                <w:top w:val="none" w:sz="0" w:space="0" w:color="auto"/>
                <w:left w:val="none" w:sz="0" w:space="0" w:color="auto"/>
                <w:bottom w:val="none" w:sz="0" w:space="0" w:color="auto"/>
                <w:right w:val="none" w:sz="0" w:space="0" w:color="auto"/>
              </w:divBdr>
            </w:div>
            <w:div w:id="1332220542">
              <w:marLeft w:val="0"/>
              <w:marRight w:val="0"/>
              <w:marTop w:val="0"/>
              <w:marBottom w:val="0"/>
              <w:divBdr>
                <w:top w:val="none" w:sz="0" w:space="0" w:color="auto"/>
                <w:left w:val="none" w:sz="0" w:space="0" w:color="auto"/>
                <w:bottom w:val="none" w:sz="0" w:space="0" w:color="auto"/>
                <w:right w:val="none" w:sz="0" w:space="0" w:color="auto"/>
              </w:divBdr>
              <w:divsChild>
                <w:div w:id="1418938885">
                  <w:marLeft w:val="255"/>
                  <w:marRight w:val="0"/>
                  <w:marTop w:val="0"/>
                  <w:marBottom w:val="0"/>
                  <w:divBdr>
                    <w:top w:val="none" w:sz="0" w:space="0" w:color="auto"/>
                    <w:left w:val="none" w:sz="0" w:space="0" w:color="auto"/>
                    <w:bottom w:val="none" w:sz="0" w:space="0" w:color="auto"/>
                    <w:right w:val="none" w:sz="0" w:space="0" w:color="auto"/>
                  </w:divBdr>
                </w:div>
              </w:divsChild>
            </w:div>
            <w:div w:id="327634275">
              <w:marLeft w:val="0"/>
              <w:marRight w:val="0"/>
              <w:marTop w:val="0"/>
              <w:marBottom w:val="0"/>
              <w:divBdr>
                <w:top w:val="none" w:sz="0" w:space="0" w:color="auto"/>
                <w:left w:val="none" w:sz="0" w:space="0" w:color="auto"/>
                <w:bottom w:val="none" w:sz="0" w:space="0" w:color="auto"/>
                <w:right w:val="none" w:sz="0" w:space="0" w:color="auto"/>
              </w:divBdr>
              <w:divsChild>
                <w:div w:id="2062288046">
                  <w:marLeft w:val="255"/>
                  <w:marRight w:val="0"/>
                  <w:marTop w:val="0"/>
                  <w:marBottom w:val="0"/>
                  <w:divBdr>
                    <w:top w:val="none" w:sz="0" w:space="0" w:color="auto"/>
                    <w:left w:val="none" w:sz="0" w:space="0" w:color="auto"/>
                    <w:bottom w:val="none" w:sz="0" w:space="0" w:color="auto"/>
                    <w:right w:val="none" w:sz="0" w:space="0" w:color="auto"/>
                  </w:divBdr>
                </w:div>
              </w:divsChild>
            </w:div>
            <w:div w:id="1641418900">
              <w:marLeft w:val="0"/>
              <w:marRight w:val="0"/>
              <w:marTop w:val="0"/>
              <w:marBottom w:val="0"/>
              <w:divBdr>
                <w:top w:val="none" w:sz="0" w:space="0" w:color="auto"/>
                <w:left w:val="none" w:sz="0" w:space="0" w:color="auto"/>
                <w:bottom w:val="none" w:sz="0" w:space="0" w:color="auto"/>
                <w:right w:val="none" w:sz="0" w:space="0" w:color="auto"/>
              </w:divBdr>
              <w:divsChild>
                <w:div w:id="1993636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4609853">
          <w:marLeft w:val="0"/>
          <w:marRight w:val="0"/>
          <w:marTop w:val="0"/>
          <w:marBottom w:val="0"/>
          <w:divBdr>
            <w:top w:val="none" w:sz="0" w:space="0" w:color="auto"/>
            <w:left w:val="none" w:sz="0" w:space="0" w:color="auto"/>
            <w:bottom w:val="none" w:sz="0" w:space="0" w:color="auto"/>
            <w:right w:val="none" w:sz="0" w:space="0" w:color="auto"/>
          </w:divBdr>
          <w:divsChild>
            <w:div w:id="1965310224">
              <w:marLeft w:val="0"/>
              <w:marRight w:val="0"/>
              <w:marTop w:val="105"/>
              <w:marBottom w:val="0"/>
              <w:divBdr>
                <w:top w:val="none" w:sz="0" w:space="0" w:color="auto"/>
                <w:left w:val="none" w:sz="0" w:space="0" w:color="auto"/>
                <w:bottom w:val="none" w:sz="0" w:space="0" w:color="auto"/>
                <w:right w:val="none" w:sz="0" w:space="0" w:color="auto"/>
              </w:divBdr>
            </w:div>
          </w:divsChild>
        </w:div>
        <w:div w:id="1946959516">
          <w:marLeft w:val="0"/>
          <w:marRight w:val="0"/>
          <w:marTop w:val="0"/>
          <w:marBottom w:val="0"/>
          <w:divBdr>
            <w:top w:val="none" w:sz="0" w:space="0" w:color="auto"/>
            <w:left w:val="none" w:sz="0" w:space="0" w:color="auto"/>
            <w:bottom w:val="none" w:sz="0" w:space="0" w:color="auto"/>
            <w:right w:val="none" w:sz="0" w:space="0" w:color="auto"/>
          </w:divBdr>
          <w:divsChild>
            <w:div w:id="214583591">
              <w:marLeft w:val="0"/>
              <w:marRight w:val="0"/>
              <w:marTop w:val="105"/>
              <w:marBottom w:val="0"/>
              <w:divBdr>
                <w:top w:val="none" w:sz="0" w:space="0" w:color="auto"/>
                <w:left w:val="none" w:sz="0" w:space="0" w:color="auto"/>
                <w:bottom w:val="none" w:sz="0" w:space="0" w:color="auto"/>
                <w:right w:val="none" w:sz="0" w:space="0" w:color="auto"/>
              </w:divBdr>
            </w:div>
          </w:divsChild>
        </w:div>
        <w:div w:id="105539646">
          <w:marLeft w:val="0"/>
          <w:marRight w:val="0"/>
          <w:marTop w:val="0"/>
          <w:marBottom w:val="0"/>
          <w:divBdr>
            <w:top w:val="none" w:sz="0" w:space="0" w:color="auto"/>
            <w:left w:val="none" w:sz="0" w:space="0" w:color="auto"/>
            <w:bottom w:val="none" w:sz="0" w:space="0" w:color="auto"/>
            <w:right w:val="none" w:sz="0" w:space="0" w:color="auto"/>
          </w:divBdr>
          <w:divsChild>
            <w:div w:id="139812711">
              <w:marLeft w:val="0"/>
              <w:marRight w:val="0"/>
              <w:marTop w:val="105"/>
              <w:marBottom w:val="0"/>
              <w:divBdr>
                <w:top w:val="none" w:sz="0" w:space="0" w:color="auto"/>
                <w:left w:val="none" w:sz="0" w:space="0" w:color="auto"/>
                <w:bottom w:val="none" w:sz="0" w:space="0" w:color="auto"/>
                <w:right w:val="none" w:sz="0" w:space="0" w:color="auto"/>
              </w:divBdr>
            </w:div>
          </w:divsChild>
        </w:div>
        <w:div w:id="1387872248">
          <w:marLeft w:val="0"/>
          <w:marRight w:val="0"/>
          <w:marTop w:val="0"/>
          <w:marBottom w:val="0"/>
          <w:divBdr>
            <w:top w:val="none" w:sz="0" w:space="0" w:color="auto"/>
            <w:left w:val="none" w:sz="0" w:space="0" w:color="auto"/>
            <w:bottom w:val="none" w:sz="0" w:space="0" w:color="auto"/>
            <w:right w:val="none" w:sz="0" w:space="0" w:color="auto"/>
          </w:divBdr>
          <w:divsChild>
            <w:div w:id="10016644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1862514">
      <w:bodyDiv w:val="1"/>
      <w:marLeft w:val="0"/>
      <w:marRight w:val="0"/>
      <w:marTop w:val="0"/>
      <w:marBottom w:val="0"/>
      <w:divBdr>
        <w:top w:val="none" w:sz="0" w:space="0" w:color="auto"/>
        <w:left w:val="none" w:sz="0" w:space="0" w:color="auto"/>
        <w:bottom w:val="none" w:sz="0" w:space="0" w:color="auto"/>
        <w:right w:val="none" w:sz="0" w:space="0" w:color="auto"/>
      </w:divBdr>
      <w:divsChild>
        <w:div w:id="449781964">
          <w:marLeft w:val="0"/>
          <w:marRight w:val="0"/>
          <w:marTop w:val="0"/>
          <w:marBottom w:val="0"/>
          <w:divBdr>
            <w:top w:val="none" w:sz="0" w:space="0" w:color="auto"/>
            <w:left w:val="none" w:sz="0" w:space="0" w:color="auto"/>
            <w:bottom w:val="none" w:sz="0" w:space="0" w:color="auto"/>
            <w:right w:val="none" w:sz="0" w:space="0" w:color="auto"/>
          </w:divBdr>
          <w:divsChild>
            <w:div w:id="1248660221">
              <w:marLeft w:val="0"/>
              <w:marRight w:val="0"/>
              <w:marTop w:val="105"/>
              <w:marBottom w:val="0"/>
              <w:divBdr>
                <w:top w:val="none" w:sz="0" w:space="0" w:color="auto"/>
                <w:left w:val="none" w:sz="0" w:space="0" w:color="auto"/>
                <w:bottom w:val="none" w:sz="0" w:space="0" w:color="auto"/>
                <w:right w:val="none" w:sz="0" w:space="0" w:color="auto"/>
              </w:divBdr>
            </w:div>
          </w:divsChild>
        </w:div>
        <w:div w:id="1037975580">
          <w:marLeft w:val="0"/>
          <w:marRight w:val="0"/>
          <w:marTop w:val="0"/>
          <w:marBottom w:val="0"/>
          <w:divBdr>
            <w:top w:val="none" w:sz="0" w:space="0" w:color="auto"/>
            <w:left w:val="none" w:sz="0" w:space="0" w:color="auto"/>
            <w:bottom w:val="none" w:sz="0" w:space="0" w:color="auto"/>
            <w:right w:val="none" w:sz="0" w:space="0" w:color="auto"/>
          </w:divBdr>
          <w:divsChild>
            <w:div w:id="911505205">
              <w:marLeft w:val="0"/>
              <w:marRight w:val="0"/>
              <w:marTop w:val="105"/>
              <w:marBottom w:val="0"/>
              <w:divBdr>
                <w:top w:val="none" w:sz="0" w:space="0" w:color="auto"/>
                <w:left w:val="none" w:sz="0" w:space="0" w:color="auto"/>
                <w:bottom w:val="none" w:sz="0" w:space="0" w:color="auto"/>
                <w:right w:val="none" w:sz="0" w:space="0" w:color="auto"/>
              </w:divBdr>
            </w:div>
            <w:div w:id="2068457050">
              <w:marLeft w:val="0"/>
              <w:marRight w:val="0"/>
              <w:marTop w:val="0"/>
              <w:marBottom w:val="0"/>
              <w:divBdr>
                <w:top w:val="none" w:sz="0" w:space="0" w:color="auto"/>
                <w:left w:val="none" w:sz="0" w:space="0" w:color="auto"/>
                <w:bottom w:val="none" w:sz="0" w:space="0" w:color="auto"/>
                <w:right w:val="none" w:sz="0" w:space="0" w:color="auto"/>
              </w:divBdr>
              <w:divsChild>
                <w:div w:id="1456560524">
                  <w:marLeft w:val="255"/>
                  <w:marRight w:val="0"/>
                  <w:marTop w:val="0"/>
                  <w:marBottom w:val="0"/>
                  <w:divBdr>
                    <w:top w:val="none" w:sz="0" w:space="0" w:color="auto"/>
                    <w:left w:val="none" w:sz="0" w:space="0" w:color="auto"/>
                    <w:bottom w:val="none" w:sz="0" w:space="0" w:color="auto"/>
                    <w:right w:val="none" w:sz="0" w:space="0" w:color="auto"/>
                  </w:divBdr>
                  <w:divsChild>
                    <w:div w:id="1773475345">
                      <w:marLeft w:val="300"/>
                      <w:marRight w:val="0"/>
                      <w:marTop w:val="0"/>
                      <w:marBottom w:val="0"/>
                      <w:divBdr>
                        <w:top w:val="none" w:sz="0" w:space="0" w:color="auto"/>
                        <w:left w:val="none" w:sz="0" w:space="0" w:color="auto"/>
                        <w:bottom w:val="none" w:sz="0" w:space="0" w:color="auto"/>
                        <w:right w:val="none" w:sz="0" w:space="0" w:color="auto"/>
                      </w:divBdr>
                    </w:div>
                    <w:div w:id="435252490">
                      <w:marLeft w:val="300"/>
                      <w:marRight w:val="0"/>
                      <w:marTop w:val="0"/>
                      <w:marBottom w:val="0"/>
                      <w:divBdr>
                        <w:top w:val="none" w:sz="0" w:space="0" w:color="auto"/>
                        <w:left w:val="none" w:sz="0" w:space="0" w:color="auto"/>
                        <w:bottom w:val="none" w:sz="0" w:space="0" w:color="auto"/>
                        <w:right w:val="none" w:sz="0" w:space="0" w:color="auto"/>
                      </w:divBdr>
                    </w:div>
                    <w:div w:id="1332947109">
                      <w:marLeft w:val="300"/>
                      <w:marRight w:val="0"/>
                      <w:marTop w:val="0"/>
                      <w:marBottom w:val="0"/>
                      <w:divBdr>
                        <w:top w:val="none" w:sz="0" w:space="0" w:color="auto"/>
                        <w:left w:val="none" w:sz="0" w:space="0" w:color="auto"/>
                        <w:bottom w:val="none" w:sz="0" w:space="0" w:color="auto"/>
                        <w:right w:val="none" w:sz="0" w:space="0" w:color="auto"/>
                      </w:divBdr>
                    </w:div>
                    <w:div w:id="1384282986">
                      <w:marLeft w:val="300"/>
                      <w:marRight w:val="0"/>
                      <w:marTop w:val="0"/>
                      <w:marBottom w:val="0"/>
                      <w:divBdr>
                        <w:top w:val="none" w:sz="0" w:space="0" w:color="auto"/>
                        <w:left w:val="none" w:sz="0" w:space="0" w:color="auto"/>
                        <w:bottom w:val="none" w:sz="0" w:space="0" w:color="auto"/>
                        <w:right w:val="none" w:sz="0" w:space="0" w:color="auto"/>
                      </w:divBdr>
                    </w:div>
                    <w:div w:id="1126194839">
                      <w:marLeft w:val="300"/>
                      <w:marRight w:val="0"/>
                      <w:marTop w:val="0"/>
                      <w:marBottom w:val="0"/>
                      <w:divBdr>
                        <w:top w:val="none" w:sz="0" w:space="0" w:color="auto"/>
                        <w:left w:val="none" w:sz="0" w:space="0" w:color="auto"/>
                        <w:bottom w:val="none" w:sz="0" w:space="0" w:color="auto"/>
                        <w:right w:val="none" w:sz="0" w:space="0" w:color="auto"/>
                      </w:divBdr>
                    </w:div>
                    <w:div w:id="19206289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1398486">
              <w:marLeft w:val="0"/>
              <w:marRight w:val="0"/>
              <w:marTop w:val="0"/>
              <w:marBottom w:val="0"/>
              <w:divBdr>
                <w:top w:val="none" w:sz="0" w:space="0" w:color="auto"/>
                <w:left w:val="none" w:sz="0" w:space="0" w:color="auto"/>
                <w:bottom w:val="none" w:sz="0" w:space="0" w:color="auto"/>
                <w:right w:val="none" w:sz="0" w:space="0" w:color="auto"/>
              </w:divBdr>
              <w:divsChild>
                <w:div w:id="1878351423">
                  <w:marLeft w:val="255"/>
                  <w:marRight w:val="0"/>
                  <w:marTop w:val="0"/>
                  <w:marBottom w:val="0"/>
                  <w:divBdr>
                    <w:top w:val="none" w:sz="0" w:space="0" w:color="auto"/>
                    <w:left w:val="none" w:sz="0" w:space="0" w:color="auto"/>
                    <w:bottom w:val="none" w:sz="0" w:space="0" w:color="auto"/>
                    <w:right w:val="none" w:sz="0" w:space="0" w:color="auto"/>
                  </w:divBdr>
                </w:div>
              </w:divsChild>
            </w:div>
            <w:div w:id="1819956772">
              <w:marLeft w:val="0"/>
              <w:marRight w:val="0"/>
              <w:marTop w:val="0"/>
              <w:marBottom w:val="0"/>
              <w:divBdr>
                <w:top w:val="none" w:sz="0" w:space="0" w:color="auto"/>
                <w:left w:val="none" w:sz="0" w:space="0" w:color="auto"/>
                <w:bottom w:val="none" w:sz="0" w:space="0" w:color="auto"/>
                <w:right w:val="none" w:sz="0" w:space="0" w:color="auto"/>
              </w:divBdr>
              <w:divsChild>
                <w:div w:id="8435167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9354294">
          <w:marLeft w:val="0"/>
          <w:marRight w:val="0"/>
          <w:marTop w:val="0"/>
          <w:marBottom w:val="0"/>
          <w:divBdr>
            <w:top w:val="none" w:sz="0" w:space="0" w:color="auto"/>
            <w:left w:val="none" w:sz="0" w:space="0" w:color="auto"/>
            <w:bottom w:val="none" w:sz="0" w:space="0" w:color="auto"/>
            <w:right w:val="none" w:sz="0" w:space="0" w:color="auto"/>
          </w:divBdr>
          <w:divsChild>
            <w:div w:id="390159275">
              <w:marLeft w:val="0"/>
              <w:marRight w:val="0"/>
              <w:marTop w:val="105"/>
              <w:marBottom w:val="0"/>
              <w:divBdr>
                <w:top w:val="none" w:sz="0" w:space="0" w:color="auto"/>
                <w:left w:val="none" w:sz="0" w:space="0" w:color="auto"/>
                <w:bottom w:val="none" w:sz="0" w:space="0" w:color="auto"/>
                <w:right w:val="none" w:sz="0" w:space="0" w:color="auto"/>
              </w:divBdr>
            </w:div>
          </w:divsChild>
        </w:div>
        <w:div w:id="417096414">
          <w:marLeft w:val="0"/>
          <w:marRight w:val="0"/>
          <w:marTop w:val="0"/>
          <w:marBottom w:val="0"/>
          <w:divBdr>
            <w:top w:val="none" w:sz="0" w:space="0" w:color="auto"/>
            <w:left w:val="none" w:sz="0" w:space="0" w:color="auto"/>
            <w:bottom w:val="none" w:sz="0" w:space="0" w:color="auto"/>
            <w:right w:val="none" w:sz="0" w:space="0" w:color="auto"/>
          </w:divBdr>
          <w:divsChild>
            <w:div w:id="1225873635">
              <w:marLeft w:val="0"/>
              <w:marRight w:val="0"/>
              <w:marTop w:val="105"/>
              <w:marBottom w:val="0"/>
              <w:divBdr>
                <w:top w:val="none" w:sz="0" w:space="0" w:color="auto"/>
                <w:left w:val="none" w:sz="0" w:space="0" w:color="auto"/>
                <w:bottom w:val="none" w:sz="0" w:space="0" w:color="auto"/>
                <w:right w:val="none" w:sz="0" w:space="0" w:color="auto"/>
              </w:divBdr>
            </w:div>
          </w:divsChild>
        </w:div>
        <w:div w:id="1317800646">
          <w:marLeft w:val="0"/>
          <w:marRight w:val="0"/>
          <w:marTop w:val="0"/>
          <w:marBottom w:val="0"/>
          <w:divBdr>
            <w:top w:val="none" w:sz="0" w:space="0" w:color="auto"/>
            <w:left w:val="none" w:sz="0" w:space="0" w:color="auto"/>
            <w:bottom w:val="none" w:sz="0" w:space="0" w:color="auto"/>
            <w:right w:val="none" w:sz="0" w:space="0" w:color="auto"/>
          </w:divBdr>
          <w:divsChild>
            <w:div w:id="84421383">
              <w:marLeft w:val="0"/>
              <w:marRight w:val="0"/>
              <w:marTop w:val="105"/>
              <w:marBottom w:val="0"/>
              <w:divBdr>
                <w:top w:val="none" w:sz="0" w:space="0" w:color="auto"/>
                <w:left w:val="none" w:sz="0" w:space="0" w:color="auto"/>
                <w:bottom w:val="none" w:sz="0" w:space="0" w:color="auto"/>
                <w:right w:val="none" w:sz="0" w:space="0" w:color="auto"/>
              </w:divBdr>
            </w:div>
          </w:divsChild>
        </w:div>
        <w:div w:id="469323849">
          <w:marLeft w:val="0"/>
          <w:marRight w:val="0"/>
          <w:marTop w:val="0"/>
          <w:marBottom w:val="0"/>
          <w:divBdr>
            <w:top w:val="none" w:sz="0" w:space="0" w:color="auto"/>
            <w:left w:val="none" w:sz="0" w:space="0" w:color="auto"/>
            <w:bottom w:val="none" w:sz="0" w:space="0" w:color="auto"/>
            <w:right w:val="none" w:sz="0" w:space="0" w:color="auto"/>
          </w:divBdr>
          <w:divsChild>
            <w:div w:id="11806983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9551321">
      <w:bodyDiv w:val="1"/>
      <w:marLeft w:val="0"/>
      <w:marRight w:val="0"/>
      <w:marTop w:val="0"/>
      <w:marBottom w:val="0"/>
      <w:divBdr>
        <w:top w:val="none" w:sz="0" w:space="0" w:color="auto"/>
        <w:left w:val="none" w:sz="0" w:space="0" w:color="auto"/>
        <w:bottom w:val="none" w:sz="0" w:space="0" w:color="auto"/>
        <w:right w:val="none" w:sz="0" w:space="0" w:color="auto"/>
      </w:divBdr>
      <w:divsChild>
        <w:div w:id="889616367">
          <w:marLeft w:val="0"/>
          <w:marRight w:val="0"/>
          <w:marTop w:val="0"/>
          <w:marBottom w:val="0"/>
          <w:divBdr>
            <w:top w:val="none" w:sz="0" w:space="0" w:color="auto"/>
            <w:left w:val="none" w:sz="0" w:space="0" w:color="auto"/>
            <w:bottom w:val="none" w:sz="0" w:space="0" w:color="auto"/>
            <w:right w:val="none" w:sz="0" w:space="0" w:color="auto"/>
          </w:divBdr>
          <w:divsChild>
            <w:div w:id="1667856534">
              <w:marLeft w:val="0"/>
              <w:marRight w:val="0"/>
              <w:marTop w:val="105"/>
              <w:marBottom w:val="0"/>
              <w:divBdr>
                <w:top w:val="none" w:sz="0" w:space="0" w:color="auto"/>
                <w:left w:val="none" w:sz="0" w:space="0" w:color="auto"/>
                <w:bottom w:val="none" w:sz="0" w:space="0" w:color="auto"/>
                <w:right w:val="none" w:sz="0" w:space="0" w:color="auto"/>
              </w:divBdr>
            </w:div>
          </w:divsChild>
        </w:div>
        <w:div w:id="1074086675">
          <w:marLeft w:val="0"/>
          <w:marRight w:val="0"/>
          <w:marTop w:val="0"/>
          <w:marBottom w:val="0"/>
          <w:divBdr>
            <w:top w:val="none" w:sz="0" w:space="0" w:color="auto"/>
            <w:left w:val="none" w:sz="0" w:space="0" w:color="auto"/>
            <w:bottom w:val="none" w:sz="0" w:space="0" w:color="auto"/>
            <w:right w:val="none" w:sz="0" w:space="0" w:color="auto"/>
          </w:divBdr>
          <w:divsChild>
            <w:div w:id="1080786924">
              <w:marLeft w:val="0"/>
              <w:marRight w:val="0"/>
              <w:marTop w:val="105"/>
              <w:marBottom w:val="0"/>
              <w:divBdr>
                <w:top w:val="none" w:sz="0" w:space="0" w:color="auto"/>
                <w:left w:val="none" w:sz="0" w:space="0" w:color="auto"/>
                <w:bottom w:val="none" w:sz="0" w:space="0" w:color="auto"/>
                <w:right w:val="none" w:sz="0" w:space="0" w:color="auto"/>
              </w:divBdr>
            </w:div>
          </w:divsChild>
        </w:div>
        <w:div w:id="1912082999">
          <w:marLeft w:val="0"/>
          <w:marRight w:val="0"/>
          <w:marTop w:val="0"/>
          <w:marBottom w:val="0"/>
          <w:divBdr>
            <w:top w:val="none" w:sz="0" w:space="0" w:color="auto"/>
            <w:left w:val="none" w:sz="0" w:space="0" w:color="auto"/>
            <w:bottom w:val="none" w:sz="0" w:space="0" w:color="auto"/>
            <w:right w:val="none" w:sz="0" w:space="0" w:color="auto"/>
          </w:divBdr>
          <w:divsChild>
            <w:div w:id="1319846429">
              <w:marLeft w:val="0"/>
              <w:marRight w:val="0"/>
              <w:marTop w:val="105"/>
              <w:marBottom w:val="0"/>
              <w:divBdr>
                <w:top w:val="none" w:sz="0" w:space="0" w:color="auto"/>
                <w:left w:val="none" w:sz="0" w:space="0" w:color="auto"/>
                <w:bottom w:val="none" w:sz="0" w:space="0" w:color="auto"/>
                <w:right w:val="none" w:sz="0" w:space="0" w:color="auto"/>
              </w:divBdr>
            </w:div>
          </w:divsChild>
        </w:div>
        <w:div w:id="514809955">
          <w:marLeft w:val="0"/>
          <w:marRight w:val="0"/>
          <w:marTop w:val="0"/>
          <w:marBottom w:val="0"/>
          <w:divBdr>
            <w:top w:val="none" w:sz="0" w:space="0" w:color="auto"/>
            <w:left w:val="none" w:sz="0" w:space="0" w:color="auto"/>
            <w:bottom w:val="none" w:sz="0" w:space="0" w:color="auto"/>
            <w:right w:val="none" w:sz="0" w:space="0" w:color="auto"/>
          </w:divBdr>
          <w:divsChild>
            <w:div w:id="1686177760">
              <w:marLeft w:val="0"/>
              <w:marRight w:val="0"/>
              <w:marTop w:val="105"/>
              <w:marBottom w:val="0"/>
              <w:divBdr>
                <w:top w:val="none" w:sz="0" w:space="0" w:color="auto"/>
                <w:left w:val="none" w:sz="0" w:space="0" w:color="auto"/>
                <w:bottom w:val="none" w:sz="0" w:space="0" w:color="auto"/>
                <w:right w:val="none" w:sz="0" w:space="0" w:color="auto"/>
              </w:divBdr>
            </w:div>
          </w:divsChild>
        </w:div>
        <w:div w:id="391781614">
          <w:marLeft w:val="0"/>
          <w:marRight w:val="0"/>
          <w:marTop w:val="0"/>
          <w:marBottom w:val="0"/>
          <w:divBdr>
            <w:top w:val="none" w:sz="0" w:space="0" w:color="auto"/>
            <w:left w:val="none" w:sz="0" w:space="0" w:color="auto"/>
            <w:bottom w:val="none" w:sz="0" w:space="0" w:color="auto"/>
            <w:right w:val="none" w:sz="0" w:space="0" w:color="auto"/>
          </w:divBdr>
          <w:divsChild>
            <w:div w:id="1757049237">
              <w:marLeft w:val="0"/>
              <w:marRight w:val="0"/>
              <w:marTop w:val="105"/>
              <w:marBottom w:val="0"/>
              <w:divBdr>
                <w:top w:val="none" w:sz="0" w:space="0" w:color="auto"/>
                <w:left w:val="none" w:sz="0" w:space="0" w:color="auto"/>
                <w:bottom w:val="none" w:sz="0" w:space="0" w:color="auto"/>
                <w:right w:val="none" w:sz="0" w:space="0" w:color="auto"/>
              </w:divBdr>
            </w:div>
          </w:divsChild>
        </w:div>
        <w:div w:id="359402267">
          <w:marLeft w:val="0"/>
          <w:marRight w:val="0"/>
          <w:marTop w:val="0"/>
          <w:marBottom w:val="0"/>
          <w:divBdr>
            <w:top w:val="none" w:sz="0" w:space="0" w:color="auto"/>
            <w:left w:val="none" w:sz="0" w:space="0" w:color="auto"/>
            <w:bottom w:val="none" w:sz="0" w:space="0" w:color="auto"/>
            <w:right w:val="none" w:sz="0" w:space="0" w:color="auto"/>
          </w:divBdr>
          <w:divsChild>
            <w:div w:id="15452106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56232449">
      <w:bodyDiv w:val="1"/>
      <w:marLeft w:val="0"/>
      <w:marRight w:val="0"/>
      <w:marTop w:val="0"/>
      <w:marBottom w:val="0"/>
      <w:divBdr>
        <w:top w:val="none" w:sz="0" w:space="0" w:color="auto"/>
        <w:left w:val="none" w:sz="0" w:space="0" w:color="auto"/>
        <w:bottom w:val="none" w:sz="0" w:space="0" w:color="auto"/>
        <w:right w:val="none" w:sz="0" w:space="0" w:color="auto"/>
      </w:divBdr>
      <w:divsChild>
        <w:div w:id="1546064655">
          <w:marLeft w:val="0"/>
          <w:marRight w:val="0"/>
          <w:marTop w:val="0"/>
          <w:marBottom w:val="0"/>
          <w:divBdr>
            <w:top w:val="none" w:sz="0" w:space="0" w:color="auto"/>
            <w:left w:val="none" w:sz="0" w:space="0" w:color="auto"/>
            <w:bottom w:val="none" w:sz="0" w:space="0" w:color="auto"/>
            <w:right w:val="none" w:sz="0" w:space="0" w:color="auto"/>
          </w:divBdr>
          <w:divsChild>
            <w:div w:id="1537155771">
              <w:marLeft w:val="0"/>
              <w:marRight w:val="0"/>
              <w:marTop w:val="105"/>
              <w:marBottom w:val="0"/>
              <w:divBdr>
                <w:top w:val="none" w:sz="0" w:space="0" w:color="auto"/>
                <w:left w:val="none" w:sz="0" w:space="0" w:color="auto"/>
                <w:bottom w:val="none" w:sz="0" w:space="0" w:color="auto"/>
                <w:right w:val="none" w:sz="0" w:space="0" w:color="auto"/>
              </w:divBdr>
            </w:div>
            <w:div w:id="644549958">
              <w:marLeft w:val="0"/>
              <w:marRight w:val="0"/>
              <w:marTop w:val="0"/>
              <w:marBottom w:val="0"/>
              <w:divBdr>
                <w:top w:val="none" w:sz="0" w:space="0" w:color="auto"/>
                <w:left w:val="none" w:sz="0" w:space="0" w:color="auto"/>
                <w:bottom w:val="none" w:sz="0" w:space="0" w:color="auto"/>
                <w:right w:val="none" w:sz="0" w:space="0" w:color="auto"/>
              </w:divBdr>
              <w:divsChild>
                <w:div w:id="2137411654">
                  <w:marLeft w:val="255"/>
                  <w:marRight w:val="0"/>
                  <w:marTop w:val="0"/>
                  <w:marBottom w:val="0"/>
                  <w:divBdr>
                    <w:top w:val="none" w:sz="0" w:space="0" w:color="auto"/>
                    <w:left w:val="none" w:sz="0" w:space="0" w:color="auto"/>
                    <w:bottom w:val="none" w:sz="0" w:space="0" w:color="auto"/>
                    <w:right w:val="none" w:sz="0" w:space="0" w:color="auto"/>
                  </w:divBdr>
                </w:div>
              </w:divsChild>
            </w:div>
            <w:div w:id="1551961501">
              <w:marLeft w:val="0"/>
              <w:marRight w:val="0"/>
              <w:marTop w:val="0"/>
              <w:marBottom w:val="0"/>
              <w:divBdr>
                <w:top w:val="none" w:sz="0" w:space="0" w:color="auto"/>
                <w:left w:val="none" w:sz="0" w:space="0" w:color="auto"/>
                <w:bottom w:val="none" w:sz="0" w:space="0" w:color="auto"/>
                <w:right w:val="none" w:sz="0" w:space="0" w:color="auto"/>
              </w:divBdr>
              <w:divsChild>
                <w:div w:id="8572326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68497399">
          <w:marLeft w:val="0"/>
          <w:marRight w:val="0"/>
          <w:marTop w:val="0"/>
          <w:marBottom w:val="0"/>
          <w:divBdr>
            <w:top w:val="none" w:sz="0" w:space="0" w:color="auto"/>
            <w:left w:val="none" w:sz="0" w:space="0" w:color="auto"/>
            <w:bottom w:val="none" w:sz="0" w:space="0" w:color="auto"/>
            <w:right w:val="none" w:sz="0" w:space="0" w:color="auto"/>
          </w:divBdr>
          <w:divsChild>
            <w:div w:id="991980631">
              <w:marLeft w:val="0"/>
              <w:marRight w:val="0"/>
              <w:marTop w:val="105"/>
              <w:marBottom w:val="0"/>
              <w:divBdr>
                <w:top w:val="none" w:sz="0" w:space="0" w:color="auto"/>
                <w:left w:val="none" w:sz="0" w:space="0" w:color="auto"/>
                <w:bottom w:val="none" w:sz="0" w:space="0" w:color="auto"/>
                <w:right w:val="none" w:sz="0" w:space="0" w:color="auto"/>
              </w:divBdr>
            </w:div>
          </w:divsChild>
        </w:div>
        <w:div w:id="1371612993">
          <w:marLeft w:val="0"/>
          <w:marRight w:val="0"/>
          <w:marTop w:val="0"/>
          <w:marBottom w:val="0"/>
          <w:divBdr>
            <w:top w:val="none" w:sz="0" w:space="0" w:color="auto"/>
            <w:left w:val="none" w:sz="0" w:space="0" w:color="auto"/>
            <w:bottom w:val="none" w:sz="0" w:space="0" w:color="auto"/>
            <w:right w:val="none" w:sz="0" w:space="0" w:color="auto"/>
          </w:divBdr>
          <w:divsChild>
            <w:div w:id="1017660154">
              <w:marLeft w:val="0"/>
              <w:marRight w:val="0"/>
              <w:marTop w:val="105"/>
              <w:marBottom w:val="0"/>
              <w:divBdr>
                <w:top w:val="none" w:sz="0" w:space="0" w:color="auto"/>
                <w:left w:val="none" w:sz="0" w:space="0" w:color="auto"/>
                <w:bottom w:val="none" w:sz="0" w:space="0" w:color="auto"/>
                <w:right w:val="none" w:sz="0" w:space="0" w:color="auto"/>
              </w:divBdr>
            </w:div>
            <w:div w:id="1712194193">
              <w:marLeft w:val="0"/>
              <w:marRight w:val="0"/>
              <w:marTop w:val="0"/>
              <w:marBottom w:val="0"/>
              <w:divBdr>
                <w:top w:val="none" w:sz="0" w:space="0" w:color="auto"/>
                <w:left w:val="none" w:sz="0" w:space="0" w:color="auto"/>
                <w:bottom w:val="none" w:sz="0" w:space="0" w:color="auto"/>
                <w:right w:val="none" w:sz="0" w:space="0" w:color="auto"/>
              </w:divBdr>
              <w:divsChild>
                <w:div w:id="165903518">
                  <w:marLeft w:val="255"/>
                  <w:marRight w:val="0"/>
                  <w:marTop w:val="0"/>
                  <w:marBottom w:val="0"/>
                  <w:divBdr>
                    <w:top w:val="none" w:sz="0" w:space="0" w:color="auto"/>
                    <w:left w:val="none" w:sz="0" w:space="0" w:color="auto"/>
                    <w:bottom w:val="none" w:sz="0" w:space="0" w:color="auto"/>
                    <w:right w:val="none" w:sz="0" w:space="0" w:color="auto"/>
                  </w:divBdr>
                </w:div>
              </w:divsChild>
            </w:div>
            <w:div w:id="1699240228">
              <w:marLeft w:val="0"/>
              <w:marRight w:val="0"/>
              <w:marTop w:val="0"/>
              <w:marBottom w:val="0"/>
              <w:divBdr>
                <w:top w:val="none" w:sz="0" w:space="0" w:color="auto"/>
                <w:left w:val="none" w:sz="0" w:space="0" w:color="auto"/>
                <w:bottom w:val="none" w:sz="0" w:space="0" w:color="auto"/>
                <w:right w:val="none" w:sz="0" w:space="0" w:color="auto"/>
              </w:divBdr>
              <w:divsChild>
                <w:div w:id="2107655562">
                  <w:marLeft w:val="255"/>
                  <w:marRight w:val="0"/>
                  <w:marTop w:val="0"/>
                  <w:marBottom w:val="0"/>
                  <w:divBdr>
                    <w:top w:val="none" w:sz="0" w:space="0" w:color="auto"/>
                    <w:left w:val="none" w:sz="0" w:space="0" w:color="auto"/>
                    <w:bottom w:val="none" w:sz="0" w:space="0" w:color="auto"/>
                    <w:right w:val="none" w:sz="0" w:space="0" w:color="auto"/>
                  </w:divBdr>
                </w:div>
              </w:divsChild>
            </w:div>
            <w:div w:id="1027488300">
              <w:marLeft w:val="0"/>
              <w:marRight w:val="0"/>
              <w:marTop w:val="0"/>
              <w:marBottom w:val="0"/>
              <w:divBdr>
                <w:top w:val="none" w:sz="0" w:space="0" w:color="auto"/>
                <w:left w:val="none" w:sz="0" w:space="0" w:color="auto"/>
                <w:bottom w:val="none" w:sz="0" w:space="0" w:color="auto"/>
                <w:right w:val="none" w:sz="0" w:space="0" w:color="auto"/>
              </w:divBdr>
              <w:divsChild>
                <w:div w:id="14595682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55952145">
          <w:marLeft w:val="0"/>
          <w:marRight w:val="0"/>
          <w:marTop w:val="0"/>
          <w:marBottom w:val="0"/>
          <w:divBdr>
            <w:top w:val="none" w:sz="0" w:space="0" w:color="auto"/>
            <w:left w:val="none" w:sz="0" w:space="0" w:color="auto"/>
            <w:bottom w:val="none" w:sz="0" w:space="0" w:color="auto"/>
            <w:right w:val="none" w:sz="0" w:space="0" w:color="auto"/>
          </w:divBdr>
          <w:divsChild>
            <w:div w:id="20309875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6343370">
      <w:bodyDiv w:val="1"/>
      <w:marLeft w:val="0"/>
      <w:marRight w:val="0"/>
      <w:marTop w:val="0"/>
      <w:marBottom w:val="0"/>
      <w:divBdr>
        <w:top w:val="none" w:sz="0" w:space="0" w:color="auto"/>
        <w:left w:val="none" w:sz="0" w:space="0" w:color="auto"/>
        <w:bottom w:val="none" w:sz="0" w:space="0" w:color="auto"/>
        <w:right w:val="none" w:sz="0" w:space="0" w:color="auto"/>
      </w:divBdr>
      <w:divsChild>
        <w:div w:id="955597033">
          <w:marLeft w:val="0"/>
          <w:marRight w:val="0"/>
          <w:marTop w:val="0"/>
          <w:marBottom w:val="0"/>
          <w:divBdr>
            <w:top w:val="none" w:sz="0" w:space="0" w:color="auto"/>
            <w:left w:val="none" w:sz="0" w:space="0" w:color="auto"/>
            <w:bottom w:val="none" w:sz="0" w:space="0" w:color="auto"/>
            <w:right w:val="none" w:sz="0" w:space="0" w:color="auto"/>
          </w:divBdr>
          <w:divsChild>
            <w:div w:id="1598176952">
              <w:marLeft w:val="0"/>
              <w:marRight w:val="0"/>
              <w:marTop w:val="105"/>
              <w:marBottom w:val="0"/>
              <w:divBdr>
                <w:top w:val="none" w:sz="0" w:space="0" w:color="auto"/>
                <w:left w:val="none" w:sz="0" w:space="0" w:color="auto"/>
                <w:bottom w:val="none" w:sz="0" w:space="0" w:color="auto"/>
                <w:right w:val="none" w:sz="0" w:space="0" w:color="auto"/>
              </w:divBdr>
            </w:div>
          </w:divsChild>
        </w:div>
        <w:div w:id="784232306">
          <w:marLeft w:val="0"/>
          <w:marRight w:val="0"/>
          <w:marTop w:val="0"/>
          <w:marBottom w:val="0"/>
          <w:divBdr>
            <w:top w:val="none" w:sz="0" w:space="0" w:color="auto"/>
            <w:left w:val="none" w:sz="0" w:space="0" w:color="auto"/>
            <w:bottom w:val="none" w:sz="0" w:space="0" w:color="auto"/>
            <w:right w:val="none" w:sz="0" w:space="0" w:color="auto"/>
          </w:divBdr>
          <w:divsChild>
            <w:div w:id="1374961546">
              <w:marLeft w:val="0"/>
              <w:marRight w:val="0"/>
              <w:marTop w:val="105"/>
              <w:marBottom w:val="0"/>
              <w:divBdr>
                <w:top w:val="none" w:sz="0" w:space="0" w:color="auto"/>
                <w:left w:val="none" w:sz="0" w:space="0" w:color="auto"/>
                <w:bottom w:val="none" w:sz="0" w:space="0" w:color="auto"/>
                <w:right w:val="none" w:sz="0" w:space="0" w:color="auto"/>
              </w:divBdr>
            </w:div>
          </w:divsChild>
        </w:div>
        <w:div w:id="685210152">
          <w:marLeft w:val="0"/>
          <w:marRight w:val="0"/>
          <w:marTop w:val="0"/>
          <w:marBottom w:val="0"/>
          <w:divBdr>
            <w:top w:val="none" w:sz="0" w:space="0" w:color="auto"/>
            <w:left w:val="none" w:sz="0" w:space="0" w:color="auto"/>
            <w:bottom w:val="none" w:sz="0" w:space="0" w:color="auto"/>
            <w:right w:val="none" w:sz="0" w:space="0" w:color="auto"/>
          </w:divBdr>
          <w:divsChild>
            <w:div w:id="398939607">
              <w:marLeft w:val="0"/>
              <w:marRight w:val="0"/>
              <w:marTop w:val="105"/>
              <w:marBottom w:val="0"/>
              <w:divBdr>
                <w:top w:val="none" w:sz="0" w:space="0" w:color="auto"/>
                <w:left w:val="none" w:sz="0" w:space="0" w:color="auto"/>
                <w:bottom w:val="none" w:sz="0" w:space="0" w:color="auto"/>
                <w:right w:val="none" w:sz="0" w:space="0" w:color="auto"/>
              </w:divBdr>
            </w:div>
          </w:divsChild>
        </w:div>
        <w:div w:id="257720265">
          <w:marLeft w:val="0"/>
          <w:marRight w:val="0"/>
          <w:marTop w:val="0"/>
          <w:marBottom w:val="0"/>
          <w:divBdr>
            <w:top w:val="none" w:sz="0" w:space="0" w:color="auto"/>
            <w:left w:val="none" w:sz="0" w:space="0" w:color="auto"/>
            <w:bottom w:val="none" w:sz="0" w:space="0" w:color="auto"/>
            <w:right w:val="none" w:sz="0" w:space="0" w:color="auto"/>
          </w:divBdr>
          <w:divsChild>
            <w:div w:id="1838038971">
              <w:marLeft w:val="0"/>
              <w:marRight w:val="0"/>
              <w:marTop w:val="105"/>
              <w:marBottom w:val="0"/>
              <w:divBdr>
                <w:top w:val="none" w:sz="0" w:space="0" w:color="auto"/>
                <w:left w:val="none" w:sz="0" w:space="0" w:color="auto"/>
                <w:bottom w:val="none" w:sz="0" w:space="0" w:color="auto"/>
                <w:right w:val="none" w:sz="0" w:space="0" w:color="auto"/>
              </w:divBdr>
            </w:div>
          </w:divsChild>
        </w:div>
        <w:div w:id="1073821786">
          <w:marLeft w:val="0"/>
          <w:marRight w:val="0"/>
          <w:marTop w:val="0"/>
          <w:marBottom w:val="0"/>
          <w:divBdr>
            <w:top w:val="none" w:sz="0" w:space="0" w:color="auto"/>
            <w:left w:val="none" w:sz="0" w:space="0" w:color="auto"/>
            <w:bottom w:val="none" w:sz="0" w:space="0" w:color="auto"/>
            <w:right w:val="none" w:sz="0" w:space="0" w:color="auto"/>
          </w:divBdr>
          <w:divsChild>
            <w:div w:id="2012372316">
              <w:marLeft w:val="0"/>
              <w:marRight w:val="0"/>
              <w:marTop w:val="105"/>
              <w:marBottom w:val="0"/>
              <w:divBdr>
                <w:top w:val="none" w:sz="0" w:space="0" w:color="auto"/>
                <w:left w:val="none" w:sz="0" w:space="0" w:color="auto"/>
                <w:bottom w:val="none" w:sz="0" w:space="0" w:color="auto"/>
                <w:right w:val="none" w:sz="0" w:space="0" w:color="auto"/>
              </w:divBdr>
            </w:div>
          </w:divsChild>
        </w:div>
        <w:div w:id="151608771">
          <w:marLeft w:val="0"/>
          <w:marRight w:val="0"/>
          <w:marTop w:val="0"/>
          <w:marBottom w:val="0"/>
          <w:divBdr>
            <w:top w:val="none" w:sz="0" w:space="0" w:color="auto"/>
            <w:left w:val="none" w:sz="0" w:space="0" w:color="auto"/>
            <w:bottom w:val="none" w:sz="0" w:space="0" w:color="auto"/>
            <w:right w:val="none" w:sz="0" w:space="0" w:color="auto"/>
          </w:divBdr>
          <w:divsChild>
            <w:div w:id="17263673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8302888">
      <w:bodyDiv w:val="1"/>
      <w:marLeft w:val="0"/>
      <w:marRight w:val="0"/>
      <w:marTop w:val="0"/>
      <w:marBottom w:val="0"/>
      <w:divBdr>
        <w:top w:val="none" w:sz="0" w:space="0" w:color="auto"/>
        <w:left w:val="none" w:sz="0" w:space="0" w:color="auto"/>
        <w:bottom w:val="none" w:sz="0" w:space="0" w:color="auto"/>
        <w:right w:val="none" w:sz="0" w:space="0" w:color="auto"/>
      </w:divBdr>
      <w:divsChild>
        <w:div w:id="1622420640">
          <w:marLeft w:val="0"/>
          <w:marRight w:val="0"/>
          <w:marTop w:val="0"/>
          <w:marBottom w:val="0"/>
          <w:divBdr>
            <w:top w:val="none" w:sz="0" w:space="0" w:color="auto"/>
            <w:left w:val="none" w:sz="0" w:space="0" w:color="auto"/>
            <w:bottom w:val="none" w:sz="0" w:space="0" w:color="auto"/>
            <w:right w:val="none" w:sz="0" w:space="0" w:color="auto"/>
          </w:divBdr>
          <w:divsChild>
            <w:div w:id="324674031">
              <w:marLeft w:val="0"/>
              <w:marRight w:val="0"/>
              <w:marTop w:val="105"/>
              <w:marBottom w:val="0"/>
              <w:divBdr>
                <w:top w:val="none" w:sz="0" w:space="0" w:color="auto"/>
                <w:left w:val="none" w:sz="0" w:space="0" w:color="auto"/>
                <w:bottom w:val="none" w:sz="0" w:space="0" w:color="auto"/>
                <w:right w:val="none" w:sz="0" w:space="0" w:color="auto"/>
              </w:divBdr>
            </w:div>
          </w:divsChild>
        </w:div>
        <w:div w:id="1713536445">
          <w:marLeft w:val="0"/>
          <w:marRight w:val="0"/>
          <w:marTop w:val="0"/>
          <w:marBottom w:val="0"/>
          <w:divBdr>
            <w:top w:val="none" w:sz="0" w:space="0" w:color="auto"/>
            <w:left w:val="none" w:sz="0" w:space="0" w:color="auto"/>
            <w:bottom w:val="none" w:sz="0" w:space="0" w:color="auto"/>
            <w:right w:val="none" w:sz="0" w:space="0" w:color="auto"/>
          </w:divBdr>
          <w:divsChild>
            <w:div w:id="122381789">
              <w:marLeft w:val="0"/>
              <w:marRight w:val="0"/>
              <w:marTop w:val="105"/>
              <w:marBottom w:val="0"/>
              <w:divBdr>
                <w:top w:val="none" w:sz="0" w:space="0" w:color="auto"/>
                <w:left w:val="none" w:sz="0" w:space="0" w:color="auto"/>
                <w:bottom w:val="none" w:sz="0" w:space="0" w:color="auto"/>
                <w:right w:val="none" w:sz="0" w:space="0" w:color="auto"/>
              </w:divBdr>
            </w:div>
          </w:divsChild>
        </w:div>
        <w:div w:id="273904673">
          <w:marLeft w:val="0"/>
          <w:marRight w:val="0"/>
          <w:marTop w:val="0"/>
          <w:marBottom w:val="0"/>
          <w:divBdr>
            <w:top w:val="none" w:sz="0" w:space="0" w:color="auto"/>
            <w:left w:val="none" w:sz="0" w:space="0" w:color="auto"/>
            <w:bottom w:val="none" w:sz="0" w:space="0" w:color="auto"/>
            <w:right w:val="none" w:sz="0" w:space="0" w:color="auto"/>
          </w:divBdr>
          <w:divsChild>
            <w:div w:id="1740596143">
              <w:marLeft w:val="0"/>
              <w:marRight w:val="0"/>
              <w:marTop w:val="105"/>
              <w:marBottom w:val="0"/>
              <w:divBdr>
                <w:top w:val="none" w:sz="0" w:space="0" w:color="auto"/>
                <w:left w:val="none" w:sz="0" w:space="0" w:color="auto"/>
                <w:bottom w:val="none" w:sz="0" w:space="0" w:color="auto"/>
                <w:right w:val="none" w:sz="0" w:space="0" w:color="auto"/>
              </w:divBdr>
            </w:div>
            <w:div w:id="1198274058">
              <w:marLeft w:val="0"/>
              <w:marRight w:val="0"/>
              <w:marTop w:val="0"/>
              <w:marBottom w:val="0"/>
              <w:divBdr>
                <w:top w:val="none" w:sz="0" w:space="0" w:color="auto"/>
                <w:left w:val="none" w:sz="0" w:space="0" w:color="auto"/>
                <w:bottom w:val="none" w:sz="0" w:space="0" w:color="auto"/>
                <w:right w:val="none" w:sz="0" w:space="0" w:color="auto"/>
              </w:divBdr>
              <w:divsChild>
                <w:div w:id="1186599612">
                  <w:marLeft w:val="255"/>
                  <w:marRight w:val="0"/>
                  <w:marTop w:val="0"/>
                  <w:marBottom w:val="0"/>
                  <w:divBdr>
                    <w:top w:val="none" w:sz="0" w:space="0" w:color="auto"/>
                    <w:left w:val="none" w:sz="0" w:space="0" w:color="auto"/>
                    <w:bottom w:val="none" w:sz="0" w:space="0" w:color="auto"/>
                    <w:right w:val="none" w:sz="0" w:space="0" w:color="auto"/>
                  </w:divBdr>
                </w:div>
              </w:divsChild>
            </w:div>
            <w:div w:id="138426807">
              <w:marLeft w:val="0"/>
              <w:marRight w:val="0"/>
              <w:marTop w:val="0"/>
              <w:marBottom w:val="0"/>
              <w:divBdr>
                <w:top w:val="none" w:sz="0" w:space="0" w:color="auto"/>
                <w:left w:val="none" w:sz="0" w:space="0" w:color="auto"/>
                <w:bottom w:val="none" w:sz="0" w:space="0" w:color="auto"/>
                <w:right w:val="none" w:sz="0" w:space="0" w:color="auto"/>
              </w:divBdr>
              <w:divsChild>
                <w:div w:id="1123619518">
                  <w:marLeft w:val="255"/>
                  <w:marRight w:val="0"/>
                  <w:marTop w:val="0"/>
                  <w:marBottom w:val="0"/>
                  <w:divBdr>
                    <w:top w:val="none" w:sz="0" w:space="0" w:color="auto"/>
                    <w:left w:val="none" w:sz="0" w:space="0" w:color="auto"/>
                    <w:bottom w:val="none" w:sz="0" w:space="0" w:color="auto"/>
                    <w:right w:val="none" w:sz="0" w:space="0" w:color="auto"/>
                  </w:divBdr>
                </w:div>
              </w:divsChild>
            </w:div>
            <w:div w:id="1981574315">
              <w:marLeft w:val="0"/>
              <w:marRight w:val="0"/>
              <w:marTop w:val="0"/>
              <w:marBottom w:val="0"/>
              <w:divBdr>
                <w:top w:val="none" w:sz="0" w:space="0" w:color="auto"/>
                <w:left w:val="none" w:sz="0" w:space="0" w:color="auto"/>
                <w:bottom w:val="none" w:sz="0" w:space="0" w:color="auto"/>
                <w:right w:val="none" w:sz="0" w:space="0" w:color="auto"/>
              </w:divBdr>
              <w:divsChild>
                <w:div w:id="1150901030">
                  <w:marLeft w:val="255"/>
                  <w:marRight w:val="0"/>
                  <w:marTop w:val="0"/>
                  <w:marBottom w:val="0"/>
                  <w:divBdr>
                    <w:top w:val="none" w:sz="0" w:space="0" w:color="auto"/>
                    <w:left w:val="none" w:sz="0" w:space="0" w:color="auto"/>
                    <w:bottom w:val="none" w:sz="0" w:space="0" w:color="auto"/>
                    <w:right w:val="none" w:sz="0" w:space="0" w:color="auto"/>
                  </w:divBdr>
                </w:div>
              </w:divsChild>
            </w:div>
            <w:div w:id="1539855188">
              <w:marLeft w:val="0"/>
              <w:marRight w:val="0"/>
              <w:marTop w:val="0"/>
              <w:marBottom w:val="0"/>
              <w:divBdr>
                <w:top w:val="none" w:sz="0" w:space="0" w:color="auto"/>
                <w:left w:val="none" w:sz="0" w:space="0" w:color="auto"/>
                <w:bottom w:val="none" w:sz="0" w:space="0" w:color="auto"/>
                <w:right w:val="none" w:sz="0" w:space="0" w:color="auto"/>
              </w:divBdr>
              <w:divsChild>
                <w:div w:id="256599613">
                  <w:marLeft w:val="255"/>
                  <w:marRight w:val="0"/>
                  <w:marTop w:val="0"/>
                  <w:marBottom w:val="0"/>
                  <w:divBdr>
                    <w:top w:val="none" w:sz="0" w:space="0" w:color="auto"/>
                    <w:left w:val="none" w:sz="0" w:space="0" w:color="auto"/>
                    <w:bottom w:val="none" w:sz="0" w:space="0" w:color="auto"/>
                    <w:right w:val="none" w:sz="0" w:space="0" w:color="auto"/>
                  </w:divBdr>
                </w:div>
              </w:divsChild>
            </w:div>
            <w:div w:id="982350425">
              <w:marLeft w:val="0"/>
              <w:marRight w:val="0"/>
              <w:marTop w:val="0"/>
              <w:marBottom w:val="0"/>
              <w:divBdr>
                <w:top w:val="none" w:sz="0" w:space="0" w:color="auto"/>
                <w:left w:val="none" w:sz="0" w:space="0" w:color="auto"/>
                <w:bottom w:val="none" w:sz="0" w:space="0" w:color="auto"/>
                <w:right w:val="none" w:sz="0" w:space="0" w:color="auto"/>
              </w:divBdr>
              <w:divsChild>
                <w:div w:id="1864127832">
                  <w:marLeft w:val="255"/>
                  <w:marRight w:val="0"/>
                  <w:marTop w:val="0"/>
                  <w:marBottom w:val="0"/>
                  <w:divBdr>
                    <w:top w:val="none" w:sz="0" w:space="0" w:color="auto"/>
                    <w:left w:val="none" w:sz="0" w:space="0" w:color="auto"/>
                    <w:bottom w:val="none" w:sz="0" w:space="0" w:color="auto"/>
                    <w:right w:val="none" w:sz="0" w:space="0" w:color="auto"/>
                  </w:divBdr>
                </w:div>
              </w:divsChild>
            </w:div>
            <w:div w:id="1343432851">
              <w:marLeft w:val="0"/>
              <w:marRight w:val="0"/>
              <w:marTop w:val="0"/>
              <w:marBottom w:val="0"/>
              <w:divBdr>
                <w:top w:val="none" w:sz="0" w:space="0" w:color="auto"/>
                <w:left w:val="none" w:sz="0" w:space="0" w:color="auto"/>
                <w:bottom w:val="none" w:sz="0" w:space="0" w:color="auto"/>
                <w:right w:val="none" w:sz="0" w:space="0" w:color="auto"/>
              </w:divBdr>
              <w:divsChild>
                <w:div w:id="1405420753">
                  <w:marLeft w:val="255"/>
                  <w:marRight w:val="0"/>
                  <w:marTop w:val="0"/>
                  <w:marBottom w:val="0"/>
                  <w:divBdr>
                    <w:top w:val="none" w:sz="0" w:space="0" w:color="auto"/>
                    <w:left w:val="none" w:sz="0" w:space="0" w:color="auto"/>
                    <w:bottom w:val="none" w:sz="0" w:space="0" w:color="auto"/>
                    <w:right w:val="none" w:sz="0" w:space="0" w:color="auto"/>
                  </w:divBdr>
                </w:div>
              </w:divsChild>
            </w:div>
            <w:div w:id="1356344520">
              <w:marLeft w:val="0"/>
              <w:marRight w:val="0"/>
              <w:marTop w:val="0"/>
              <w:marBottom w:val="0"/>
              <w:divBdr>
                <w:top w:val="none" w:sz="0" w:space="0" w:color="auto"/>
                <w:left w:val="none" w:sz="0" w:space="0" w:color="auto"/>
                <w:bottom w:val="none" w:sz="0" w:space="0" w:color="auto"/>
                <w:right w:val="none" w:sz="0" w:space="0" w:color="auto"/>
              </w:divBdr>
              <w:divsChild>
                <w:div w:id="533344835">
                  <w:marLeft w:val="255"/>
                  <w:marRight w:val="0"/>
                  <w:marTop w:val="0"/>
                  <w:marBottom w:val="0"/>
                  <w:divBdr>
                    <w:top w:val="none" w:sz="0" w:space="0" w:color="auto"/>
                    <w:left w:val="none" w:sz="0" w:space="0" w:color="auto"/>
                    <w:bottom w:val="none" w:sz="0" w:space="0" w:color="auto"/>
                    <w:right w:val="none" w:sz="0" w:space="0" w:color="auto"/>
                  </w:divBdr>
                </w:div>
              </w:divsChild>
            </w:div>
            <w:div w:id="792790934">
              <w:marLeft w:val="0"/>
              <w:marRight w:val="0"/>
              <w:marTop w:val="0"/>
              <w:marBottom w:val="0"/>
              <w:divBdr>
                <w:top w:val="none" w:sz="0" w:space="0" w:color="auto"/>
                <w:left w:val="none" w:sz="0" w:space="0" w:color="auto"/>
                <w:bottom w:val="none" w:sz="0" w:space="0" w:color="auto"/>
                <w:right w:val="none" w:sz="0" w:space="0" w:color="auto"/>
              </w:divBdr>
              <w:divsChild>
                <w:div w:id="154879155">
                  <w:marLeft w:val="255"/>
                  <w:marRight w:val="0"/>
                  <w:marTop w:val="0"/>
                  <w:marBottom w:val="0"/>
                  <w:divBdr>
                    <w:top w:val="none" w:sz="0" w:space="0" w:color="auto"/>
                    <w:left w:val="none" w:sz="0" w:space="0" w:color="auto"/>
                    <w:bottom w:val="none" w:sz="0" w:space="0" w:color="auto"/>
                    <w:right w:val="none" w:sz="0" w:space="0" w:color="auto"/>
                  </w:divBdr>
                </w:div>
              </w:divsChild>
            </w:div>
            <w:div w:id="1109550451">
              <w:marLeft w:val="0"/>
              <w:marRight w:val="0"/>
              <w:marTop w:val="0"/>
              <w:marBottom w:val="0"/>
              <w:divBdr>
                <w:top w:val="none" w:sz="0" w:space="0" w:color="auto"/>
                <w:left w:val="none" w:sz="0" w:space="0" w:color="auto"/>
                <w:bottom w:val="none" w:sz="0" w:space="0" w:color="auto"/>
                <w:right w:val="none" w:sz="0" w:space="0" w:color="auto"/>
              </w:divBdr>
              <w:divsChild>
                <w:div w:id="5134221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05276601">
          <w:marLeft w:val="0"/>
          <w:marRight w:val="0"/>
          <w:marTop w:val="0"/>
          <w:marBottom w:val="0"/>
          <w:divBdr>
            <w:top w:val="none" w:sz="0" w:space="0" w:color="auto"/>
            <w:left w:val="none" w:sz="0" w:space="0" w:color="auto"/>
            <w:bottom w:val="none" w:sz="0" w:space="0" w:color="auto"/>
            <w:right w:val="none" w:sz="0" w:space="0" w:color="auto"/>
          </w:divBdr>
          <w:divsChild>
            <w:div w:id="872034811">
              <w:marLeft w:val="0"/>
              <w:marRight w:val="0"/>
              <w:marTop w:val="105"/>
              <w:marBottom w:val="0"/>
              <w:divBdr>
                <w:top w:val="none" w:sz="0" w:space="0" w:color="auto"/>
                <w:left w:val="none" w:sz="0" w:space="0" w:color="auto"/>
                <w:bottom w:val="none" w:sz="0" w:space="0" w:color="auto"/>
                <w:right w:val="none" w:sz="0" w:space="0" w:color="auto"/>
              </w:divBdr>
            </w:div>
            <w:div w:id="1055205685">
              <w:marLeft w:val="0"/>
              <w:marRight w:val="0"/>
              <w:marTop w:val="0"/>
              <w:marBottom w:val="0"/>
              <w:divBdr>
                <w:top w:val="none" w:sz="0" w:space="0" w:color="auto"/>
                <w:left w:val="none" w:sz="0" w:space="0" w:color="auto"/>
                <w:bottom w:val="none" w:sz="0" w:space="0" w:color="auto"/>
                <w:right w:val="none" w:sz="0" w:space="0" w:color="auto"/>
              </w:divBdr>
              <w:divsChild>
                <w:div w:id="29692804">
                  <w:marLeft w:val="255"/>
                  <w:marRight w:val="0"/>
                  <w:marTop w:val="0"/>
                  <w:marBottom w:val="0"/>
                  <w:divBdr>
                    <w:top w:val="none" w:sz="0" w:space="0" w:color="auto"/>
                    <w:left w:val="none" w:sz="0" w:space="0" w:color="auto"/>
                    <w:bottom w:val="none" w:sz="0" w:space="0" w:color="auto"/>
                    <w:right w:val="none" w:sz="0" w:space="0" w:color="auto"/>
                  </w:divBdr>
                </w:div>
              </w:divsChild>
            </w:div>
            <w:div w:id="1675647725">
              <w:marLeft w:val="0"/>
              <w:marRight w:val="0"/>
              <w:marTop w:val="0"/>
              <w:marBottom w:val="0"/>
              <w:divBdr>
                <w:top w:val="none" w:sz="0" w:space="0" w:color="auto"/>
                <w:left w:val="none" w:sz="0" w:space="0" w:color="auto"/>
                <w:bottom w:val="none" w:sz="0" w:space="0" w:color="auto"/>
                <w:right w:val="none" w:sz="0" w:space="0" w:color="auto"/>
              </w:divBdr>
              <w:divsChild>
                <w:div w:id="1795052873">
                  <w:marLeft w:val="255"/>
                  <w:marRight w:val="0"/>
                  <w:marTop w:val="0"/>
                  <w:marBottom w:val="0"/>
                  <w:divBdr>
                    <w:top w:val="none" w:sz="0" w:space="0" w:color="auto"/>
                    <w:left w:val="none" w:sz="0" w:space="0" w:color="auto"/>
                    <w:bottom w:val="none" w:sz="0" w:space="0" w:color="auto"/>
                    <w:right w:val="none" w:sz="0" w:space="0" w:color="auto"/>
                  </w:divBdr>
                </w:div>
              </w:divsChild>
            </w:div>
            <w:div w:id="395935619">
              <w:marLeft w:val="0"/>
              <w:marRight w:val="0"/>
              <w:marTop w:val="0"/>
              <w:marBottom w:val="0"/>
              <w:divBdr>
                <w:top w:val="none" w:sz="0" w:space="0" w:color="auto"/>
                <w:left w:val="none" w:sz="0" w:space="0" w:color="auto"/>
                <w:bottom w:val="none" w:sz="0" w:space="0" w:color="auto"/>
                <w:right w:val="none" w:sz="0" w:space="0" w:color="auto"/>
              </w:divBdr>
              <w:divsChild>
                <w:div w:id="1799881312">
                  <w:marLeft w:val="255"/>
                  <w:marRight w:val="0"/>
                  <w:marTop w:val="0"/>
                  <w:marBottom w:val="0"/>
                  <w:divBdr>
                    <w:top w:val="none" w:sz="0" w:space="0" w:color="auto"/>
                    <w:left w:val="none" w:sz="0" w:space="0" w:color="auto"/>
                    <w:bottom w:val="none" w:sz="0" w:space="0" w:color="auto"/>
                    <w:right w:val="none" w:sz="0" w:space="0" w:color="auto"/>
                  </w:divBdr>
                </w:div>
              </w:divsChild>
            </w:div>
            <w:div w:id="1109394098">
              <w:marLeft w:val="0"/>
              <w:marRight w:val="0"/>
              <w:marTop w:val="0"/>
              <w:marBottom w:val="0"/>
              <w:divBdr>
                <w:top w:val="none" w:sz="0" w:space="0" w:color="auto"/>
                <w:left w:val="none" w:sz="0" w:space="0" w:color="auto"/>
                <w:bottom w:val="none" w:sz="0" w:space="0" w:color="auto"/>
                <w:right w:val="none" w:sz="0" w:space="0" w:color="auto"/>
              </w:divBdr>
              <w:divsChild>
                <w:div w:id="2052267612">
                  <w:marLeft w:val="255"/>
                  <w:marRight w:val="0"/>
                  <w:marTop w:val="0"/>
                  <w:marBottom w:val="0"/>
                  <w:divBdr>
                    <w:top w:val="none" w:sz="0" w:space="0" w:color="auto"/>
                    <w:left w:val="none" w:sz="0" w:space="0" w:color="auto"/>
                    <w:bottom w:val="none" w:sz="0" w:space="0" w:color="auto"/>
                    <w:right w:val="none" w:sz="0" w:space="0" w:color="auto"/>
                  </w:divBdr>
                </w:div>
              </w:divsChild>
            </w:div>
            <w:div w:id="1068381128">
              <w:marLeft w:val="0"/>
              <w:marRight w:val="0"/>
              <w:marTop w:val="0"/>
              <w:marBottom w:val="0"/>
              <w:divBdr>
                <w:top w:val="none" w:sz="0" w:space="0" w:color="auto"/>
                <w:left w:val="none" w:sz="0" w:space="0" w:color="auto"/>
                <w:bottom w:val="none" w:sz="0" w:space="0" w:color="auto"/>
                <w:right w:val="none" w:sz="0" w:space="0" w:color="auto"/>
              </w:divBdr>
              <w:divsChild>
                <w:div w:id="1876502172">
                  <w:marLeft w:val="255"/>
                  <w:marRight w:val="0"/>
                  <w:marTop w:val="0"/>
                  <w:marBottom w:val="0"/>
                  <w:divBdr>
                    <w:top w:val="none" w:sz="0" w:space="0" w:color="auto"/>
                    <w:left w:val="none" w:sz="0" w:space="0" w:color="auto"/>
                    <w:bottom w:val="none" w:sz="0" w:space="0" w:color="auto"/>
                    <w:right w:val="none" w:sz="0" w:space="0" w:color="auto"/>
                  </w:divBdr>
                </w:div>
              </w:divsChild>
            </w:div>
            <w:div w:id="623776158">
              <w:marLeft w:val="0"/>
              <w:marRight w:val="0"/>
              <w:marTop w:val="0"/>
              <w:marBottom w:val="0"/>
              <w:divBdr>
                <w:top w:val="none" w:sz="0" w:space="0" w:color="auto"/>
                <w:left w:val="none" w:sz="0" w:space="0" w:color="auto"/>
                <w:bottom w:val="none" w:sz="0" w:space="0" w:color="auto"/>
                <w:right w:val="none" w:sz="0" w:space="0" w:color="auto"/>
              </w:divBdr>
              <w:divsChild>
                <w:div w:id="1866756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20544381">
          <w:marLeft w:val="0"/>
          <w:marRight w:val="0"/>
          <w:marTop w:val="0"/>
          <w:marBottom w:val="0"/>
          <w:divBdr>
            <w:top w:val="none" w:sz="0" w:space="0" w:color="auto"/>
            <w:left w:val="none" w:sz="0" w:space="0" w:color="auto"/>
            <w:bottom w:val="none" w:sz="0" w:space="0" w:color="auto"/>
            <w:right w:val="none" w:sz="0" w:space="0" w:color="auto"/>
          </w:divBdr>
          <w:divsChild>
            <w:div w:id="606277210">
              <w:marLeft w:val="0"/>
              <w:marRight w:val="0"/>
              <w:marTop w:val="105"/>
              <w:marBottom w:val="0"/>
              <w:divBdr>
                <w:top w:val="none" w:sz="0" w:space="0" w:color="auto"/>
                <w:left w:val="none" w:sz="0" w:space="0" w:color="auto"/>
                <w:bottom w:val="none" w:sz="0" w:space="0" w:color="auto"/>
                <w:right w:val="none" w:sz="0" w:space="0" w:color="auto"/>
              </w:divBdr>
            </w:div>
          </w:divsChild>
        </w:div>
        <w:div w:id="178128679">
          <w:marLeft w:val="0"/>
          <w:marRight w:val="0"/>
          <w:marTop w:val="0"/>
          <w:marBottom w:val="0"/>
          <w:divBdr>
            <w:top w:val="none" w:sz="0" w:space="0" w:color="auto"/>
            <w:left w:val="none" w:sz="0" w:space="0" w:color="auto"/>
            <w:bottom w:val="none" w:sz="0" w:space="0" w:color="auto"/>
            <w:right w:val="none" w:sz="0" w:space="0" w:color="auto"/>
          </w:divBdr>
          <w:divsChild>
            <w:div w:id="1112632998">
              <w:marLeft w:val="0"/>
              <w:marRight w:val="0"/>
              <w:marTop w:val="105"/>
              <w:marBottom w:val="0"/>
              <w:divBdr>
                <w:top w:val="none" w:sz="0" w:space="0" w:color="auto"/>
                <w:left w:val="none" w:sz="0" w:space="0" w:color="auto"/>
                <w:bottom w:val="none" w:sz="0" w:space="0" w:color="auto"/>
                <w:right w:val="none" w:sz="0" w:space="0" w:color="auto"/>
              </w:divBdr>
            </w:div>
          </w:divsChild>
        </w:div>
        <w:div w:id="2064206866">
          <w:marLeft w:val="0"/>
          <w:marRight w:val="0"/>
          <w:marTop w:val="0"/>
          <w:marBottom w:val="0"/>
          <w:divBdr>
            <w:top w:val="none" w:sz="0" w:space="0" w:color="auto"/>
            <w:left w:val="none" w:sz="0" w:space="0" w:color="auto"/>
            <w:bottom w:val="none" w:sz="0" w:space="0" w:color="auto"/>
            <w:right w:val="none" w:sz="0" w:space="0" w:color="auto"/>
          </w:divBdr>
          <w:divsChild>
            <w:div w:id="1995331179">
              <w:marLeft w:val="0"/>
              <w:marRight w:val="0"/>
              <w:marTop w:val="105"/>
              <w:marBottom w:val="0"/>
              <w:divBdr>
                <w:top w:val="none" w:sz="0" w:space="0" w:color="auto"/>
                <w:left w:val="none" w:sz="0" w:space="0" w:color="auto"/>
                <w:bottom w:val="none" w:sz="0" w:space="0" w:color="auto"/>
                <w:right w:val="none" w:sz="0" w:space="0" w:color="auto"/>
              </w:divBdr>
            </w:div>
          </w:divsChild>
        </w:div>
        <w:div w:id="1882938931">
          <w:marLeft w:val="0"/>
          <w:marRight w:val="0"/>
          <w:marTop w:val="0"/>
          <w:marBottom w:val="0"/>
          <w:divBdr>
            <w:top w:val="none" w:sz="0" w:space="0" w:color="auto"/>
            <w:left w:val="none" w:sz="0" w:space="0" w:color="auto"/>
            <w:bottom w:val="none" w:sz="0" w:space="0" w:color="auto"/>
            <w:right w:val="none" w:sz="0" w:space="0" w:color="auto"/>
          </w:divBdr>
          <w:divsChild>
            <w:div w:id="1517621856">
              <w:marLeft w:val="0"/>
              <w:marRight w:val="0"/>
              <w:marTop w:val="105"/>
              <w:marBottom w:val="0"/>
              <w:divBdr>
                <w:top w:val="none" w:sz="0" w:space="0" w:color="auto"/>
                <w:left w:val="none" w:sz="0" w:space="0" w:color="auto"/>
                <w:bottom w:val="none" w:sz="0" w:space="0" w:color="auto"/>
                <w:right w:val="none" w:sz="0" w:space="0" w:color="auto"/>
              </w:divBdr>
            </w:div>
          </w:divsChild>
        </w:div>
        <w:div w:id="769201174">
          <w:marLeft w:val="0"/>
          <w:marRight w:val="0"/>
          <w:marTop w:val="0"/>
          <w:marBottom w:val="0"/>
          <w:divBdr>
            <w:top w:val="none" w:sz="0" w:space="0" w:color="auto"/>
            <w:left w:val="none" w:sz="0" w:space="0" w:color="auto"/>
            <w:bottom w:val="none" w:sz="0" w:space="0" w:color="auto"/>
            <w:right w:val="none" w:sz="0" w:space="0" w:color="auto"/>
          </w:divBdr>
          <w:divsChild>
            <w:div w:id="20669523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190922">
      <w:bodyDiv w:val="1"/>
      <w:marLeft w:val="0"/>
      <w:marRight w:val="0"/>
      <w:marTop w:val="0"/>
      <w:marBottom w:val="0"/>
      <w:divBdr>
        <w:top w:val="none" w:sz="0" w:space="0" w:color="auto"/>
        <w:left w:val="none" w:sz="0" w:space="0" w:color="auto"/>
        <w:bottom w:val="none" w:sz="0" w:space="0" w:color="auto"/>
        <w:right w:val="none" w:sz="0" w:space="0" w:color="auto"/>
      </w:divBdr>
      <w:divsChild>
        <w:div w:id="1184901279">
          <w:marLeft w:val="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105"/>
              <w:marBottom w:val="0"/>
              <w:divBdr>
                <w:top w:val="none" w:sz="0" w:space="0" w:color="auto"/>
                <w:left w:val="none" w:sz="0" w:space="0" w:color="auto"/>
                <w:bottom w:val="none" w:sz="0" w:space="0" w:color="auto"/>
                <w:right w:val="none" w:sz="0" w:space="0" w:color="auto"/>
              </w:divBdr>
            </w:div>
          </w:divsChild>
        </w:div>
        <w:div w:id="1793091521">
          <w:marLeft w:val="0"/>
          <w:marRight w:val="0"/>
          <w:marTop w:val="0"/>
          <w:marBottom w:val="0"/>
          <w:divBdr>
            <w:top w:val="none" w:sz="0" w:space="0" w:color="auto"/>
            <w:left w:val="none" w:sz="0" w:space="0" w:color="auto"/>
            <w:bottom w:val="none" w:sz="0" w:space="0" w:color="auto"/>
            <w:right w:val="none" w:sz="0" w:space="0" w:color="auto"/>
          </w:divBdr>
          <w:divsChild>
            <w:div w:id="1837770201">
              <w:marLeft w:val="0"/>
              <w:marRight w:val="0"/>
              <w:marTop w:val="105"/>
              <w:marBottom w:val="0"/>
              <w:divBdr>
                <w:top w:val="none" w:sz="0" w:space="0" w:color="auto"/>
                <w:left w:val="none" w:sz="0" w:space="0" w:color="auto"/>
                <w:bottom w:val="none" w:sz="0" w:space="0" w:color="auto"/>
                <w:right w:val="none" w:sz="0" w:space="0" w:color="auto"/>
              </w:divBdr>
            </w:div>
            <w:div w:id="424427163">
              <w:marLeft w:val="0"/>
              <w:marRight w:val="0"/>
              <w:marTop w:val="0"/>
              <w:marBottom w:val="0"/>
              <w:divBdr>
                <w:top w:val="none" w:sz="0" w:space="0" w:color="auto"/>
                <w:left w:val="none" w:sz="0" w:space="0" w:color="auto"/>
                <w:bottom w:val="none" w:sz="0" w:space="0" w:color="auto"/>
                <w:right w:val="none" w:sz="0" w:space="0" w:color="auto"/>
              </w:divBdr>
              <w:divsChild>
                <w:div w:id="2000494254">
                  <w:marLeft w:val="255"/>
                  <w:marRight w:val="0"/>
                  <w:marTop w:val="0"/>
                  <w:marBottom w:val="0"/>
                  <w:divBdr>
                    <w:top w:val="none" w:sz="0" w:space="0" w:color="auto"/>
                    <w:left w:val="none" w:sz="0" w:space="0" w:color="auto"/>
                    <w:bottom w:val="none" w:sz="0" w:space="0" w:color="auto"/>
                    <w:right w:val="none" w:sz="0" w:space="0" w:color="auto"/>
                  </w:divBdr>
                </w:div>
              </w:divsChild>
            </w:div>
            <w:div w:id="1164275623">
              <w:marLeft w:val="0"/>
              <w:marRight w:val="0"/>
              <w:marTop w:val="0"/>
              <w:marBottom w:val="0"/>
              <w:divBdr>
                <w:top w:val="none" w:sz="0" w:space="0" w:color="auto"/>
                <w:left w:val="none" w:sz="0" w:space="0" w:color="auto"/>
                <w:bottom w:val="none" w:sz="0" w:space="0" w:color="auto"/>
                <w:right w:val="none" w:sz="0" w:space="0" w:color="auto"/>
              </w:divBdr>
              <w:divsChild>
                <w:div w:id="1772552280">
                  <w:marLeft w:val="255"/>
                  <w:marRight w:val="0"/>
                  <w:marTop w:val="0"/>
                  <w:marBottom w:val="0"/>
                  <w:divBdr>
                    <w:top w:val="none" w:sz="0" w:space="0" w:color="auto"/>
                    <w:left w:val="none" w:sz="0" w:space="0" w:color="auto"/>
                    <w:bottom w:val="none" w:sz="0" w:space="0" w:color="auto"/>
                    <w:right w:val="none" w:sz="0" w:space="0" w:color="auto"/>
                  </w:divBdr>
                </w:div>
              </w:divsChild>
            </w:div>
            <w:div w:id="55401618">
              <w:marLeft w:val="0"/>
              <w:marRight w:val="0"/>
              <w:marTop w:val="0"/>
              <w:marBottom w:val="0"/>
              <w:divBdr>
                <w:top w:val="none" w:sz="0" w:space="0" w:color="auto"/>
                <w:left w:val="none" w:sz="0" w:space="0" w:color="auto"/>
                <w:bottom w:val="none" w:sz="0" w:space="0" w:color="auto"/>
                <w:right w:val="none" w:sz="0" w:space="0" w:color="auto"/>
              </w:divBdr>
              <w:divsChild>
                <w:div w:id="1746170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93264015">
          <w:marLeft w:val="0"/>
          <w:marRight w:val="0"/>
          <w:marTop w:val="0"/>
          <w:marBottom w:val="0"/>
          <w:divBdr>
            <w:top w:val="none" w:sz="0" w:space="0" w:color="auto"/>
            <w:left w:val="none" w:sz="0" w:space="0" w:color="auto"/>
            <w:bottom w:val="none" w:sz="0" w:space="0" w:color="auto"/>
            <w:right w:val="none" w:sz="0" w:space="0" w:color="auto"/>
          </w:divBdr>
          <w:divsChild>
            <w:div w:id="19885828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2376061">
      <w:bodyDiv w:val="1"/>
      <w:marLeft w:val="0"/>
      <w:marRight w:val="0"/>
      <w:marTop w:val="0"/>
      <w:marBottom w:val="0"/>
      <w:divBdr>
        <w:top w:val="none" w:sz="0" w:space="0" w:color="auto"/>
        <w:left w:val="none" w:sz="0" w:space="0" w:color="auto"/>
        <w:bottom w:val="none" w:sz="0" w:space="0" w:color="auto"/>
        <w:right w:val="none" w:sz="0" w:space="0" w:color="auto"/>
      </w:divBdr>
      <w:divsChild>
        <w:div w:id="341787427">
          <w:marLeft w:val="0"/>
          <w:marRight w:val="0"/>
          <w:marTop w:val="0"/>
          <w:marBottom w:val="0"/>
          <w:divBdr>
            <w:top w:val="none" w:sz="0" w:space="0" w:color="auto"/>
            <w:left w:val="none" w:sz="0" w:space="0" w:color="auto"/>
            <w:bottom w:val="none" w:sz="0" w:space="0" w:color="auto"/>
            <w:right w:val="none" w:sz="0" w:space="0" w:color="auto"/>
          </w:divBdr>
          <w:divsChild>
            <w:div w:id="1465856591">
              <w:marLeft w:val="0"/>
              <w:marRight w:val="0"/>
              <w:marTop w:val="105"/>
              <w:marBottom w:val="0"/>
              <w:divBdr>
                <w:top w:val="none" w:sz="0" w:space="0" w:color="auto"/>
                <w:left w:val="none" w:sz="0" w:space="0" w:color="auto"/>
                <w:bottom w:val="none" w:sz="0" w:space="0" w:color="auto"/>
                <w:right w:val="none" w:sz="0" w:space="0" w:color="auto"/>
              </w:divBdr>
            </w:div>
            <w:div w:id="162860550">
              <w:marLeft w:val="0"/>
              <w:marRight w:val="0"/>
              <w:marTop w:val="0"/>
              <w:marBottom w:val="0"/>
              <w:divBdr>
                <w:top w:val="none" w:sz="0" w:space="0" w:color="auto"/>
                <w:left w:val="none" w:sz="0" w:space="0" w:color="auto"/>
                <w:bottom w:val="none" w:sz="0" w:space="0" w:color="auto"/>
                <w:right w:val="none" w:sz="0" w:space="0" w:color="auto"/>
              </w:divBdr>
              <w:divsChild>
                <w:div w:id="453983420">
                  <w:marLeft w:val="255"/>
                  <w:marRight w:val="0"/>
                  <w:marTop w:val="0"/>
                  <w:marBottom w:val="0"/>
                  <w:divBdr>
                    <w:top w:val="none" w:sz="0" w:space="0" w:color="auto"/>
                    <w:left w:val="none" w:sz="0" w:space="0" w:color="auto"/>
                    <w:bottom w:val="none" w:sz="0" w:space="0" w:color="auto"/>
                    <w:right w:val="none" w:sz="0" w:space="0" w:color="auto"/>
                  </w:divBdr>
                </w:div>
              </w:divsChild>
            </w:div>
            <w:div w:id="1628780014">
              <w:marLeft w:val="0"/>
              <w:marRight w:val="0"/>
              <w:marTop w:val="0"/>
              <w:marBottom w:val="0"/>
              <w:divBdr>
                <w:top w:val="none" w:sz="0" w:space="0" w:color="auto"/>
                <w:left w:val="none" w:sz="0" w:space="0" w:color="auto"/>
                <w:bottom w:val="none" w:sz="0" w:space="0" w:color="auto"/>
                <w:right w:val="none" w:sz="0" w:space="0" w:color="auto"/>
              </w:divBdr>
              <w:divsChild>
                <w:div w:id="3765905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66461646">
          <w:marLeft w:val="0"/>
          <w:marRight w:val="0"/>
          <w:marTop w:val="0"/>
          <w:marBottom w:val="0"/>
          <w:divBdr>
            <w:top w:val="none" w:sz="0" w:space="0" w:color="auto"/>
            <w:left w:val="none" w:sz="0" w:space="0" w:color="auto"/>
            <w:bottom w:val="none" w:sz="0" w:space="0" w:color="auto"/>
            <w:right w:val="none" w:sz="0" w:space="0" w:color="auto"/>
          </w:divBdr>
          <w:divsChild>
            <w:div w:id="1140534909">
              <w:marLeft w:val="0"/>
              <w:marRight w:val="0"/>
              <w:marTop w:val="105"/>
              <w:marBottom w:val="0"/>
              <w:divBdr>
                <w:top w:val="none" w:sz="0" w:space="0" w:color="auto"/>
                <w:left w:val="none" w:sz="0" w:space="0" w:color="auto"/>
                <w:bottom w:val="none" w:sz="0" w:space="0" w:color="auto"/>
                <w:right w:val="none" w:sz="0" w:space="0" w:color="auto"/>
              </w:divBdr>
            </w:div>
            <w:div w:id="414665196">
              <w:marLeft w:val="0"/>
              <w:marRight w:val="0"/>
              <w:marTop w:val="0"/>
              <w:marBottom w:val="0"/>
              <w:divBdr>
                <w:top w:val="none" w:sz="0" w:space="0" w:color="auto"/>
                <w:left w:val="none" w:sz="0" w:space="0" w:color="auto"/>
                <w:bottom w:val="none" w:sz="0" w:space="0" w:color="auto"/>
                <w:right w:val="none" w:sz="0" w:space="0" w:color="auto"/>
              </w:divBdr>
              <w:divsChild>
                <w:div w:id="392966408">
                  <w:marLeft w:val="255"/>
                  <w:marRight w:val="0"/>
                  <w:marTop w:val="0"/>
                  <w:marBottom w:val="0"/>
                  <w:divBdr>
                    <w:top w:val="none" w:sz="0" w:space="0" w:color="auto"/>
                    <w:left w:val="none" w:sz="0" w:space="0" w:color="auto"/>
                    <w:bottom w:val="none" w:sz="0" w:space="0" w:color="auto"/>
                    <w:right w:val="none" w:sz="0" w:space="0" w:color="auto"/>
                  </w:divBdr>
                </w:div>
              </w:divsChild>
            </w:div>
            <w:div w:id="258636010">
              <w:marLeft w:val="0"/>
              <w:marRight w:val="0"/>
              <w:marTop w:val="0"/>
              <w:marBottom w:val="0"/>
              <w:divBdr>
                <w:top w:val="none" w:sz="0" w:space="0" w:color="auto"/>
                <w:left w:val="none" w:sz="0" w:space="0" w:color="auto"/>
                <w:bottom w:val="none" w:sz="0" w:space="0" w:color="auto"/>
                <w:right w:val="none" w:sz="0" w:space="0" w:color="auto"/>
              </w:divBdr>
              <w:divsChild>
                <w:div w:id="1863591662">
                  <w:marLeft w:val="255"/>
                  <w:marRight w:val="0"/>
                  <w:marTop w:val="0"/>
                  <w:marBottom w:val="0"/>
                  <w:divBdr>
                    <w:top w:val="none" w:sz="0" w:space="0" w:color="auto"/>
                    <w:left w:val="none" w:sz="0" w:space="0" w:color="auto"/>
                    <w:bottom w:val="none" w:sz="0" w:space="0" w:color="auto"/>
                    <w:right w:val="none" w:sz="0" w:space="0" w:color="auto"/>
                  </w:divBdr>
                </w:div>
              </w:divsChild>
            </w:div>
            <w:div w:id="457531204">
              <w:marLeft w:val="0"/>
              <w:marRight w:val="0"/>
              <w:marTop w:val="0"/>
              <w:marBottom w:val="0"/>
              <w:divBdr>
                <w:top w:val="none" w:sz="0" w:space="0" w:color="auto"/>
                <w:left w:val="none" w:sz="0" w:space="0" w:color="auto"/>
                <w:bottom w:val="none" w:sz="0" w:space="0" w:color="auto"/>
                <w:right w:val="none" w:sz="0" w:space="0" w:color="auto"/>
              </w:divBdr>
              <w:divsChild>
                <w:div w:id="1660496302">
                  <w:marLeft w:val="255"/>
                  <w:marRight w:val="0"/>
                  <w:marTop w:val="0"/>
                  <w:marBottom w:val="0"/>
                  <w:divBdr>
                    <w:top w:val="none" w:sz="0" w:space="0" w:color="auto"/>
                    <w:left w:val="none" w:sz="0" w:space="0" w:color="auto"/>
                    <w:bottom w:val="none" w:sz="0" w:space="0" w:color="auto"/>
                    <w:right w:val="none" w:sz="0" w:space="0" w:color="auto"/>
                  </w:divBdr>
                </w:div>
              </w:divsChild>
            </w:div>
            <w:div w:id="1395617874">
              <w:marLeft w:val="0"/>
              <w:marRight w:val="0"/>
              <w:marTop w:val="0"/>
              <w:marBottom w:val="0"/>
              <w:divBdr>
                <w:top w:val="none" w:sz="0" w:space="0" w:color="auto"/>
                <w:left w:val="none" w:sz="0" w:space="0" w:color="auto"/>
                <w:bottom w:val="none" w:sz="0" w:space="0" w:color="auto"/>
                <w:right w:val="none" w:sz="0" w:space="0" w:color="auto"/>
              </w:divBdr>
              <w:divsChild>
                <w:div w:id="1218971961">
                  <w:marLeft w:val="255"/>
                  <w:marRight w:val="0"/>
                  <w:marTop w:val="0"/>
                  <w:marBottom w:val="0"/>
                  <w:divBdr>
                    <w:top w:val="none" w:sz="0" w:space="0" w:color="auto"/>
                    <w:left w:val="none" w:sz="0" w:space="0" w:color="auto"/>
                    <w:bottom w:val="none" w:sz="0" w:space="0" w:color="auto"/>
                    <w:right w:val="none" w:sz="0" w:space="0" w:color="auto"/>
                  </w:divBdr>
                </w:div>
              </w:divsChild>
            </w:div>
            <w:div w:id="1468469255">
              <w:marLeft w:val="0"/>
              <w:marRight w:val="0"/>
              <w:marTop w:val="0"/>
              <w:marBottom w:val="0"/>
              <w:divBdr>
                <w:top w:val="none" w:sz="0" w:space="0" w:color="auto"/>
                <w:left w:val="none" w:sz="0" w:space="0" w:color="auto"/>
                <w:bottom w:val="none" w:sz="0" w:space="0" w:color="auto"/>
                <w:right w:val="none" w:sz="0" w:space="0" w:color="auto"/>
              </w:divBdr>
              <w:divsChild>
                <w:div w:id="855534075">
                  <w:marLeft w:val="255"/>
                  <w:marRight w:val="0"/>
                  <w:marTop w:val="0"/>
                  <w:marBottom w:val="0"/>
                  <w:divBdr>
                    <w:top w:val="none" w:sz="0" w:space="0" w:color="auto"/>
                    <w:left w:val="none" w:sz="0" w:space="0" w:color="auto"/>
                    <w:bottom w:val="none" w:sz="0" w:space="0" w:color="auto"/>
                    <w:right w:val="none" w:sz="0" w:space="0" w:color="auto"/>
                  </w:divBdr>
                </w:div>
              </w:divsChild>
            </w:div>
            <w:div w:id="182784751">
              <w:marLeft w:val="0"/>
              <w:marRight w:val="0"/>
              <w:marTop w:val="0"/>
              <w:marBottom w:val="0"/>
              <w:divBdr>
                <w:top w:val="none" w:sz="0" w:space="0" w:color="auto"/>
                <w:left w:val="none" w:sz="0" w:space="0" w:color="auto"/>
                <w:bottom w:val="none" w:sz="0" w:space="0" w:color="auto"/>
                <w:right w:val="none" w:sz="0" w:space="0" w:color="auto"/>
              </w:divBdr>
              <w:divsChild>
                <w:div w:id="17009302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6305894">
          <w:marLeft w:val="0"/>
          <w:marRight w:val="0"/>
          <w:marTop w:val="0"/>
          <w:marBottom w:val="0"/>
          <w:divBdr>
            <w:top w:val="none" w:sz="0" w:space="0" w:color="auto"/>
            <w:left w:val="none" w:sz="0" w:space="0" w:color="auto"/>
            <w:bottom w:val="none" w:sz="0" w:space="0" w:color="auto"/>
            <w:right w:val="none" w:sz="0" w:space="0" w:color="auto"/>
          </w:divBdr>
          <w:divsChild>
            <w:div w:id="1266035779">
              <w:marLeft w:val="0"/>
              <w:marRight w:val="0"/>
              <w:marTop w:val="105"/>
              <w:marBottom w:val="0"/>
              <w:divBdr>
                <w:top w:val="none" w:sz="0" w:space="0" w:color="auto"/>
                <w:left w:val="none" w:sz="0" w:space="0" w:color="auto"/>
                <w:bottom w:val="none" w:sz="0" w:space="0" w:color="auto"/>
                <w:right w:val="none" w:sz="0" w:space="0" w:color="auto"/>
              </w:divBdr>
            </w:div>
          </w:divsChild>
        </w:div>
        <w:div w:id="79722740">
          <w:marLeft w:val="0"/>
          <w:marRight w:val="0"/>
          <w:marTop w:val="0"/>
          <w:marBottom w:val="0"/>
          <w:divBdr>
            <w:top w:val="none" w:sz="0" w:space="0" w:color="auto"/>
            <w:left w:val="none" w:sz="0" w:space="0" w:color="auto"/>
            <w:bottom w:val="none" w:sz="0" w:space="0" w:color="auto"/>
            <w:right w:val="none" w:sz="0" w:space="0" w:color="auto"/>
          </w:divBdr>
          <w:divsChild>
            <w:div w:id="1262881432">
              <w:marLeft w:val="0"/>
              <w:marRight w:val="0"/>
              <w:marTop w:val="105"/>
              <w:marBottom w:val="0"/>
              <w:divBdr>
                <w:top w:val="none" w:sz="0" w:space="0" w:color="auto"/>
                <w:left w:val="none" w:sz="0" w:space="0" w:color="auto"/>
                <w:bottom w:val="none" w:sz="0" w:space="0" w:color="auto"/>
                <w:right w:val="none" w:sz="0" w:space="0" w:color="auto"/>
              </w:divBdr>
            </w:div>
          </w:divsChild>
        </w:div>
        <w:div w:id="2008510205">
          <w:marLeft w:val="0"/>
          <w:marRight w:val="0"/>
          <w:marTop w:val="0"/>
          <w:marBottom w:val="0"/>
          <w:divBdr>
            <w:top w:val="none" w:sz="0" w:space="0" w:color="auto"/>
            <w:left w:val="none" w:sz="0" w:space="0" w:color="auto"/>
            <w:bottom w:val="none" w:sz="0" w:space="0" w:color="auto"/>
            <w:right w:val="none" w:sz="0" w:space="0" w:color="auto"/>
          </w:divBdr>
          <w:divsChild>
            <w:div w:id="1337684009">
              <w:marLeft w:val="0"/>
              <w:marRight w:val="0"/>
              <w:marTop w:val="105"/>
              <w:marBottom w:val="0"/>
              <w:divBdr>
                <w:top w:val="none" w:sz="0" w:space="0" w:color="auto"/>
                <w:left w:val="none" w:sz="0" w:space="0" w:color="auto"/>
                <w:bottom w:val="none" w:sz="0" w:space="0" w:color="auto"/>
                <w:right w:val="none" w:sz="0" w:space="0" w:color="auto"/>
              </w:divBdr>
            </w:div>
          </w:divsChild>
        </w:div>
        <w:div w:id="838498854">
          <w:marLeft w:val="0"/>
          <w:marRight w:val="0"/>
          <w:marTop w:val="0"/>
          <w:marBottom w:val="0"/>
          <w:divBdr>
            <w:top w:val="none" w:sz="0" w:space="0" w:color="auto"/>
            <w:left w:val="none" w:sz="0" w:space="0" w:color="auto"/>
            <w:bottom w:val="none" w:sz="0" w:space="0" w:color="auto"/>
            <w:right w:val="none" w:sz="0" w:space="0" w:color="auto"/>
          </w:divBdr>
          <w:divsChild>
            <w:div w:id="387535772">
              <w:marLeft w:val="0"/>
              <w:marRight w:val="0"/>
              <w:marTop w:val="105"/>
              <w:marBottom w:val="0"/>
              <w:divBdr>
                <w:top w:val="none" w:sz="0" w:space="0" w:color="auto"/>
                <w:left w:val="none" w:sz="0" w:space="0" w:color="auto"/>
                <w:bottom w:val="none" w:sz="0" w:space="0" w:color="auto"/>
                <w:right w:val="none" w:sz="0" w:space="0" w:color="auto"/>
              </w:divBdr>
            </w:div>
          </w:divsChild>
        </w:div>
        <w:div w:id="1419868013">
          <w:marLeft w:val="0"/>
          <w:marRight w:val="0"/>
          <w:marTop w:val="0"/>
          <w:marBottom w:val="0"/>
          <w:divBdr>
            <w:top w:val="none" w:sz="0" w:space="0" w:color="auto"/>
            <w:left w:val="none" w:sz="0" w:space="0" w:color="auto"/>
            <w:bottom w:val="none" w:sz="0" w:space="0" w:color="auto"/>
            <w:right w:val="none" w:sz="0" w:space="0" w:color="auto"/>
          </w:divBdr>
          <w:divsChild>
            <w:div w:id="5169666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46023847">
      <w:bodyDiv w:val="1"/>
      <w:marLeft w:val="0"/>
      <w:marRight w:val="0"/>
      <w:marTop w:val="0"/>
      <w:marBottom w:val="0"/>
      <w:divBdr>
        <w:top w:val="none" w:sz="0" w:space="0" w:color="auto"/>
        <w:left w:val="none" w:sz="0" w:space="0" w:color="auto"/>
        <w:bottom w:val="none" w:sz="0" w:space="0" w:color="auto"/>
        <w:right w:val="none" w:sz="0" w:space="0" w:color="auto"/>
      </w:divBdr>
      <w:divsChild>
        <w:div w:id="596600588">
          <w:marLeft w:val="0"/>
          <w:marRight w:val="0"/>
          <w:marTop w:val="0"/>
          <w:marBottom w:val="0"/>
          <w:divBdr>
            <w:top w:val="none" w:sz="0" w:space="0" w:color="auto"/>
            <w:left w:val="none" w:sz="0" w:space="0" w:color="auto"/>
            <w:bottom w:val="none" w:sz="0" w:space="0" w:color="auto"/>
            <w:right w:val="none" w:sz="0" w:space="0" w:color="auto"/>
          </w:divBdr>
          <w:divsChild>
            <w:div w:id="1843279366">
              <w:marLeft w:val="0"/>
              <w:marRight w:val="0"/>
              <w:marTop w:val="105"/>
              <w:marBottom w:val="0"/>
              <w:divBdr>
                <w:top w:val="none" w:sz="0" w:space="0" w:color="auto"/>
                <w:left w:val="none" w:sz="0" w:space="0" w:color="auto"/>
                <w:bottom w:val="none" w:sz="0" w:space="0" w:color="auto"/>
                <w:right w:val="none" w:sz="0" w:space="0" w:color="auto"/>
              </w:divBdr>
            </w:div>
          </w:divsChild>
        </w:div>
        <w:div w:id="1887058319">
          <w:marLeft w:val="0"/>
          <w:marRight w:val="0"/>
          <w:marTop w:val="0"/>
          <w:marBottom w:val="0"/>
          <w:divBdr>
            <w:top w:val="none" w:sz="0" w:space="0" w:color="auto"/>
            <w:left w:val="none" w:sz="0" w:space="0" w:color="auto"/>
            <w:bottom w:val="none" w:sz="0" w:space="0" w:color="auto"/>
            <w:right w:val="none" w:sz="0" w:space="0" w:color="auto"/>
          </w:divBdr>
          <w:divsChild>
            <w:div w:id="13525621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5001473">
      <w:bodyDiv w:val="1"/>
      <w:marLeft w:val="0"/>
      <w:marRight w:val="0"/>
      <w:marTop w:val="0"/>
      <w:marBottom w:val="0"/>
      <w:divBdr>
        <w:top w:val="none" w:sz="0" w:space="0" w:color="auto"/>
        <w:left w:val="none" w:sz="0" w:space="0" w:color="auto"/>
        <w:bottom w:val="none" w:sz="0" w:space="0" w:color="auto"/>
        <w:right w:val="none" w:sz="0" w:space="0" w:color="auto"/>
      </w:divBdr>
      <w:divsChild>
        <w:div w:id="1944653124">
          <w:marLeft w:val="0"/>
          <w:marRight w:val="0"/>
          <w:marTop w:val="0"/>
          <w:marBottom w:val="0"/>
          <w:divBdr>
            <w:top w:val="none" w:sz="0" w:space="0" w:color="auto"/>
            <w:left w:val="none" w:sz="0" w:space="0" w:color="auto"/>
            <w:bottom w:val="none" w:sz="0" w:space="0" w:color="auto"/>
            <w:right w:val="none" w:sz="0" w:space="0" w:color="auto"/>
          </w:divBdr>
          <w:divsChild>
            <w:div w:id="1905946735">
              <w:marLeft w:val="0"/>
              <w:marRight w:val="0"/>
              <w:marTop w:val="105"/>
              <w:marBottom w:val="0"/>
              <w:divBdr>
                <w:top w:val="none" w:sz="0" w:space="0" w:color="auto"/>
                <w:left w:val="none" w:sz="0" w:space="0" w:color="auto"/>
                <w:bottom w:val="none" w:sz="0" w:space="0" w:color="auto"/>
                <w:right w:val="none" w:sz="0" w:space="0" w:color="auto"/>
              </w:divBdr>
            </w:div>
          </w:divsChild>
        </w:div>
        <w:div w:id="1274631638">
          <w:marLeft w:val="0"/>
          <w:marRight w:val="0"/>
          <w:marTop w:val="0"/>
          <w:marBottom w:val="0"/>
          <w:divBdr>
            <w:top w:val="none" w:sz="0" w:space="0" w:color="auto"/>
            <w:left w:val="none" w:sz="0" w:space="0" w:color="auto"/>
            <w:bottom w:val="none" w:sz="0" w:space="0" w:color="auto"/>
            <w:right w:val="none" w:sz="0" w:space="0" w:color="auto"/>
          </w:divBdr>
          <w:divsChild>
            <w:div w:id="1659572277">
              <w:marLeft w:val="0"/>
              <w:marRight w:val="0"/>
              <w:marTop w:val="105"/>
              <w:marBottom w:val="0"/>
              <w:divBdr>
                <w:top w:val="none" w:sz="0" w:space="0" w:color="auto"/>
                <w:left w:val="none" w:sz="0" w:space="0" w:color="auto"/>
                <w:bottom w:val="none" w:sz="0" w:space="0" w:color="auto"/>
                <w:right w:val="none" w:sz="0" w:space="0" w:color="auto"/>
              </w:divBdr>
            </w:div>
          </w:divsChild>
        </w:div>
        <w:div w:id="768113527">
          <w:marLeft w:val="0"/>
          <w:marRight w:val="0"/>
          <w:marTop w:val="0"/>
          <w:marBottom w:val="0"/>
          <w:divBdr>
            <w:top w:val="none" w:sz="0" w:space="0" w:color="auto"/>
            <w:left w:val="none" w:sz="0" w:space="0" w:color="auto"/>
            <w:bottom w:val="none" w:sz="0" w:space="0" w:color="auto"/>
            <w:right w:val="none" w:sz="0" w:space="0" w:color="auto"/>
          </w:divBdr>
          <w:divsChild>
            <w:div w:id="102653619">
              <w:marLeft w:val="0"/>
              <w:marRight w:val="0"/>
              <w:marTop w:val="105"/>
              <w:marBottom w:val="0"/>
              <w:divBdr>
                <w:top w:val="none" w:sz="0" w:space="0" w:color="auto"/>
                <w:left w:val="none" w:sz="0" w:space="0" w:color="auto"/>
                <w:bottom w:val="none" w:sz="0" w:space="0" w:color="auto"/>
                <w:right w:val="none" w:sz="0" w:space="0" w:color="auto"/>
              </w:divBdr>
            </w:div>
          </w:divsChild>
        </w:div>
        <w:div w:id="1169441319">
          <w:marLeft w:val="0"/>
          <w:marRight w:val="0"/>
          <w:marTop w:val="0"/>
          <w:marBottom w:val="0"/>
          <w:divBdr>
            <w:top w:val="none" w:sz="0" w:space="0" w:color="auto"/>
            <w:left w:val="none" w:sz="0" w:space="0" w:color="auto"/>
            <w:bottom w:val="none" w:sz="0" w:space="0" w:color="auto"/>
            <w:right w:val="none" w:sz="0" w:space="0" w:color="auto"/>
          </w:divBdr>
          <w:divsChild>
            <w:div w:id="621150800">
              <w:marLeft w:val="0"/>
              <w:marRight w:val="0"/>
              <w:marTop w:val="105"/>
              <w:marBottom w:val="0"/>
              <w:divBdr>
                <w:top w:val="none" w:sz="0" w:space="0" w:color="auto"/>
                <w:left w:val="none" w:sz="0" w:space="0" w:color="auto"/>
                <w:bottom w:val="none" w:sz="0" w:space="0" w:color="auto"/>
                <w:right w:val="none" w:sz="0" w:space="0" w:color="auto"/>
              </w:divBdr>
            </w:div>
          </w:divsChild>
        </w:div>
        <w:div w:id="1155100039">
          <w:marLeft w:val="0"/>
          <w:marRight w:val="0"/>
          <w:marTop w:val="0"/>
          <w:marBottom w:val="0"/>
          <w:divBdr>
            <w:top w:val="none" w:sz="0" w:space="0" w:color="auto"/>
            <w:left w:val="none" w:sz="0" w:space="0" w:color="auto"/>
            <w:bottom w:val="none" w:sz="0" w:space="0" w:color="auto"/>
            <w:right w:val="none" w:sz="0" w:space="0" w:color="auto"/>
          </w:divBdr>
          <w:divsChild>
            <w:div w:id="1789423752">
              <w:marLeft w:val="0"/>
              <w:marRight w:val="0"/>
              <w:marTop w:val="105"/>
              <w:marBottom w:val="0"/>
              <w:divBdr>
                <w:top w:val="none" w:sz="0" w:space="0" w:color="auto"/>
                <w:left w:val="none" w:sz="0" w:space="0" w:color="auto"/>
                <w:bottom w:val="none" w:sz="0" w:space="0" w:color="auto"/>
                <w:right w:val="none" w:sz="0" w:space="0" w:color="auto"/>
              </w:divBdr>
            </w:div>
          </w:divsChild>
        </w:div>
        <w:div w:id="768500304">
          <w:marLeft w:val="0"/>
          <w:marRight w:val="0"/>
          <w:marTop w:val="0"/>
          <w:marBottom w:val="0"/>
          <w:divBdr>
            <w:top w:val="none" w:sz="0" w:space="0" w:color="auto"/>
            <w:left w:val="none" w:sz="0" w:space="0" w:color="auto"/>
            <w:bottom w:val="none" w:sz="0" w:space="0" w:color="auto"/>
            <w:right w:val="none" w:sz="0" w:space="0" w:color="auto"/>
          </w:divBdr>
          <w:divsChild>
            <w:div w:id="990291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5649234">
      <w:bodyDiv w:val="1"/>
      <w:marLeft w:val="0"/>
      <w:marRight w:val="0"/>
      <w:marTop w:val="0"/>
      <w:marBottom w:val="0"/>
      <w:divBdr>
        <w:top w:val="none" w:sz="0" w:space="0" w:color="auto"/>
        <w:left w:val="none" w:sz="0" w:space="0" w:color="auto"/>
        <w:bottom w:val="none" w:sz="0" w:space="0" w:color="auto"/>
        <w:right w:val="none" w:sz="0" w:space="0" w:color="auto"/>
      </w:divBdr>
      <w:divsChild>
        <w:div w:id="71661223">
          <w:marLeft w:val="0"/>
          <w:marRight w:val="0"/>
          <w:marTop w:val="0"/>
          <w:marBottom w:val="0"/>
          <w:divBdr>
            <w:top w:val="none" w:sz="0" w:space="0" w:color="auto"/>
            <w:left w:val="none" w:sz="0" w:space="0" w:color="auto"/>
            <w:bottom w:val="none" w:sz="0" w:space="0" w:color="auto"/>
            <w:right w:val="none" w:sz="0" w:space="0" w:color="auto"/>
          </w:divBdr>
          <w:divsChild>
            <w:div w:id="672955217">
              <w:marLeft w:val="0"/>
              <w:marRight w:val="0"/>
              <w:marTop w:val="105"/>
              <w:marBottom w:val="0"/>
              <w:divBdr>
                <w:top w:val="none" w:sz="0" w:space="0" w:color="auto"/>
                <w:left w:val="none" w:sz="0" w:space="0" w:color="auto"/>
                <w:bottom w:val="none" w:sz="0" w:space="0" w:color="auto"/>
                <w:right w:val="none" w:sz="0" w:space="0" w:color="auto"/>
              </w:divBdr>
            </w:div>
          </w:divsChild>
        </w:div>
        <w:div w:id="1462575516">
          <w:marLeft w:val="0"/>
          <w:marRight w:val="0"/>
          <w:marTop w:val="0"/>
          <w:marBottom w:val="0"/>
          <w:divBdr>
            <w:top w:val="none" w:sz="0" w:space="0" w:color="auto"/>
            <w:left w:val="none" w:sz="0" w:space="0" w:color="auto"/>
            <w:bottom w:val="none" w:sz="0" w:space="0" w:color="auto"/>
            <w:right w:val="none" w:sz="0" w:space="0" w:color="auto"/>
          </w:divBdr>
          <w:divsChild>
            <w:div w:id="34669200">
              <w:marLeft w:val="0"/>
              <w:marRight w:val="0"/>
              <w:marTop w:val="105"/>
              <w:marBottom w:val="0"/>
              <w:divBdr>
                <w:top w:val="none" w:sz="0" w:space="0" w:color="auto"/>
                <w:left w:val="none" w:sz="0" w:space="0" w:color="auto"/>
                <w:bottom w:val="none" w:sz="0" w:space="0" w:color="auto"/>
                <w:right w:val="none" w:sz="0" w:space="0" w:color="auto"/>
              </w:divBdr>
            </w:div>
            <w:div w:id="1178500738">
              <w:marLeft w:val="0"/>
              <w:marRight w:val="0"/>
              <w:marTop w:val="0"/>
              <w:marBottom w:val="0"/>
              <w:divBdr>
                <w:top w:val="none" w:sz="0" w:space="0" w:color="auto"/>
                <w:left w:val="none" w:sz="0" w:space="0" w:color="auto"/>
                <w:bottom w:val="none" w:sz="0" w:space="0" w:color="auto"/>
                <w:right w:val="none" w:sz="0" w:space="0" w:color="auto"/>
              </w:divBdr>
              <w:divsChild>
                <w:div w:id="1713263287">
                  <w:marLeft w:val="255"/>
                  <w:marRight w:val="0"/>
                  <w:marTop w:val="0"/>
                  <w:marBottom w:val="0"/>
                  <w:divBdr>
                    <w:top w:val="none" w:sz="0" w:space="0" w:color="auto"/>
                    <w:left w:val="none" w:sz="0" w:space="0" w:color="auto"/>
                    <w:bottom w:val="none" w:sz="0" w:space="0" w:color="auto"/>
                    <w:right w:val="none" w:sz="0" w:space="0" w:color="auto"/>
                  </w:divBdr>
                </w:div>
              </w:divsChild>
            </w:div>
            <w:div w:id="1790276095">
              <w:marLeft w:val="0"/>
              <w:marRight w:val="0"/>
              <w:marTop w:val="0"/>
              <w:marBottom w:val="0"/>
              <w:divBdr>
                <w:top w:val="none" w:sz="0" w:space="0" w:color="auto"/>
                <w:left w:val="none" w:sz="0" w:space="0" w:color="auto"/>
                <w:bottom w:val="none" w:sz="0" w:space="0" w:color="auto"/>
                <w:right w:val="none" w:sz="0" w:space="0" w:color="auto"/>
              </w:divBdr>
              <w:divsChild>
                <w:div w:id="1585258961">
                  <w:marLeft w:val="255"/>
                  <w:marRight w:val="0"/>
                  <w:marTop w:val="0"/>
                  <w:marBottom w:val="0"/>
                  <w:divBdr>
                    <w:top w:val="none" w:sz="0" w:space="0" w:color="auto"/>
                    <w:left w:val="none" w:sz="0" w:space="0" w:color="auto"/>
                    <w:bottom w:val="none" w:sz="0" w:space="0" w:color="auto"/>
                    <w:right w:val="none" w:sz="0" w:space="0" w:color="auto"/>
                  </w:divBdr>
                </w:div>
              </w:divsChild>
            </w:div>
            <w:div w:id="730739794">
              <w:marLeft w:val="0"/>
              <w:marRight w:val="0"/>
              <w:marTop w:val="0"/>
              <w:marBottom w:val="0"/>
              <w:divBdr>
                <w:top w:val="none" w:sz="0" w:space="0" w:color="auto"/>
                <w:left w:val="none" w:sz="0" w:space="0" w:color="auto"/>
                <w:bottom w:val="none" w:sz="0" w:space="0" w:color="auto"/>
                <w:right w:val="none" w:sz="0" w:space="0" w:color="auto"/>
              </w:divBdr>
              <w:divsChild>
                <w:div w:id="19641436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74815386">
          <w:marLeft w:val="0"/>
          <w:marRight w:val="0"/>
          <w:marTop w:val="0"/>
          <w:marBottom w:val="0"/>
          <w:divBdr>
            <w:top w:val="none" w:sz="0" w:space="0" w:color="auto"/>
            <w:left w:val="none" w:sz="0" w:space="0" w:color="auto"/>
            <w:bottom w:val="none" w:sz="0" w:space="0" w:color="auto"/>
            <w:right w:val="none" w:sz="0" w:space="0" w:color="auto"/>
          </w:divBdr>
          <w:divsChild>
            <w:div w:id="1897274319">
              <w:marLeft w:val="0"/>
              <w:marRight w:val="0"/>
              <w:marTop w:val="105"/>
              <w:marBottom w:val="0"/>
              <w:divBdr>
                <w:top w:val="none" w:sz="0" w:space="0" w:color="auto"/>
                <w:left w:val="none" w:sz="0" w:space="0" w:color="auto"/>
                <w:bottom w:val="none" w:sz="0" w:space="0" w:color="auto"/>
                <w:right w:val="none" w:sz="0" w:space="0" w:color="auto"/>
              </w:divBdr>
            </w:div>
            <w:div w:id="2038120709">
              <w:marLeft w:val="0"/>
              <w:marRight w:val="0"/>
              <w:marTop w:val="0"/>
              <w:marBottom w:val="0"/>
              <w:divBdr>
                <w:top w:val="none" w:sz="0" w:space="0" w:color="auto"/>
                <w:left w:val="none" w:sz="0" w:space="0" w:color="auto"/>
                <w:bottom w:val="none" w:sz="0" w:space="0" w:color="auto"/>
                <w:right w:val="none" w:sz="0" w:space="0" w:color="auto"/>
              </w:divBdr>
              <w:divsChild>
                <w:div w:id="1557279127">
                  <w:marLeft w:val="255"/>
                  <w:marRight w:val="0"/>
                  <w:marTop w:val="0"/>
                  <w:marBottom w:val="0"/>
                  <w:divBdr>
                    <w:top w:val="none" w:sz="0" w:space="0" w:color="auto"/>
                    <w:left w:val="none" w:sz="0" w:space="0" w:color="auto"/>
                    <w:bottom w:val="none" w:sz="0" w:space="0" w:color="auto"/>
                    <w:right w:val="none" w:sz="0" w:space="0" w:color="auto"/>
                  </w:divBdr>
                </w:div>
              </w:divsChild>
            </w:div>
            <w:div w:id="504899082">
              <w:marLeft w:val="0"/>
              <w:marRight w:val="0"/>
              <w:marTop w:val="0"/>
              <w:marBottom w:val="0"/>
              <w:divBdr>
                <w:top w:val="none" w:sz="0" w:space="0" w:color="auto"/>
                <w:left w:val="none" w:sz="0" w:space="0" w:color="auto"/>
                <w:bottom w:val="none" w:sz="0" w:space="0" w:color="auto"/>
                <w:right w:val="none" w:sz="0" w:space="0" w:color="auto"/>
              </w:divBdr>
              <w:divsChild>
                <w:div w:id="79841186">
                  <w:marLeft w:val="255"/>
                  <w:marRight w:val="0"/>
                  <w:marTop w:val="0"/>
                  <w:marBottom w:val="0"/>
                  <w:divBdr>
                    <w:top w:val="none" w:sz="0" w:space="0" w:color="auto"/>
                    <w:left w:val="none" w:sz="0" w:space="0" w:color="auto"/>
                    <w:bottom w:val="none" w:sz="0" w:space="0" w:color="auto"/>
                    <w:right w:val="none" w:sz="0" w:space="0" w:color="auto"/>
                  </w:divBdr>
                </w:div>
              </w:divsChild>
            </w:div>
            <w:div w:id="2130128936">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255"/>
                  <w:marRight w:val="0"/>
                  <w:marTop w:val="0"/>
                  <w:marBottom w:val="0"/>
                  <w:divBdr>
                    <w:top w:val="none" w:sz="0" w:space="0" w:color="auto"/>
                    <w:left w:val="none" w:sz="0" w:space="0" w:color="auto"/>
                    <w:bottom w:val="none" w:sz="0" w:space="0" w:color="auto"/>
                    <w:right w:val="none" w:sz="0" w:space="0" w:color="auto"/>
                  </w:divBdr>
                </w:div>
              </w:divsChild>
            </w:div>
            <w:div w:id="205796096">
              <w:marLeft w:val="0"/>
              <w:marRight w:val="0"/>
              <w:marTop w:val="0"/>
              <w:marBottom w:val="0"/>
              <w:divBdr>
                <w:top w:val="none" w:sz="0" w:space="0" w:color="auto"/>
                <w:left w:val="none" w:sz="0" w:space="0" w:color="auto"/>
                <w:bottom w:val="none" w:sz="0" w:space="0" w:color="auto"/>
                <w:right w:val="none" w:sz="0" w:space="0" w:color="auto"/>
              </w:divBdr>
              <w:divsChild>
                <w:div w:id="21166343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3872770">
          <w:marLeft w:val="0"/>
          <w:marRight w:val="0"/>
          <w:marTop w:val="0"/>
          <w:marBottom w:val="0"/>
          <w:divBdr>
            <w:top w:val="none" w:sz="0" w:space="0" w:color="auto"/>
            <w:left w:val="none" w:sz="0" w:space="0" w:color="auto"/>
            <w:bottom w:val="none" w:sz="0" w:space="0" w:color="auto"/>
            <w:right w:val="none" w:sz="0" w:space="0" w:color="auto"/>
          </w:divBdr>
          <w:divsChild>
            <w:div w:id="974259190">
              <w:marLeft w:val="0"/>
              <w:marRight w:val="0"/>
              <w:marTop w:val="105"/>
              <w:marBottom w:val="0"/>
              <w:divBdr>
                <w:top w:val="none" w:sz="0" w:space="0" w:color="auto"/>
                <w:left w:val="none" w:sz="0" w:space="0" w:color="auto"/>
                <w:bottom w:val="none" w:sz="0" w:space="0" w:color="auto"/>
                <w:right w:val="none" w:sz="0" w:space="0" w:color="auto"/>
              </w:divBdr>
            </w:div>
          </w:divsChild>
        </w:div>
        <w:div w:id="803738495">
          <w:marLeft w:val="0"/>
          <w:marRight w:val="0"/>
          <w:marTop w:val="0"/>
          <w:marBottom w:val="0"/>
          <w:divBdr>
            <w:top w:val="none" w:sz="0" w:space="0" w:color="auto"/>
            <w:left w:val="none" w:sz="0" w:space="0" w:color="auto"/>
            <w:bottom w:val="none" w:sz="0" w:space="0" w:color="auto"/>
            <w:right w:val="none" w:sz="0" w:space="0" w:color="auto"/>
          </w:divBdr>
          <w:divsChild>
            <w:div w:id="1815483781">
              <w:marLeft w:val="0"/>
              <w:marRight w:val="0"/>
              <w:marTop w:val="105"/>
              <w:marBottom w:val="0"/>
              <w:divBdr>
                <w:top w:val="none" w:sz="0" w:space="0" w:color="auto"/>
                <w:left w:val="none" w:sz="0" w:space="0" w:color="auto"/>
                <w:bottom w:val="none" w:sz="0" w:space="0" w:color="auto"/>
                <w:right w:val="none" w:sz="0" w:space="0" w:color="auto"/>
              </w:divBdr>
            </w:div>
          </w:divsChild>
        </w:div>
        <w:div w:id="783812722">
          <w:marLeft w:val="0"/>
          <w:marRight w:val="0"/>
          <w:marTop w:val="0"/>
          <w:marBottom w:val="0"/>
          <w:divBdr>
            <w:top w:val="none" w:sz="0" w:space="0" w:color="auto"/>
            <w:left w:val="none" w:sz="0" w:space="0" w:color="auto"/>
            <w:bottom w:val="none" w:sz="0" w:space="0" w:color="auto"/>
            <w:right w:val="none" w:sz="0" w:space="0" w:color="auto"/>
          </w:divBdr>
          <w:divsChild>
            <w:div w:id="1938322838">
              <w:marLeft w:val="0"/>
              <w:marRight w:val="0"/>
              <w:marTop w:val="105"/>
              <w:marBottom w:val="0"/>
              <w:divBdr>
                <w:top w:val="none" w:sz="0" w:space="0" w:color="auto"/>
                <w:left w:val="none" w:sz="0" w:space="0" w:color="auto"/>
                <w:bottom w:val="none" w:sz="0" w:space="0" w:color="auto"/>
                <w:right w:val="none" w:sz="0" w:space="0" w:color="auto"/>
              </w:divBdr>
            </w:div>
          </w:divsChild>
        </w:div>
        <w:div w:id="1655446816">
          <w:marLeft w:val="0"/>
          <w:marRight w:val="0"/>
          <w:marTop w:val="0"/>
          <w:marBottom w:val="0"/>
          <w:divBdr>
            <w:top w:val="none" w:sz="0" w:space="0" w:color="auto"/>
            <w:left w:val="none" w:sz="0" w:space="0" w:color="auto"/>
            <w:bottom w:val="none" w:sz="0" w:space="0" w:color="auto"/>
            <w:right w:val="none" w:sz="0" w:space="0" w:color="auto"/>
          </w:divBdr>
          <w:divsChild>
            <w:div w:id="271280645">
              <w:marLeft w:val="0"/>
              <w:marRight w:val="0"/>
              <w:marTop w:val="105"/>
              <w:marBottom w:val="0"/>
              <w:divBdr>
                <w:top w:val="none" w:sz="0" w:space="0" w:color="auto"/>
                <w:left w:val="none" w:sz="0" w:space="0" w:color="auto"/>
                <w:bottom w:val="none" w:sz="0" w:space="0" w:color="auto"/>
                <w:right w:val="none" w:sz="0" w:space="0" w:color="auto"/>
              </w:divBdr>
            </w:div>
          </w:divsChild>
        </w:div>
        <w:div w:id="1278678499">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1864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92">
          <w:marLeft w:val="0"/>
          <w:marRight w:val="0"/>
          <w:marTop w:val="0"/>
          <w:marBottom w:val="0"/>
          <w:divBdr>
            <w:top w:val="none" w:sz="0" w:space="0" w:color="auto"/>
            <w:left w:val="none" w:sz="0" w:space="0" w:color="auto"/>
            <w:bottom w:val="none" w:sz="0" w:space="0" w:color="auto"/>
            <w:right w:val="none" w:sz="0" w:space="0" w:color="auto"/>
          </w:divBdr>
          <w:divsChild>
            <w:div w:id="125314407">
              <w:marLeft w:val="0"/>
              <w:marRight w:val="0"/>
              <w:marTop w:val="105"/>
              <w:marBottom w:val="0"/>
              <w:divBdr>
                <w:top w:val="none" w:sz="0" w:space="0" w:color="auto"/>
                <w:left w:val="none" w:sz="0" w:space="0" w:color="auto"/>
                <w:bottom w:val="none" w:sz="0" w:space="0" w:color="auto"/>
                <w:right w:val="none" w:sz="0" w:space="0" w:color="auto"/>
              </w:divBdr>
            </w:div>
            <w:div w:id="1383870029">
              <w:marLeft w:val="0"/>
              <w:marRight w:val="0"/>
              <w:marTop w:val="0"/>
              <w:marBottom w:val="0"/>
              <w:divBdr>
                <w:top w:val="none" w:sz="0" w:space="0" w:color="auto"/>
                <w:left w:val="none" w:sz="0" w:space="0" w:color="auto"/>
                <w:bottom w:val="none" w:sz="0" w:space="0" w:color="auto"/>
                <w:right w:val="none" w:sz="0" w:space="0" w:color="auto"/>
              </w:divBdr>
              <w:divsChild>
                <w:div w:id="44499547">
                  <w:marLeft w:val="255"/>
                  <w:marRight w:val="0"/>
                  <w:marTop w:val="0"/>
                  <w:marBottom w:val="0"/>
                  <w:divBdr>
                    <w:top w:val="none" w:sz="0" w:space="0" w:color="auto"/>
                    <w:left w:val="none" w:sz="0" w:space="0" w:color="auto"/>
                    <w:bottom w:val="none" w:sz="0" w:space="0" w:color="auto"/>
                    <w:right w:val="none" w:sz="0" w:space="0" w:color="auto"/>
                  </w:divBdr>
                </w:div>
              </w:divsChild>
            </w:div>
            <w:div w:id="1104153060">
              <w:marLeft w:val="0"/>
              <w:marRight w:val="0"/>
              <w:marTop w:val="0"/>
              <w:marBottom w:val="0"/>
              <w:divBdr>
                <w:top w:val="none" w:sz="0" w:space="0" w:color="auto"/>
                <w:left w:val="none" w:sz="0" w:space="0" w:color="auto"/>
                <w:bottom w:val="none" w:sz="0" w:space="0" w:color="auto"/>
                <w:right w:val="none" w:sz="0" w:space="0" w:color="auto"/>
              </w:divBdr>
              <w:divsChild>
                <w:div w:id="1617756202">
                  <w:marLeft w:val="255"/>
                  <w:marRight w:val="0"/>
                  <w:marTop w:val="0"/>
                  <w:marBottom w:val="0"/>
                  <w:divBdr>
                    <w:top w:val="none" w:sz="0" w:space="0" w:color="auto"/>
                    <w:left w:val="none" w:sz="0" w:space="0" w:color="auto"/>
                    <w:bottom w:val="none" w:sz="0" w:space="0" w:color="auto"/>
                    <w:right w:val="none" w:sz="0" w:space="0" w:color="auto"/>
                  </w:divBdr>
                </w:div>
              </w:divsChild>
            </w:div>
            <w:div w:id="1317495604">
              <w:marLeft w:val="0"/>
              <w:marRight w:val="0"/>
              <w:marTop w:val="0"/>
              <w:marBottom w:val="0"/>
              <w:divBdr>
                <w:top w:val="none" w:sz="0" w:space="0" w:color="auto"/>
                <w:left w:val="none" w:sz="0" w:space="0" w:color="auto"/>
                <w:bottom w:val="none" w:sz="0" w:space="0" w:color="auto"/>
                <w:right w:val="none" w:sz="0" w:space="0" w:color="auto"/>
              </w:divBdr>
              <w:divsChild>
                <w:div w:id="184085017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33360592">
          <w:marLeft w:val="0"/>
          <w:marRight w:val="0"/>
          <w:marTop w:val="0"/>
          <w:marBottom w:val="0"/>
          <w:divBdr>
            <w:top w:val="none" w:sz="0" w:space="0" w:color="auto"/>
            <w:left w:val="none" w:sz="0" w:space="0" w:color="auto"/>
            <w:bottom w:val="none" w:sz="0" w:space="0" w:color="auto"/>
            <w:right w:val="none" w:sz="0" w:space="0" w:color="auto"/>
          </w:divBdr>
          <w:divsChild>
            <w:div w:id="268860309">
              <w:marLeft w:val="0"/>
              <w:marRight w:val="0"/>
              <w:marTop w:val="105"/>
              <w:marBottom w:val="0"/>
              <w:divBdr>
                <w:top w:val="none" w:sz="0" w:space="0" w:color="auto"/>
                <w:left w:val="none" w:sz="0" w:space="0" w:color="auto"/>
                <w:bottom w:val="none" w:sz="0" w:space="0" w:color="auto"/>
                <w:right w:val="none" w:sz="0" w:space="0" w:color="auto"/>
              </w:divBdr>
            </w:div>
            <w:div w:id="1850097585">
              <w:marLeft w:val="0"/>
              <w:marRight w:val="0"/>
              <w:marTop w:val="0"/>
              <w:marBottom w:val="0"/>
              <w:divBdr>
                <w:top w:val="none" w:sz="0" w:space="0" w:color="auto"/>
                <w:left w:val="none" w:sz="0" w:space="0" w:color="auto"/>
                <w:bottom w:val="none" w:sz="0" w:space="0" w:color="auto"/>
                <w:right w:val="none" w:sz="0" w:space="0" w:color="auto"/>
              </w:divBdr>
              <w:divsChild>
                <w:div w:id="1015839255">
                  <w:marLeft w:val="255"/>
                  <w:marRight w:val="0"/>
                  <w:marTop w:val="0"/>
                  <w:marBottom w:val="0"/>
                  <w:divBdr>
                    <w:top w:val="none" w:sz="0" w:space="0" w:color="auto"/>
                    <w:left w:val="none" w:sz="0" w:space="0" w:color="auto"/>
                    <w:bottom w:val="none" w:sz="0" w:space="0" w:color="auto"/>
                    <w:right w:val="none" w:sz="0" w:space="0" w:color="auto"/>
                  </w:divBdr>
                </w:div>
              </w:divsChild>
            </w:div>
            <w:div w:id="342056670">
              <w:marLeft w:val="0"/>
              <w:marRight w:val="0"/>
              <w:marTop w:val="0"/>
              <w:marBottom w:val="0"/>
              <w:divBdr>
                <w:top w:val="none" w:sz="0" w:space="0" w:color="auto"/>
                <w:left w:val="none" w:sz="0" w:space="0" w:color="auto"/>
                <w:bottom w:val="none" w:sz="0" w:space="0" w:color="auto"/>
                <w:right w:val="none" w:sz="0" w:space="0" w:color="auto"/>
              </w:divBdr>
              <w:divsChild>
                <w:div w:id="160314052">
                  <w:marLeft w:val="255"/>
                  <w:marRight w:val="0"/>
                  <w:marTop w:val="0"/>
                  <w:marBottom w:val="0"/>
                  <w:divBdr>
                    <w:top w:val="none" w:sz="0" w:space="0" w:color="auto"/>
                    <w:left w:val="none" w:sz="0" w:space="0" w:color="auto"/>
                    <w:bottom w:val="none" w:sz="0" w:space="0" w:color="auto"/>
                    <w:right w:val="none" w:sz="0" w:space="0" w:color="auto"/>
                  </w:divBdr>
                </w:div>
              </w:divsChild>
            </w:div>
            <w:div w:id="995762408">
              <w:marLeft w:val="0"/>
              <w:marRight w:val="0"/>
              <w:marTop w:val="0"/>
              <w:marBottom w:val="0"/>
              <w:divBdr>
                <w:top w:val="none" w:sz="0" w:space="0" w:color="auto"/>
                <w:left w:val="none" w:sz="0" w:space="0" w:color="auto"/>
                <w:bottom w:val="none" w:sz="0" w:space="0" w:color="auto"/>
                <w:right w:val="none" w:sz="0" w:space="0" w:color="auto"/>
              </w:divBdr>
              <w:divsChild>
                <w:div w:id="78211818">
                  <w:marLeft w:val="255"/>
                  <w:marRight w:val="0"/>
                  <w:marTop w:val="0"/>
                  <w:marBottom w:val="0"/>
                  <w:divBdr>
                    <w:top w:val="none" w:sz="0" w:space="0" w:color="auto"/>
                    <w:left w:val="none" w:sz="0" w:space="0" w:color="auto"/>
                    <w:bottom w:val="none" w:sz="0" w:space="0" w:color="auto"/>
                    <w:right w:val="none" w:sz="0" w:space="0" w:color="auto"/>
                  </w:divBdr>
                </w:div>
              </w:divsChild>
            </w:div>
            <w:div w:id="1405907055">
              <w:marLeft w:val="0"/>
              <w:marRight w:val="0"/>
              <w:marTop w:val="0"/>
              <w:marBottom w:val="0"/>
              <w:divBdr>
                <w:top w:val="none" w:sz="0" w:space="0" w:color="auto"/>
                <w:left w:val="none" w:sz="0" w:space="0" w:color="auto"/>
                <w:bottom w:val="none" w:sz="0" w:space="0" w:color="auto"/>
                <w:right w:val="none" w:sz="0" w:space="0" w:color="auto"/>
              </w:divBdr>
              <w:divsChild>
                <w:div w:id="1894346762">
                  <w:marLeft w:val="255"/>
                  <w:marRight w:val="0"/>
                  <w:marTop w:val="0"/>
                  <w:marBottom w:val="0"/>
                  <w:divBdr>
                    <w:top w:val="none" w:sz="0" w:space="0" w:color="auto"/>
                    <w:left w:val="none" w:sz="0" w:space="0" w:color="auto"/>
                    <w:bottom w:val="none" w:sz="0" w:space="0" w:color="auto"/>
                    <w:right w:val="none" w:sz="0" w:space="0" w:color="auto"/>
                  </w:divBdr>
                </w:div>
              </w:divsChild>
            </w:div>
            <w:div w:id="1669137236">
              <w:marLeft w:val="0"/>
              <w:marRight w:val="0"/>
              <w:marTop w:val="0"/>
              <w:marBottom w:val="0"/>
              <w:divBdr>
                <w:top w:val="none" w:sz="0" w:space="0" w:color="auto"/>
                <w:left w:val="none" w:sz="0" w:space="0" w:color="auto"/>
                <w:bottom w:val="none" w:sz="0" w:space="0" w:color="auto"/>
                <w:right w:val="none" w:sz="0" w:space="0" w:color="auto"/>
              </w:divBdr>
              <w:divsChild>
                <w:div w:id="1895432948">
                  <w:marLeft w:val="255"/>
                  <w:marRight w:val="0"/>
                  <w:marTop w:val="0"/>
                  <w:marBottom w:val="0"/>
                  <w:divBdr>
                    <w:top w:val="none" w:sz="0" w:space="0" w:color="auto"/>
                    <w:left w:val="none" w:sz="0" w:space="0" w:color="auto"/>
                    <w:bottom w:val="none" w:sz="0" w:space="0" w:color="auto"/>
                    <w:right w:val="none" w:sz="0" w:space="0" w:color="auto"/>
                  </w:divBdr>
                </w:div>
              </w:divsChild>
            </w:div>
            <w:div w:id="1410808705">
              <w:marLeft w:val="0"/>
              <w:marRight w:val="0"/>
              <w:marTop w:val="0"/>
              <w:marBottom w:val="0"/>
              <w:divBdr>
                <w:top w:val="none" w:sz="0" w:space="0" w:color="auto"/>
                <w:left w:val="none" w:sz="0" w:space="0" w:color="auto"/>
                <w:bottom w:val="none" w:sz="0" w:space="0" w:color="auto"/>
                <w:right w:val="none" w:sz="0" w:space="0" w:color="auto"/>
              </w:divBdr>
              <w:divsChild>
                <w:div w:id="9926116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63267804">
          <w:marLeft w:val="0"/>
          <w:marRight w:val="0"/>
          <w:marTop w:val="0"/>
          <w:marBottom w:val="0"/>
          <w:divBdr>
            <w:top w:val="none" w:sz="0" w:space="0" w:color="auto"/>
            <w:left w:val="none" w:sz="0" w:space="0" w:color="auto"/>
            <w:bottom w:val="none" w:sz="0" w:space="0" w:color="auto"/>
            <w:right w:val="none" w:sz="0" w:space="0" w:color="auto"/>
          </w:divBdr>
          <w:divsChild>
            <w:div w:id="910846315">
              <w:marLeft w:val="0"/>
              <w:marRight w:val="0"/>
              <w:marTop w:val="105"/>
              <w:marBottom w:val="0"/>
              <w:divBdr>
                <w:top w:val="none" w:sz="0" w:space="0" w:color="auto"/>
                <w:left w:val="none" w:sz="0" w:space="0" w:color="auto"/>
                <w:bottom w:val="none" w:sz="0" w:space="0" w:color="auto"/>
                <w:right w:val="none" w:sz="0" w:space="0" w:color="auto"/>
              </w:divBdr>
            </w:div>
          </w:divsChild>
        </w:div>
        <w:div w:id="890918182">
          <w:marLeft w:val="0"/>
          <w:marRight w:val="0"/>
          <w:marTop w:val="0"/>
          <w:marBottom w:val="0"/>
          <w:divBdr>
            <w:top w:val="none" w:sz="0" w:space="0" w:color="auto"/>
            <w:left w:val="none" w:sz="0" w:space="0" w:color="auto"/>
            <w:bottom w:val="none" w:sz="0" w:space="0" w:color="auto"/>
            <w:right w:val="none" w:sz="0" w:space="0" w:color="auto"/>
          </w:divBdr>
          <w:divsChild>
            <w:div w:id="20753494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5716727">
      <w:bodyDiv w:val="1"/>
      <w:marLeft w:val="0"/>
      <w:marRight w:val="0"/>
      <w:marTop w:val="0"/>
      <w:marBottom w:val="0"/>
      <w:divBdr>
        <w:top w:val="none" w:sz="0" w:space="0" w:color="auto"/>
        <w:left w:val="none" w:sz="0" w:space="0" w:color="auto"/>
        <w:bottom w:val="none" w:sz="0" w:space="0" w:color="auto"/>
        <w:right w:val="none" w:sz="0" w:space="0" w:color="auto"/>
      </w:divBdr>
      <w:divsChild>
        <w:div w:id="1192960668">
          <w:marLeft w:val="0"/>
          <w:marRight w:val="0"/>
          <w:marTop w:val="0"/>
          <w:marBottom w:val="0"/>
          <w:divBdr>
            <w:top w:val="none" w:sz="0" w:space="0" w:color="auto"/>
            <w:left w:val="none" w:sz="0" w:space="0" w:color="auto"/>
            <w:bottom w:val="none" w:sz="0" w:space="0" w:color="auto"/>
            <w:right w:val="none" w:sz="0" w:space="0" w:color="auto"/>
          </w:divBdr>
          <w:divsChild>
            <w:div w:id="1143352061">
              <w:marLeft w:val="0"/>
              <w:marRight w:val="0"/>
              <w:marTop w:val="105"/>
              <w:marBottom w:val="0"/>
              <w:divBdr>
                <w:top w:val="none" w:sz="0" w:space="0" w:color="auto"/>
                <w:left w:val="none" w:sz="0" w:space="0" w:color="auto"/>
                <w:bottom w:val="none" w:sz="0" w:space="0" w:color="auto"/>
                <w:right w:val="none" w:sz="0" w:space="0" w:color="auto"/>
              </w:divBdr>
            </w:div>
          </w:divsChild>
        </w:div>
        <w:div w:id="1410150421">
          <w:marLeft w:val="0"/>
          <w:marRight w:val="0"/>
          <w:marTop w:val="0"/>
          <w:marBottom w:val="0"/>
          <w:divBdr>
            <w:top w:val="none" w:sz="0" w:space="0" w:color="auto"/>
            <w:left w:val="none" w:sz="0" w:space="0" w:color="auto"/>
            <w:bottom w:val="none" w:sz="0" w:space="0" w:color="auto"/>
            <w:right w:val="none" w:sz="0" w:space="0" w:color="auto"/>
          </w:divBdr>
          <w:divsChild>
            <w:div w:id="1073088592">
              <w:marLeft w:val="0"/>
              <w:marRight w:val="0"/>
              <w:marTop w:val="105"/>
              <w:marBottom w:val="0"/>
              <w:divBdr>
                <w:top w:val="none" w:sz="0" w:space="0" w:color="auto"/>
                <w:left w:val="none" w:sz="0" w:space="0" w:color="auto"/>
                <w:bottom w:val="none" w:sz="0" w:space="0" w:color="auto"/>
                <w:right w:val="none" w:sz="0" w:space="0" w:color="auto"/>
              </w:divBdr>
            </w:div>
            <w:div w:id="2070690804">
              <w:marLeft w:val="0"/>
              <w:marRight w:val="0"/>
              <w:marTop w:val="0"/>
              <w:marBottom w:val="0"/>
              <w:divBdr>
                <w:top w:val="none" w:sz="0" w:space="0" w:color="auto"/>
                <w:left w:val="none" w:sz="0" w:space="0" w:color="auto"/>
                <w:bottom w:val="none" w:sz="0" w:space="0" w:color="auto"/>
                <w:right w:val="none" w:sz="0" w:space="0" w:color="auto"/>
              </w:divBdr>
              <w:divsChild>
                <w:div w:id="306976089">
                  <w:marLeft w:val="255"/>
                  <w:marRight w:val="0"/>
                  <w:marTop w:val="0"/>
                  <w:marBottom w:val="0"/>
                  <w:divBdr>
                    <w:top w:val="none" w:sz="0" w:space="0" w:color="auto"/>
                    <w:left w:val="none" w:sz="0" w:space="0" w:color="auto"/>
                    <w:bottom w:val="none" w:sz="0" w:space="0" w:color="auto"/>
                    <w:right w:val="none" w:sz="0" w:space="0" w:color="auto"/>
                  </w:divBdr>
                  <w:divsChild>
                    <w:div w:id="1980718331">
                      <w:marLeft w:val="300"/>
                      <w:marRight w:val="0"/>
                      <w:marTop w:val="0"/>
                      <w:marBottom w:val="0"/>
                      <w:divBdr>
                        <w:top w:val="none" w:sz="0" w:space="0" w:color="auto"/>
                        <w:left w:val="none" w:sz="0" w:space="0" w:color="auto"/>
                        <w:bottom w:val="none" w:sz="0" w:space="0" w:color="auto"/>
                        <w:right w:val="none" w:sz="0" w:space="0" w:color="auto"/>
                      </w:divBdr>
                    </w:div>
                    <w:div w:id="645551489">
                      <w:marLeft w:val="300"/>
                      <w:marRight w:val="0"/>
                      <w:marTop w:val="0"/>
                      <w:marBottom w:val="0"/>
                      <w:divBdr>
                        <w:top w:val="none" w:sz="0" w:space="0" w:color="auto"/>
                        <w:left w:val="none" w:sz="0" w:space="0" w:color="auto"/>
                        <w:bottom w:val="none" w:sz="0" w:space="0" w:color="auto"/>
                        <w:right w:val="none" w:sz="0" w:space="0" w:color="auto"/>
                      </w:divBdr>
                    </w:div>
                    <w:div w:id="1528565492">
                      <w:marLeft w:val="300"/>
                      <w:marRight w:val="0"/>
                      <w:marTop w:val="0"/>
                      <w:marBottom w:val="0"/>
                      <w:divBdr>
                        <w:top w:val="none" w:sz="0" w:space="0" w:color="auto"/>
                        <w:left w:val="none" w:sz="0" w:space="0" w:color="auto"/>
                        <w:bottom w:val="none" w:sz="0" w:space="0" w:color="auto"/>
                        <w:right w:val="none" w:sz="0" w:space="0" w:color="auto"/>
                      </w:divBdr>
                    </w:div>
                    <w:div w:id="608317986">
                      <w:marLeft w:val="300"/>
                      <w:marRight w:val="0"/>
                      <w:marTop w:val="0"/>
                      <w:marBottom w:val="0"/>
                      <w:divBdr>
                        <w:top w:val="none" w:sz="0" w:space="0" w:color="auto"/>
                        <w:left w:val="none" w:sz="0" w:space="0" w:color="auto"/>
                        <w:bottom w:val="none" w:sz="0" w:space="0" w:color="auto"/>
                        <w:right w:val="none" w:sz="0" w:space="0" w:color="auto"/>
                      </w:divBdr>
                    </w:div>
                    <w:div w:id="1623656017">
                      <w:marLeft w:val="300"/>
                      <w:marRight w:val="0"/>
                      <w:marTop w:val="0"/>
                      <w:marBottom w:val="0"/>
                      <w:divBdr>
                        <w:top w:val="none" w:sz="0" w:space="0" w:color="auto"/>
                        <w:left w:val="none" w:sz="0" w:space="0" w:color="auto"/>
                        <w:bottom w:val="none" w:sz="0" w:space="0" w:color="auto"/>
                        <w:right w:val="none" w:sz="0" w:space="0" w:color="auto"/>
                      </w:divBdr>
                    </w:div>
                    <w:div w:id="1845364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9341740">
              <w:marLeft w:val="0"/>
              <w:marRight w:val="0"/>
              <w:marTop w:val="0"/>
              <w:marBottom w:val="0"/>
              <w:divBdr>
                <w:top w:val="none" w:sz="0" w:space="0" w:color="auto"/>
                <w:left w:val="none" w:sz="0" w:space="0" w:color="auto"/>
                <w:bottom w:val="none" w:sz="0" w:space="0" w:color="auto"/>
                <w:right w:val="none" w:sz="0" w:space="0" w:color="auto"/>
              </w:divBdr>
              <w:divsChild>
                <w:div w:id="617639080">
                  <w:marLeft w:val="255"/>
                  <w:marRight w:val="0"/>
                  <w:marTop w:val="0"/>
                  <w:marBottom w:val="0"/>
                  <w:divBdr>
                    <w:top w:val="none" w:sz="0" w:space="0" w:color="auto"/>
                    <w:left w:val="none" w:sz="0" w:space="0" w:color="auto"/>
                    <w:bottom w:val="none" w:sz="0" w:space="0" w:color="auto"/>
                    <w:right w:val="none" w:sz="0" w:space="0" w:color="auto"/>
                  </w:divBdr>
                </w:div>
              </w:divsChild>
            </w:div>
            <w:div w:id="368338516">
              <w:marLeft w:val="0"/>
              <w:marRight w:val="0"/>
              <w:marTop w:val="0"/>
              <w:marBottom w:val="0"/>
              <w:divBdr>
                <w:top w:val="none" w:sz="0" w:space="0" w:color="auto"/>
                <w:left w:val="none" w:sz="0" w:space="0" w:color="auto"/>
                <w:bottom w:val="none" w:sz="0" w:space="0" w:color="auto"/>
                <w:right w:val="none" w:sz="0" w:space="0" w:color="auto"/>
              </w:divBdr>
              <w:divsChild>
                <w:div w:id="1864499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01876564">
          <w:marLeft w:val="0"/>
          <w:marRight w:val="0"/>
          <w:marTop w:val="0"/>
          <w:marBottom w:val="0"/>
          <w:divBdr>
            <w:top w:val="none" w:sz="0" w:space="0" w:color="auto"/>
            <w:left w:val="none" w:sz="0" w:space="0" w:color="auto"/>
            <w:bottom w:val="none" w:sz="0" w:space="0" w:color="auto"/>
            <w:right w:val="none" w:sz="0" w:space="0" w:color="auto"/>
          </w:divBdr>
          <w:divsChild>
            <w:div w:id="679115047">
              <w:marLeft w:val="0"/>
              <w:marRight w:val="0"/>
              <w:marTop w:val="105"/>
              <w:marBottom w:val="0"/>
              <w:divBdr>
                <w:top w:val="none" w:sz="0" w:space="0" w:color="auto"/>
                <w:left w:val="none" w:sz="0" w:space="0" w:color="auto"/>
                <w:bottom w:val="none" w:sz="0" w:space="0" w:color="auto"/>
                <w:right w:val="none" w:sz="0" w:space="0" w:color="auto"/>
              </w:divBdr>
            </w:div>
          </w:divsChild>
        </w:div>
        <w:div w:id="2077780458">
          <w:marLeft w:val="0"/>
          <w:marRight w:val="0"/>
          <w:marTop w:val="0"/>
          <w:marBottom w:val="0"/>
          <w:divBdr>
            <w:top w:val="none" w:sz="0" w:space="0" w:color="auto"/>
            <w:left w:val="none" w:sz="0" w:space="0" w:color="auto"/>
            <w:bottom w:val="none" w:sz="0" w:space="0" w:color="auto"/>
            <w:right w:val="none" w:sz="0" w:space="0" w:color="auto"/>
          </w:divBdr>
          <w:divsChild>
            <w:div w:id="1878539004">
              <w:marLeft w:val="0"/>
              <w:marRight w:val="0"/>
              <w:marTop w:val="105"/>
              <w:marBottom w:val="0"/>
              <w:divBdr>
                <w:top w:val="none" w:sz="0" w:space="0" w:color="auto"/>
                <w:left w:val="none" w:sz="0" w:space="0" w:color="auto"/>
                <w:bottom w:val="none" w:sz="0" w:space="0" w:color="auto"/>
                <w:right w:val="none" w:sz="0" w:space="0" w:color="auto"/>
              </w:divBdr>
            </w:div>
          </w:divsChild>
        </w:div>
        <w:div w:id="817766832">
          <w:marLeft w:val="0"/>
          <w:marRight w:val="0"/>
          <w:marTop w:val="0"/>
          <w:marBottom w:val="0"/>
          <w:divBdr>
            <w:top w:val="none" w:sz="0" w:space="0" w:color="auto"/>
            <w:left w:val="none" w:sz="0" w:space="0" w:color="auto"/>
            <w:bottom w:val="none" w:sz="0" w:space="0" w:color="auto"/>
            <w:right w:val="none" w:sz="0" w:space="0" w:color="auto"/>
          </w:divBdr>
          <w:divsChild>
            <w:div w:id="1861967446">
              <w:marLeft w:val="0"/>
              <w:marRight w:val="0"/>
              <w:marTop w:val="105"/>
              <w:marBottom w:val="0"/>
              <w:divBdr>
                <w:top w:val="none" w:sz="0" w:space="0" w:color="auto"/>
                <w:left w:val="none" w:sz="0" w:space="0" w:color="auto"/>
                <w:bottom w:val="none" w:sz="0" w:space="0" w:color="auto"/>
                <w:right w:val="none" w:sz="0" w:space="0" w:color="auto"/>
              </w:divBdr>
            </w:div>
          </w:divsChild>
        </w:div>
        <w:div w:id="914780072">
          <w:marLeft w:val="0"/>
          <w:marRight w:val="0"/>
          <w:marTop w:val="0"/>
          <w:marBottom w:val="0"/>
          <w:divBdr>
            <w:top w:val="none" w:sz="0" w:space="0" w:color="auto"/>
            <w:left w:val="none" w:sz="0" w:space="0" w:color="auto"/>
            <w:bottom w:val="none" w:sz="0" w:space="0" w:color="auto"/>
            <w:right w:val="none" w:sz="0" w:space="0" w:color="auto"/>
          </w:divBdr>
          <w:divsChild>
            <w:div w:id="20345021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0812752">
      <w:bodyDiv w:val="1"/>
      <w:marLeft w:val="0"/>
      <w:marRight w:val="0"/>
      <w:marTop w:val="0"/>
      <w:marBottom w:val="0"/>
      <w:divBdr>
        <w:top w:val="none" w:sz="0" w:space="0" w:color="auto"/>
        <w:left w:val="none" w:sz="0" w:space="0" w:color="auto"/>
        <w:bottom w:val="none" w:sz="0" w:space="0" w:color="auto"/>
        <w:right w:val="none" w:sz="0" w:space="0" w:color="auto"/>
      </w:divBdr>
      <w:divsChild>
        <w:div w:id="774405113">
          <w:marLeft w:val="0"/>
          <w:marRight w:val="0"/>
          <w:marTop w:val="0"/>
          <w:marBottom w:val="0"/>
          <w:divBdr>
            <w:top w:val="none" w:sz="0" w:space="0" w:color="auto"/>
            <w:left w:val="none" w:sz="0" w:space="0" w:color="auto"/>
            <w:bottom w:val="none" w:sz="0" w:space="0" w:color="auto"/>
            <w:right w:val="none" w:sz="0" w:space="0" w:color="auto"/>
          </w:divBdr>
          <w:divsChild>
            <w:div w:id="302082567">
              <w:marLeft w:val="0"/>
              <w:marRight w:val="0"/>
              <w:marTop w:val="105"/>
              <w:marBottom w:val="0"/>
              <w:divBdr>
                <w:top w:val="none" w:sz="0" w:space="0" w:color="auto"/>
                <w:left w:val="none" w:sz="0" w:space="0" w:color="auto"/>
                <w:bottom w:val="none" w:sz="0" w:space="0" w:color="auto"/>
                <w:right w:val="none" w:sz="0" w:space="0" w:color="auto"/>
              </w:divBdr>
            </w:div>
          </w:divsChild>
        </w:div>
        <w:div w:id="1487284595">
          <w:marLeft w:val="0"/>
          <w:marRight w:val="0"/>
          <w:marTop w:val="0"/>
          <w:marBottom w:val="0"/>
          <w:divBdr>
            <w:top w:val="none" w:sz="0" w:space="0" w:color="auto"/>
            <w:left w:val="none" w:sz="0" w:space="0" w:color="auto"/>
            <w:bottom w:val="none" w:sz="0" w:space="0" w:color="auto"/>
            <w:right w:val="none" w:sz="0" w:space="0" w:color="auto"/>
          </w:divBdr>
          <w:divsChild>
            <w:div w:id="543323323">
              <w:marLeft w:val="0"/>
              <w:marRight w:val="0"/>
              <w:marTop w:val="105"/>
              <w:marBottom w:val="0"/>
              <w:divBdr>
                <w:top w:val="none" w:sz="0" w:space="0" w:color="auto"/>
                <w:left w:val="none" w:sz="0" w:space="0" w:color="auto"/>
                <w:bottom w:val="none" w:sz="0" w:space="0" w:color="auto"/>
                <w:right w:val="none" w:sz="0" w:space="0" w:color="auto"/>
              </w:divBdr>
            </w:div>
          </w:divsChild>
        </w:div>
        <w:div w:id="1706171666">
          <w:marLeft w:val="0"/>
          <w:marRight w:val="0"/>
          <w:marTop w:val="0"/>
          <w:marBottom w:val="0"/>
          <w:divBdr>
            <w:top w:val="none" w:sz="0" w:space="0" w:color="auto"/>
            <w:left w:val="none" w:sz="0" w:space="0" w:color="auto"/>
            <w:bottom w:val="none" w:sz="0" w:space="0" w:color="auto"/>
            <w:right w:val="none" w:sz="0" w:space="0" w:color="auto"/>
          </w:divBdr>
          <w:divsChild>
            <w:div w:id="9353602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6229973">
      <w:bodyDiv w:val="1"/>
      <w:marLeft w:val="0"/>
      <w:marRight w:val="0"/>
      <w:marTop w:val="0"/>
      <w:marBottom w:val="0"/>
      <w:divBdr>
        <w:top w:val="none" w:sz="0" w:space="0" w:color="auto"/>
        <w:left w:val="none" w:sz="0" w:space="0" w:color="auto"/>
        <w:bottom w:val="none" w:sz="0" w:space="0" w:color="auto"/>
        <w:right w:val="none" w:sz="0" w:space="0" w:color="auto"/>
      </w:divBdr>
      <w:divsChild>
        <w:div w:id="2017264932">
          <w:marLeft w:val="0"/>
          <w:marRight w:val="0"/>
          <w:marTop w:val="0"/>
          <w:marBottom w:val="0"/>
          <w:divBdr>
            <w:top w:val="none" w:sz="0" w:space="0" w:color="auto"/>
            <w:left w:val="none" w:sz="0" w:space="0" w:color="auto"/>
            <w:bottom w:val="none" w:sz="0" w:space="0" w:color="auto"/>
            <w:right w:val="none" w:sz="0" w:space="0" w:color="auto"/>
          </w:divBdr>
          <w:divsChild>
            <w:div w:id="1605266246">
              <w:marLeft w:val="0"/>
              <w:marRight w:val="0"/>
              <w:marTop w:val="105"/>
              <w:marBottom w:val="0"/>
              <w:divBdr>
                <w:top w:val="none" w:sz="0" w:space="0" w:color="auto"/>
                <w:left w:val="none" w:sz="0" w:space="0" w:color="auto"/>
                <w:bottom w:val="none" w:sz="0" w:space="0" w:color="auto"/>
                <w:right w:val="none" w:sz="0" w:space="0" w:color="auto"/>
              </w:divBdr>
            </w:div>
          </w:divsChild>
        </w:div>
        <w:div w:id="908611687">
          <w:marLeft w:val="0"/>
          <w:marRight w:val="0"/>
          <w:marTop w:val="0"/>
          <w:marBottom w:val="0"/>
          <w:divBdr>
            <w:top w:val="none" w:sz="0" w:space="0" w:color="auto"/>
            <w:left w:val="none" w:sz="0" w:space="0" w:color="auto"/>
            <w:bottom w:val="none" w:sz="0" w:space="0" w:color="auto"/>
            <w:right w:val="none" w:sz="0" w:space="0" w:color="auto"/>
          </w:divBdr>
          <w:divsChild>
            <w:div w:id="848639323">
              <w:marLeft w:val="0"/>
              <w:marRight w:val="0"/>
              <w:marTop w:val="105"/>
              <w:marBottom w:val="0"/>
              <w:divBdr>
                <w:top w:val="none" w:sz="0" w:space="0" w:color="auto"/>
                <w:left w:val="none" w:sz="0" w:space="0" w:color="auto"/>
                <w:bottom w:val="none" w:sz="0" w:space="0" w:color="auto"/>
                <w:right w:val="none" w:sz="0" w:space="0" w:color="auto"/>
              </w:divBdr>
            </w:div>
            <w:div w:id="1050805738">
              <w:marLeft w:val="0"/>
              <w:marRight w:val="0"/>
              <w:marTop w:val="0"/>
              <w:marBottom w:val="0"/>
              <w:divBdr>
                <w:top w:val="none" w:sz="0" w:space="0" w:color="auto"/>
                <w:left w:val="none" w:sz="0" w:space="0" w:color="auto"/>
                <w:bottom w:val="none" w:sz="0" w:space="0" w:color="auto"/>
                <w:right w:val="none" w:sz="0" w:space="0" w:color="auto"/>
              </w:divBdr>
              <w:divsChild>
                <w:div w:id="67776937">
                  <w:marLeft w:val="255"/>
                  <w:marRight w:val="0"/>
                  <w:marTop w:val="0"/>
                  <w:marBottom w:val="0"/>
                  <w:divBdr>
                    <w:top w:val="none" w:sz="0" w:space="0" w:color="auto"/>
                    <w:left w:val="none" w:sz="0" w:space="0" w:color="auto"/>
                    <w:bottom w:val="none" w:sz="0" w:space="0" w:color="auto"/>
                    <w:right w:val="none" w:sz="0" w:space="0" w:color="auto"/>
                  </w:divBdr>
                </w:div>
              </w:divsChild>
            </w:div>
            <w:div w:id="1890722925">
              <w:marLeft w:val="0"/>
              <w:marRight w:val="0"/>
              <w:marTop w:val="0"/>
              <w:marBottom w:val="0"/>
              <w:divBdr>
                <w:top w:val="none" w:sz="0" w:space="0" w:color="auto"/>
                <w:left w:val="none" w:sz="0" w:space="0" w:color="auto"/>
                <w:bottom w:val="none" w:sz="0" w:space="0" w:color="auto"/>
                <w:right w:val="none" w:sz="0" w:space="0" w:color="auto"/>
              </w:divBdr>
              <w:divsChild>
                <w:div w:id="2001811890">
                  <w:marLeft w:val="255"/>
                  <w:marRight w:val="0"/>
                  <w:marTop w:val="0"/>
                  <w:marBottom w:val="0"/>
                  <w:divBdr>
                    <w:top w:val="none" w:sz="0" w:space="0" w:color="auto"/>
                    <w:left w:val="none" w:sz="0" w:space="0" w:color="auto"/>
                    <w:bottom w:val="none" w:sz="0" w:space="0" w:color="auto"/>
                    <w:right w:val="none" w:sz="0" w:space="0" w:color="auto"/>
                  </w:divBdr>
                </w:div>
              </w:divsChild>
            </w:div>
            <w:div w:id="843515999">
              <w:marLeft w:val="0"/>
              <w:marRight w:val="0"/>
              <w:marTop w:val="0"/>
              <w:marBottom w:val="0"/>
              <w:divBdr>
                <w:top w:val="none" w:sz="0" w:space="0" w:color="auto"/>
                <w:left w:val="none" w:sz="0" w:space="0" w:color="auto"/>
                <w:bottom w:val="none" w:sz="0" w:space="0" w:color="auto"/>
                <w:right w:val="none" w:sz="0" w:space="0" w:color="auto"/>
              </w:divBdr>
              <w:divsChild>
                <w:div w:id="70785624">
                  <w:marLeft w:val="255"/>
                  <w:marRight w:val="0"/>
                  <w:marTop w:val="0"/>
                  <w:marBottom w:val="0"/>
                  <w:divBdr>
                    <w:top w:val="none" w:sz="0" w:space="0" w:color="auto"/>
                    <w:left w:val="none" w:sz="0" w:space="0" w:color="auto"/>
                    <w:bottom w:val="none" w:sz="0" w:space="0" w:color="auto"/>
                    <w:right w:val="none" w:sz="0" w:space="0" w:color="auto"/>
                  </w:divBdr>
                </w:div>
              </w:divsChild>
            </w:div>
            <w:div w:id="1288731428">
              <w:marLeft w:val="0"/>
              <w:marRight w:val="0"/>
              <w:marTop w:val="0"/>
              <w:marBottom w:val="0"/>
              <w:divBdr>
                <w:top w:val="none" w:sz="0" w:space="0" w:color="auto"/>
                <w:left w:val="none" w:sz="0" w:space="0" w:color="auto"/>
                <w:bottom w:val="none" w:sz="0" w:space="0" w:color="auto"/>
                <w:right w:val="none" w:sz="0" w:space="0" w:color="auto"/>
              </w:divBdr>
              <w:divsChild>
                <w:div w:id="7005891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95648456">
          <w:marLeft w:val="0"/>
          <w:marRight w:val="0"/>
          <w:marTop w:val="0"/>
          <w:marBottom w:val="0"/>
          <w:divBdr>
            <w:top w:val="none" w:sz="0" w:space="0" w:color="auto"/>
            <w:left w:val="none" w:sz="0" w:space="0" w:color="auto"/>
            <w:bottom w:val="none" w:sz="0" w:space="0" w:color="auto"/>
            <w:right w:val="none" w:sz="0" w:space="0" w:color="auto"/>
          </w:divBdr>
          <w:divsChild>
            <w:div w:id="721363672">
              <w:marLeft w:val="0"/>
              <w:marRight w:val="0"/>
              <w:marTop w:val="105"/>
              <w:marBottom w:val="0"/>
              <w:divBdr>
                <w:top w:val="none" w:sz="0" w:space="0" w:color="auto"/>
                <w:left w:val="none" w:sz="0" w:space="0" w:color="auto"/>
                <w:bottom w:val="none" w:sz="0" w:space="0" w:color="auto"/>
                <w:right w:val="none" w:sz="0" w:space="0" w:color="auto"/>
              </w:divBdr>
            </w:div>
          </w:divsChild>
        </w:div>
        <w:div w:id="15159994">
          <w:marLeft w:val="0"/>
          <w:marRight w:val="0"/>
          <w:marTop w:val="0"/>
          <w:marBottom w:val="0"/>
          <w:divBdr>
            <w:top w:val="none" w:sz="0" w:space="0" w:color="auto"/>
            <w:left w:val="none" w:sz="0" w:space="0" w:color="auto"/>
            <w:bottom w:val="none" w:sz="0" w:space="0" w:color="auto"/>
            <w:right w:val="none" w:sz="0" w:space="0" w:color="auto"/>
          </w:divBdr>
          <w:divsChild>
            <w:div w:id="47071592">
              <w:marLeft w:val="0"/>
              <w:marRight w:val="0"/>
              <w:marTop w:val="105"/>
              <w:marBottom w:val="0"/>
              <w:divBdr>
                <w:top w:val="none" w:sz="0" w:space="0" w:color="auto"/>
                <w:left w:val="none" w:sz="0" w:space="0" w:color="auto"/>
                <w:bottom w:val="none" w:sz="0" w:space="0" w:color="auto"/>
                <w:right w:val="none" w:sz="0" w:space="0" w:color="auto"/>
              </w:divBdr>
            </w:div>
            <w:div w:id="938948391">
              <w:marLeft w:val="0"/>
              <w:marRight w:val="0"/>
              <w:marTop w:val="0"/>
              <w:marBottom w:val="0"/>
              <w:divBdr>
                <w:top w:val="none" w:sz="0" w:space="0" w:color="auto"/>
                <w:left w:val="none" w:sz="0" w:space="0" w:color="auto"/>
                <w:bottom w:val="none" w:sz="0" w:space="0" w:color="auto"/>
                <w:right w:val="none" w:sz="0" w:space="0" w:color="auto"/>
              </w:divBdr>
              <w:divsChild>
                <w:div w:id="1510484953">
                  <w:marLeft w:val="255"/>
                  <w:marRight w:val="0"/>
                  <w:marTop w:val="0"/>
                  <w:marBottom w:val="0"/>
                  <w:divBdr>
                    <w:top w:val="none" w:sz="0" w:space="0" w:color="auto"/>
                    <w:left w:val="none" w:sz="0" w:space="0" w:color="auto"/>
                    <w:bottom w:val="none" w:sz="0" w:space="0" w:color="auto"/>
                    <w:right w:val="none" w:sz="0" w:space="0" w:color="auto"/>
                  </w:divBdr>
                </w:div>
              </w:divsChild>
            </w:div>
            <w:div w:id="1362171221">
              <w:marLeft w:val="0"/>
              <w:marRight w:val="0"/>
              <w:marTop w:val="0"/>
              <w:marBottom w:val="0"/>
              <w:divBdr>
                <w:top w:val="none" w:sz="0" w:space="0" w:color="auto"/>
                <w:left w:val="none" w:sz="0" w:space="0" w:color="auto"/>
                <w:bottom w:val="none" w:sz="0" w:space="0" w:color="auto"/>
                <w:right w:val="none" w:sz="0" w:space="0" w:color="auto"/>
              </w:divBdr>
              <w:divsChild>
                <w:div w:id="2028748963">
                  <w:marLeft w:val="255"/>
                  <w:marRight w:val="0"/>
                  <w:marTop w:val="0"/>
                  <w:marBottom w:val="0"/>
                  <w:divBdr>
                    <w:top w:val="none" w:sz="0" w:space="0" w:color="auto"/>
                    <w:left w:val="none" w:sz="0" w:space="0" w:color="auto"/>
                    <w:bottom w:val="none" w:sz="0" w:space="0" w:color="auto"/>
                    <w:right w:val="none" w:sz="0" w:space="0" w:color="auto"/>
                  </w:divBdr>
                </w:div>
              </w:divsChild>
            </w:div>
            <w:div w:id="1329670626">
              <w:marLeft w:val="0"/>
              <w:marRight w:val="0"/>
              <w:marTop w:val="0"/>
              <w:marBottom w:val="0"/>
              <w:divBdr>
                <w:top w:val="none" w:sz="0" w:space="0" w:color="auto"/>
                <w:left w:val="none" w:sz="0" w:space="0" w:color="auto"/>
                <w:bottom w:val="none" w:sz="0" w:space="0" w:color="auto"/>
                <w:right w:val="none" w:sz="0" w:space="0" w:color="auto"/>
              </w:divBdr>
              <w:divsChild>
                <w:div w:id="1904873091">
                  <w:marLeft w:val="255"/>
                  <w:marRight w:val="0"/>
                  <w:marTop w:val="0"/>
                  <w:marBottom w:val="0"/>
                  <w:divBdr>
                    <w:top w:val="none" w:sz="0" w:space="0" w:color="auto"/>
                    <w:left w:val="none" w:sz="0" w:space="0" w:color="auto"/>
                    <w:bottom w:val="none" w:sz="0" w:space="0" w:color="auto"/>
                    <w:right w:val="none" w:sz="0" w:space="0" w:color="auto"/>
                  </w:divBdr>
                </w:div>
              </w:divsChild>
            </w:div>
            <w:div w:id="1561407466">
              <w:marLeft w:val="0"/>
              <w:marRight w:val="0"/>
              <w:marTop w:val="0"/>
              <w:marBottom w:val="0"/>
              <w:divBdr>
                <w:top w:val="none" w:sz="0" w:space="0" w:color="auto"/>
                <w:left w:val="none" w:sz="0" w:space="0" w:color="auto"/>
                <w:bottom w:val="none" w:sz="0" w:space="0" w:color="auto"/>
                <w:right w:val="none" w:sz="0" w:space="0" w:color="auto"/>
              </w:divBdr>
              <w:divsChild>
                <w:div w:id="1380863441">
                  <w:marLeft w:val="255"/>
                  <w:marRight w:val="0"/>
                  <w:marTop w:val="0"/>
                  <w:marBottom w:val="0"/>
                  <w:divBdr>
                    <w:top w:val="none" w:sz="0" w:space="0" w:color="auto"/>
                    <w:left w:val="none" w:sz="0" w:space="0" w:color="auto"/>
                    <w:bottom w:val="none" w:sz="0" w:space="0" w:color="auto"/>
                    <w:right w:val="none" w:sz="0" w:space="0" w:color="auto"/>
                  </w:divBdr>
                </w:div>
              </w:divsChild>
            </w:div>
            <w:div w:id="140390547">
              <w:marLeft w:val="0"/>
              <w:marRight w:val="0"/>
              <w:marTop w:val="0"/>
              <w:marBottom w:val="0"/>
              <w:divBdr>
                <w:top w:val="none" w:sz="0" w:space="0" w:color="auto"/>
                <w:left w:val="none" w:sz="0" w:space="0" w:color="auto"/>
                <w:bottom w:val="none" w:sz="0" w:space="0" w:color="auto"/>
                <w:right w:val="none" w:sz="0" w:space="0" w:color="auto"/>
              </w:divBdr>
              <w:divsChild>
                <w:div w:id="12141921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57794892">
          <w:marLeft w:val="0"/>
          <w:marRight w:val="0"/>
          <w:marTop w:val="0"/>
          <w:marBottom w:val="0"/>
          <w:divBdr>
            <w:top w:val="none" w:sz="0" w:space="0" w:color="auto"/>
            <w:left w:val="none" w:sz="0" w:space="0" w:color="auto"/>
            <w:bottom w:val="none" w:sz="0" w:space="0" w:color="auto"/>
            <w:right w:val="none" w:sz="0" w:space="0" w:color="auto"/>
          </w:divBdr>
          <w:divsChild>
            <w:div w:id="12162324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6344733">
      <w:bodyDiv w:val="1"/>
      <w:marLeft w:val="0"/>
      <w:marRight w:val="0"/>
      <w:marTop w:val="0"/>
      <w:marBottom w:val="0"/>
      <w:divBdr>
        <w:top w:val="none" w:sz="0" w:space="0" w:color="auto"/>
        <w:left w:val="none" w:sz="0" w:space="0" w:color="auto"/>
        <w:bottom w:val="none" w:sz="0" w:space="0" w:color="auto"/>
        <w:right w:val="none" w:sz="0" w:space="0" w:color="auto"/>
      </w:divBdr>
      <w:divsChild>
        <w:div w:id="288434884">
          <w:marLeft w:val="0"/>
          <w:marRight w:val="0"/>
          <w:marTop w:val="0"/>
          <w:marBottom w:val="0"/>
          <w:divBdr>
            <w:top w:val="none" w:sz="0" w:space="0" w:color="auto"/>
            <w:left w:val="none" w:sz="0" w:space="0" w:color="auto"/>
            <w:bottom w:val="none" w:sz="0" w:space="0" w:color="auto"/>
            <w:right w:val="none" w:sz="0" w:space="0" w:color="auto"/>
          </w:divBdr>
          <w:divsChild>
            <w:div w:id="528688284">
              <w:marLeft w:val="0"/>
              <w:marRight w:val="0"/>
              <w:marTop w:val="105"/>
              <w:marBottom w:val="0"/>
              <w:divBdr>
                <w:top w:val="none" w:sz="0" w:space="0" w:color="auto"/>
                <w:left w:val="none" w:sz="0" w:space="0" w:color="auto"/>
                <w:bottom w:val="none" w:sz="0" w:space="0" w:color="auto"/>
                <w:right w:val="none" w:sz="0" w:space="0" w:color="auto"/>
              </w:divBdr>
            </w:div>
            <w:div w:id="1169566820">
              <w:marLeft w:val="0"/>
              <w:marRight w:val="0"/>
              <w:marTop w:val="0"/>
              <w:marBottom w:val="0"/>
              <w:divBdr>
                <w:top w:val="none" w:sz="0" w:space="0" w:color="auto"/>
                <w:left w:val="none" w:sz="0" w:space="0" w:color="auto"/>
                <w:bottom w:val="none" w:sz="0" w:space="0" w:color="auto"/>
                <w:right w:val="none" w:sz="0" w:space="0" w:color="auto"/>
              </w:divBdr>
              <w:divsChild>
                <w:div w:id="100228448">
                  <w:marLeft w:val="255"/>
                  <w:marRight w:val="0"/>
                  <w:marTop w:val="0"/>
                  <w:marBottom w:val="0"/>
                  <w:divBdr>
                    <w:top w:val="none" w:sz="0" w:space="0" w:color="auto"/>
                    <w:left w:val="none" w:sz="0" w:space="0" w:color="auto"/>
                    <w:bottom w:val="none" w:sz="0" w:space="0" w:color="auto"/>
                    <w:right w:val="none" w:sz="0" w:space="0" w:color="auto"/>
                  </w:divBdr>
                </w:div>
              </w:divsChild>
            </w:div>
            <w:div w:id="2047827693">
              <w:marLeft w:val="0"/>
              <w:marRight w:val="0"/>
              <w:marTop w:val="0"/>
              <w:marBottom w:val="0"/>
              <w:divBdr>
                <w:top w:val="none" w:sz="0" w:space="0" w:color="auto"/>
                <w:left w:val="none" w:sz="0" w:space="0" w:color="auto"/>
                <w:bottom w:val="none" w:sz="0" w:space="0" w:color="auto"/>
                <w:right w:val="none" w:sz="0" w:space="0" w:color="auto"/>
              </w:divBdr>
              <w:divsChild>
                <w:div w:id="503974943">
                  <w:marLeft w:val="255"/>
                  <w:marRight w:val="0"/>
                  <w:marTop w:val="0"/>
                  <w:marBottom w:val="0"/>
                  <w:divBdr>
                    <w:top w:val="none" w:sz="0" w:space="0" w:color="auto"/>
                    <w:left w:val="none" w:sz="0" w:space="0" w:color="auto"/>
                    <w:bottom w:val="none" w:sz="0" w:space="0" w:color="auto"/>
                    <w:right w:val="none" w:sz="0" w:space="0" w:color="auto"/>
                  </w:divBdr>
                </w:div>
              </w:divsChild>
            </w:div>
            <w:div w:id="72438059">
              <w:marLeft w:val="0"/>
              <w:marRight w:val="0"/>
              <w:marTop w:val="0"/>
              <w:marBottom w:val="0"/>
              <w:divBdr>
                <w:top w:val="none" w:sz="0" w:space="0" w:color="auto"/>
                <w:left w:val="none" w:sz="0" w:space="0" w:color="auto"/>
                <w:bottom w:val="none" w:sz="0" w:space="0" w:color="auto"/>
                <w:right w:val="none" w:sz="0" w:space="0" w:color="auto"/>
              </w:divBdr>
              <w:divsChild>
                <w:div w:id="15442919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1894563">
          <w:marLeft w:val="0"/>
          <w:marRight w:val="0"/>
          <w:marTop w:val="0"/>
          <w:marBottom w:val="0"/>
          <w:divBdr>
            <w:top w:val="none" w:sz="0" w:space="0" w:color="auto"/>
            <w:left w:val="none" w:sz="0" w:space="0" w:color="auto"/>
            <w:bottom w:val="none" w:sz="0" w:space="0" w:color="auto"/>
            <w:right w:val="none" w:sz="0" w:space="0" w:color="auto"/>
          </w:divBdr>
          <w:divsChild>
            <w:div w:id="949123430">
              <w:marLeft w:val="0"/>
              <w:marRight w:val="0"/>
              <w:marTop w:val="105"/>
              <w:marBottom w:val="0"/>
              <w:divBdr>
                <w:top w:val="none" w:sz="0" w:space="0" w:color="auto"/>
                <w:left w:val="none" w:sz="0" w:space="0" w:color="auto"/>
                <w:bottom w:val="none" w:sz="0" w:space="0" w:color="auto"/>
                <w:right w:val="none" w:sz="0" w:space="0" w:color="auto"/>
              </w:divBdr>
            </w:div>
            <w:div w:id="71586003">
              <w:marLeft w:val="0"/>
              <w:marRight w:val="0"/>
              <w:marTop w:val="0"/>
              <w:marBottom w:val="0"/>
              <w:divBdr>
                <w:top w:val="none" w:sz="0" w:space="0" w:color="auto"/>
                <w:left w:val="none" w:sz="0" w:space="0" w:color="auto"/>
                <w:bottom w:val="none" w:sz="0" w:space="0" w:color="auto"/>
                <w:right w:val="none" w:sz="0" w:space="0" w:color="auto"/>
              </w:divBdr>
              <w:divsChild>
                <w:div w:id="1686594393">
                  <w:marLeft w:val="255"/>
                  <w:marRight w:val="0"/>
                  <w:marTop w:val="0"/>
                  <w:marBottom w:val="0"/>
                  <w:divBdr>
                    <w:top w:val="none" w:sz="0" w:space="0" w:color="auto"/>
                    <w:left w:val="none" w:sz="0" w:space="0" w:color="auto"/>
                    <w:bottom w:val="none" w:sz="0" w:space="0" w:color="auto"/>
                    <w:right w:val="none" w:sz="0" w:space="0" w:color="auto"/>
                  </w:divBdr>
                </w:div>
              </w:divsChild>
            </w:div>
            <w:div w:id="2001957646">
              <w:marLeft w:val="0"/>
              <w:marRight w:val="0"/>
              <w:marTop w:val="0"/>
              <w:marBottom w:val="0"/>
              <w:divBdr>
                <w:top w:val="none" w:sz="0" w:space="0" w:color="auto"/>
                <w:left w:val="none" w:sz="0" w:space="0" w:color="auto"/>
                <w:bottom w:val="none" w:sz="0" w:space="0" w:color="auto"/>
                <w:right w:val="none" w:sz="0" w:space="0" w:color="auto"/>
              </w:divBdr>
              <w:divsChild>
                <w:div w:id="1439372946">
                  <w:marLeft w:val="255"/>
                  <w:marRight w:val="0"/>
                  <w:marTop w:val="0"/>
                  <w:marBottom w:val="0"/>
                  <w:divBdr>
                    <w:top w:val="none" w:sz="0" w:space="0" w:color="auto"/>
                    <w:left w:val="none" w:sz="0" w:space="0" w:color="auto"/>
                    <w:bottom w:val="none" w:sz="0" w:space="0" w:color="auto"/>
                    <w:right w:val="none" w:sz="0" w:space="0" w:color="auto"/>
                  </w:divBdr>
                </w:div>
              </w:divsChild>
            </w:div>
            <w:div w:id="1881277757">
              <w:marLeft w:val="0"/>
              <w:marRight w:val="0"/>
              <w:marTop w:val="0"/>
              <w:marBottom w:val="0"/>
              <w:divBdr>
                <w:top w:val="none" w:sz="0" w:space="0" w:color="auto"/>
                <w:left w:val="none" w:sz="0" w:space="0" w:color="auto"/>
                <w:bottom w:val="none" w:sz="0" w:space="0" w:color="auto"/>
                <w:right w:val="none" w:sz="0" w:space="0" w:color="auto"/>
              </w:divBdr>
              <w:divsChild>
                <w:div w:id="384720815">
                  <w:marLeft w:val="255"/>
                  <w:marRight w:val="0"/>
                  <w:marTop w:val="0"/>
                  <w:marBottom w:val="0"/>
                  <w:divBdr>
                    <w:top w:val="none" w:sz="0" w:space="0" w:color="auto"/>
                    <w:left w:val="none" w:sz="0" w:space="0" w:color="auto"/>
                    <w:bottom w:val="none" w:sz="0" w:space="0" w:color="auto"/>
                    <w:right w:val="none" w:sz="0" w:space="0" w:color="auto"/>
                  </w:divBdr>
                </w:div>
              </w:divsChild>
            </w:div>
            <w:div w:id="1576932533">
              <w:marLeft w:val="0"/>
              <w:marRight w:val="0"/>
              <w:marTop w:val="0"/>
              <w:marBottom w:val="0"/>
              <w:divBdr>
                <w:top w:val="none" w:sz="0" w:space="0" w:color="auto"/>
                <w:left w:val="none" w:sz="0" w:space="0" w:color="auto"/>
                <w:bottom w:val="none" w:sz="0" w:space="0" w:color="auto"/>
                <w:right w:val="none" w:sz="0" w:space="0" w:color="auto"/>
              </w:divBdr>
              <w:divsChild>
                <w:div w:id="1821538098">
                  <w:marLeft w:val="255"/>
                  <w:marRight w:val="0"/>
                  <w:marTop w:val="0"/>
                  <w:marBottom w:val="0"/>
                  <w:divBdr>
                    <w:top w:val="none" w:sz="0" w:space="0" w:color="auto"/>
                    <w:left w:val="none" w:sz="0" w:space="0" w:color="auto"/>
                    <w:bottom w:val="none" w:sz="0" w:space="0" w:color="auto"/>
                    <w:right w:val="none" w:sz="0" w:space="0" w:color="auto"/>
                  </w:divBdr>
                </w:div>
              </w:divsChild>
            </w:div>
            <w:div w:id="1542478366">
              <w:marLeft w:val="0"/>
              <w:marRight w:val="0"/>
              <w:marTop w:val="0"/>
              <w:marBottom w:val="0"/>
              <w:divBdr>
                <w:top w:val="none" w:sz="0" w:space="0" w:color="auto"/>
                <w:left w:val="none" w:sz="0" w:space="0" w:color="auto"/>
                <w:bottom w:val="none" w:sz="0" w:space="0" w:color="auto"/>
                <w:right w:val="none" w:sz="0" w:space="0" w:color="auto"/>
              </w:divBdr>
              <w:divsChild>
                <w:div w:id="2120876558">
                  <w:marLeft w:val="255"/>
                  <w:marRight w:val="0"/>
                  <w:marTop w:val="0"/>
                  <w:marBottom w:val="0"/>
                  <w:divBdr>
                    <w:top w:val="none" w:sz="0" w:space="0" w:color="auto"/>
                    <w:left w:val="none" w:sz="0" w:space="0" w:color="auto"/>
                    <w:bottom w:val="none" w:sz="0" w:space="0" w:color="auto"/>
                    <w:right w:val="none" w:sz="0" w:space="0" w:color="auto"/>
                  </w:divBdr>
                </w:div>
              </w:divsChild>
            </w:div>
            <w:div w:id="942223055">
              <w:marLeft w:val="0"/>
              <w:marRight w:val="0"/>
              <w:marTop w:val="0"/>
              <w:marBottom w:val="0"/>
              <w:divBdr>
                <w:top w:val="none" w:sz="0" w:space="0" w:color="auto"/>
                <w:left w:val="none" w:sz="0" w:space="0" w:color="auto"/>
                <w:bottom w:val="none" w:sz="0" w:space="0" w:color="auto"/>
                <w:right w:val="none" w:sz="0" w:space="0" w:color="auto"/>
              </w:divBdr>
              <w:divsChild>
                <w:div w:id="14131649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41957342">
          <w:marLeft w:val="0"/>
          <w:marRight w:val="0"/>
          <w:marTop w:val="0"/>
          <w:marBottom w:val="0"/>
          <w:divBdr>
            <w:top w:val="none" w:sz="0" w:space="0" w:color="auto"/>
            <w:left w:val="none" w:sz="0" w:space="0" w:color="auto"/>
            <w:bottom w:val="none" w:sz="0" w:space="0" w:color="auto"/>
            <w:right w:val="none" w:sz="0" w:space="0" w:color="auto"/>
          </w:divBdr>
          <w:divsChild>
            <w:div w:id="1244141973">
              <w:marLeft w:val="0"/>
              <w:marRight w:val="0"/>
              <w:marTop w:val="105"/>
              <w:marBottom w:val="0"/>
              <w:divBdr>
                <w:top w:val="none" w:sz="0" w:space="0" w:color="auto"/>
                <w:left w:val="none" w:sz="0" w:space="0" w:color="auto"/>
                <w:bottom w:val="none" w:sz="0" w:space="0" w:color="auto"/>
                <w:right w:val="none" w:sz="0" w:space="0" w:color="auto"/>
              </w:divBdr>
            </w:div>
            <w:div w:id="1273785161">
              <w:marLeft w:val="0"/>
              <w:marRight w:val="0"/>
              <w:marTop w:val="0"/>
              <w:marBottom w:val="0"/>
              <w:divBdr>
                <w:top w:val="none" w:sz="0" w:space="0" w:color="auto"/>
                <w:left w:val="none" w:sz="0" w:space="0" w:color="auto"/>
                <w:bottom w:val="none" w:sz="0" w:space="0" w:color="auto"/>
                <w:right w:val="none" w:sz="0" w:space="0" w:color="auto"/>
              </w:divBdr>
              <w:divsChild>
                <w:div w:id="1998260840">
                  <w:marLeft w:val="255"/>
                  <w:marRight w:val="0"/>
                  <w:marTop w:val="0"/>
                  <w:marBottom w:val="0"/>
                  <w:divBdr>
                    <w:top w:val="none" w:sz="0" w:space="0" w:color="auto"/>
                    <w:left w:val="none" w:sz="0" w:space="0" w:color="auto"/>
                    <w:bottom w:val="none" w:sz="0" w:space="0" w:color="auto"/>
                    <w:right w:val="none" w:sz="0" w:space="0" w:color="auto"/>
                  </w:divBdr>
                </w:div>
              </w:divsChild>
            </w:div>
            <w:div w:id="1392921700">
              <w:marLeft w:val="0"/>
              <w:marRight w:val="0"/>
              <w:marTop w:val="0"/>
              <w:marBottom w:val="0"/>
              <w:divBdr>
                <w:top w:val="none" w:sz="0" w:space="0" w:color="auto"/>
                <w:left w:val="none" w:sz="0" w:space="0" w:color="auto"/>
                <w:bottom w:val="none" w:sz="0" w:space="0" w:color="auto"/>
                <w:right w:val="none" w:sz="0" w:space="0" w:color="auto"/>
              </w:divBdr>
              <w:divsChild>
                <w:div w:id="2001234136">
                  <w:marLeft w:val="255"/>
                  <w:marRight w:val="0"/>
                  <w:marTop w:val="0"/>
                  <w:marBottom w:val="0"/>
                  <w:divBdr>
                    <w:top w:val="none" w:sz="0" w:space="0" w:color="auto"/>
                    <w:left w:val="none" w:sz="0" w:space="0" w:color="auto"/>
                    <w:bottom w:val="none" w:sz="0" w:space="0" w:color="auto"/>
                    <w:right w:val="none" w:sz="0" w:space="0" w:color="auto"/>
                  </w:divBdr>
                </w:div>
              </w:divsChild>
            </w:div>
            <w:div w:id="2141721916">
              <w:marLeft w:val="0"/>
              <w:marRight w:val="0"/>
              <w:marTop w:val="0"/>
              <w:marBottom w:val="0"/>
              <w:divBdr>
                <w:top w:val="none" w:sz="0" w:space="0" w:color="auto"/>
                <w:left w:val="none" w:sz="0" w:space="0" w:color="auto"/>
                <w:bottom w:val="none" w:sz="0" w:space="0" w:color="auto"/>
                <w:right w:val="none" w:sz="0" w:space="0" w:color="auto"/>
              </w:divBdr>
              <w:divsChild>
                <w:div w:id="1055660254">
                  <w:marLeft w:val="255"/>
                  <w:marRight w:val="0"/>
                  <w:marTop w:val="0"/>
                  <w:marBottom w:val="0"/>
                  <w:divBdr>
                    <w:top w:val="none" w:sz="0" w:space="0" w:color="auto"/>
                    <w:left w:val="none" w:sz="0" w:space="0" w:color="auto"/>
                    <w:bottom w:val="none" w:sz="0" w:space="0" w:color="auto"/>
                    <w:right w:val="none" w:sz="0" w:space="0" w:color="auto"/>
                  </w:divBdr>
                </w:div>
              </w:divsChild>
            </w:div>
            <w:div w:id="2053071282">
              <w:marLeft w:val="0"/>
              <w:marRight w:val="0"/>
              <w:marTop w:val="0"/>
              <w:marBottom w:val="0"/>
              <w:divBdr>
                <w:top w:val="none" w:sz="0" w:space="0" w:color="auto"/>
                <w:left w:val="none" w:sz="0" w:space="0" w:color="auto"/>
                <w:bottom w:val="none" w:sz="0" w:space="0" w:color="auto"/>
                <w:right w:val="none" w:sz="0" w:space="0" w:color="auto"/>
              </w:divBdr>
              <w:divsChild>
                <w:div w:id="467012125">
                  <w:marLeft w:val="255"/>
                  <w:marRight w:val="0"/>
                  <w:marTop w:val="0"/>
                  <w:marBottom w:val="0"/>
                  <w:divBdr>
                    <w:top w:val="none" w:sz="0" w:space="0" w:color="auto"/>
                    <w:left w:val="none" w:sz="0" w:space="0" w:color="auto"/>
                    <w:bottom w:val="none" w:sz="0" w:space="0" w:color="auto"/>
                    <w:right w:val="none" w:sz="0" w:space="0" w:color="auto"/>
                  </w:divBdr>
                </w:div>
              </w:divsChild>
            </w:div>
            <w:div w:id="167135871">
              <w:marLeft w:val="0"/>
              <w:marRight w:val="0"/>
              <w:marTop w:val="0"/>
              <w:marBottom w:val="0"/>
              <w:divBdr>
                <w:top w:val="none" w:sz="0" w:space="0" w:color="auto"/>
                <w:left w:val="none" w:sz="0" w:space="0" w:color="auto"/>
                <w:bottom w:val="none" w:sz="0" w:space="0" w:color="auto"/>
                <w:right w:val="none" w:sz="0" w:space="0" w:color="auto"/>
              </w:divBdr>
              <w:divsChild>
                <w:div w:id="302271340">
                  <w:marLeft w:val="255"/>
                  <w:marRight w:val="0"/>
                  <w:marTop w:val="0"/>
                  <w:marBottom w:val="0"/>
                  <w:divBdr>
                    <w:top w:val="none" w:sz="0" w:space="0" w:color="auto"/>
                    <w:left w:val="none" w:sz="0" w:space="0" w:color="auto"/>
                    <w:bottom w:val="none" w:sz="0" w:space="0" w:color="auto"/>
                    <w:right w:val="none" w:sz="0" w:space="0" w:color="auto"/>
                  </w:divBdr>
                </w:div>
              </w:divsChild>
            </w:div>
            <w:div w:id="218060361">
              <w:marLeft w:val="0"/>
              <w:marRight w:val="0"/>
              <w:marTop w:val="0"/>
              <w:marBottom w:val="0"/>
              <w:divBdr>
                <w:top w:val="none" w:sz="0" w:space="0" w:color="auto"/>
                <w:left w:val="none" w:sz="0" w:space="0" w:color="auto"/>
                <w:bottom w:val="none" w:sz="0" w:space="0" w:color="auto"/>
                <w:right w:val="none" w:sz="0" w:space="0" w:color="auto"/>
              </w:divBdr>
              <w:divsChild>
                <w:div w:id="2010659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13407717">
          <w:marLeft w:val="0"/>
          <w:marRight w:val="0"/>
          <w:marTop w:val="0"/>
          <w:marBottom w:val="0"/>
          <w:divBdr>
            <w:top w:val="none" w:sz="0" w:space="0" w:color="auto"/>
            <w:left w:val="none" w:sz="0" w:space="0" w:color="auto"/>
            <w:bottom w:val="none" w:sz="0" w:space="0" w:color="auto"/>
            <w:right w:val="none" w:sz="0" w:space="0" w:color="auto"/>
          </w:divBdr>
          <w:divsChild>
            <w:div w:id="703336345">
              <w:marLeft w:val="0"/>
              <w:marRight w:val="0"/>
              <w:marTop w:val="105"/>
              <w:marBottom w:val="0"/>
              <w:divBdr>
                <w:top w:val="none" w:sz="0" w:space="0" w:color="auto"/>
                <w:left w:val="none" w:sz="0" w:space="0" w:color="auto"/>
                <w:bottom w:val="none" w:sz="0" w:space="0" w:color="auto"/>
                <w:right w:val="none" w:sz="0" w:space="0" w:color="auto"/>
              </w:divBdr>
            </w:div>
          </w:divsChild>
        </w:div>
        <w:div w:id="359555499">
          <w:marLeft w:val="0"/>
          <w:marRight w:val="0"/>
          <w:marTop w:val="0"/>
          <w:marBottom w:val="0"/>
          <w:divBdr>
            <w:top w:val="none" w:sz="0" w:space="0" w:color="auto"/>
            <w:left w:val="none" w:sz="0" w:space="0" w:color="auto"/>
            <w:bottom w:val="none" w:sz="0" w:space="0" w:color="auto"/>
            <w:right w:val="none" w:sz="0" w:space="0" w:color="auto"/>
          </w:divBdr>
          <w:divsChild>
            <w:div w:id="1770275435">
              <w:marLeft w:val="0"/>
              <w:marRight w:val="0"/>
              <w:marTop w:val="105"/>
              <w:marBottom w:val="0"/>
              <w:divBdr>
                <w:top w:val="none" w:sz="0" w:space="0" w:color="auto"/>
                <w:left w:val="none" w:sz="0" w:space="0" w:color="auto"/>
                <w:bottom w:val="none" w:sz="0" w:space="0" w:color="auto"/>
                <w:right w:val="none" w:sz="0" w:space="0" w:color="auto"/>
              </w:divBdr>
            </w:div>
          </w:divsChild>
        </w:div>
        <w:div w:id="748618830">
          <w:marLeft w:val="0"/>
          <w:marRight w:val="0"/>
          <w:marTop w:val="0"/>
          <w:marBottom w:val="0"/>
          <w:divBdr>
            <w:top w:val="none" w:sz="0" w:space="0" w:color="auto"/>
            <w:left w:val="none" w:sz="0" w:space="0" w:color="auto"/>
            <w:bottom w:val="none" w:sz="0" w:space="0" w:color="auto"/>
            <w:right w:val="none" w:sz="0" w:space="0" w:color="auto"/>
          </w:divBdr>
          <w:divsChild>
            <w:div w:id="18890272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521814">
      <w:bodyDiv w:val="1"/>
      <w:marLeft w:val="0"/>
      <w:marRight w:val="0"/>
      <w:marTop w:val="0"/>
      <w:marBottom w:val="0"/>
      <w:divBdr>
        <w:top w:val="none" w:sz="0" w:space="0" w:color="auto"/>
        <w:left w:val="none" w:sz="0" w:space="0" w:color="auto"/>
        <w:bottom w:val="none" w:sz="0" w:space="0" w:color="auto"/>
        <w:right w:val="none" w:sz="0" w:space="0" w:color="auto"/>
      </w:divBdr>
      <w:divsChild>
        <w:div w:id="1383091016">
          <w:marLeft w:val="0"/>
          <w:marRight w:val="0"/>
          <w:marTop w:val="0"/>
          <w:marBottom w:val="0"/>
          <w:divBdr>
            <w:top w:val="none" w:sz="0" w:space="0" w:color="auto"/>
            <w:left w:val="none" w:sz="0" w:space="0" w:color="auto"/>
            <w:bottom w:val="none" w:sz="0" w:space="0" w:color="auto"/>
            <w:right w:val="none" w:sz="0" w:space="0" w:color="auto"/>
          </w:divBdr>
          <w:divsChild>
            <w:div w:id="1582639102">
              <w:marLeft w:val="0"/>
              <w:marRight w:val="0"/>
              <w:marTop w:val="105"/>
              <w:marBottom w:val="0"/>
              <w:divBdr>
                <w:top w:val="none" w:sz="0" w:space="0" w:color="auto"/>
                <w:left w:val="none" w:sz="0" w:space="0" w:color="auto"/>
                <w:bottom w:val="none" w:sz="0" w:space="0" w:color="auto"/>
                <w:right w:val="none" w:sz="0" w:space="0" w:color="auto"/>
              </w:divBdr>
            </w:div>
          </w:divsChild>
        </w:div>
        <w:div w:id="519247824">
          <w:marLeft w:val="0"/>
          <w:marRight w:val="0"/>
          <w:marTop w:val="0"/>
          <w:marBottom w:val="0"/>
          <w:divBdr>
            <w:top w:val="none" w:sz="0" w:space="0" w:color="auto"/>
            <w:left w:val="none" w:sz="0" w:space="0" w:color="auto"/>
            <w:bottom w:val="none" w:sz="0" w:space="0" w:color="auto"/>
            <w:right w:val="none" w:sz="0" w:space="0" w:color="auto"/>
          </w:divBdr>
          <w:divsChild>
            <w:div w:id="462040395">
              <w:marLeft w:val="0"/>
              <w:marRight w:val="0"/>
              <w:marTop w:val="105"/>
              <w:marBottom w:val="0"/>
              <w:divBdr>
                <w:top w:val="none" w:sz="0" w:space="0" w:color="auto"/>
                <w:left w:val="none" w:sz="0" w:space="0" w:color="auto"/>
                <w:bottom w:val="none" w:sz="0" w:space="0" w:color="auto"/>
                <w:right w:val="none" w:sz="0" w:space="0" w:color="auto"/>
              </w:divBdr>
            </w:div>
          </w:divsChild>
        </w:div>
        <w:div w:id="713505833">
          <w:marLeft w:val="0"/>
          <w:marRight w:val="0"/>
          <w:marTop w:val="0"/>
          <w:marBottom w:val="0"/>
          <w:divBdr>
            <w:top w:val="none" w:sz="0" w:space="0" w:color="auto"/>
            <w:left w:val="none" w:sz="0" w:space="0" w:color="auto"/>
            <w:bottom w:val="none" w:sz="0" w:space="0" w:color="auto"/>
            <w:right w:val="none" w:sz="0" w:space="0" w:color="auto"/>
          </w:divBdr>
          <w:divsChild>
            <w:div w:id="72623955">
              <w:marLeft w:val="0"/>
              <w:marRight w:val="0"/>
              <w:marTop w:val="105"/>
              <w:marBottom w:val="0"/>
              <w:divBdr>
                <w:top w:val="none" w:sz="0" w:space="0" w:color="auto"/>
                <w:left w:val="none" w:sz="0" w:space="0" w:color="auto"/>
                <w:bottom w:val="none" w:sz="0" w:space="0" w:color="auto"/>
                <w:right w:val="none" w:sz="0" w:space="0" w:color="auto"/>
              </w:divBdr>
            </w:div>
          </w:divsChild>
        </w:div>
        <w:div w:id="1127043194">
          <w:marLeft w:val="0"/>
          <w:marRight w:val="0"/>
          <w:marTop w:val="0"/>
          <w:marBottom w:val="0"/>
          <w:divBdr>
            <w:top w:val="none" w:sz="0" w:space="0" w:color="auto"/>
            <w:left w:val="none" w:sz="0" w:space="0" w:color="auto"/>
            <w:bottom w:val="none" w:sz="0" w:space="0" w:color="auto"/>
            <w:right w:val="none" w:sz="0" w:space="0" w:color="auto"/>
          </w:divBdr>
          <w:divsChild>
            <w:div w:id="274558952">
              <w:marLeft w:val="0"/>
              <w:marRight w:val="0"/>
              <w:marTop w:val="105"/>
              <w:marBottom w:val="0"/>
              <w:divBdr>
                <w:top w:val="none" w:sz="0" w:space="0" w:color="auto"/>
                <w:left w:val="none" w:sz="0" w:space="0" w:color="auto"/>
                <w:bottom w:val="none" w:sz="0" w:space="0" w:color="auto"/>
                <w:right w:val="none" w:sz="0" w:space="0" w:color="auto"/>
              </w:divBdr>
            </w:div>
          </w:divsChild>
        </w:div>
        <w:div w:id="1572618336">
          <w:marLeft w:val="0"/>
          <w:marRight w:val="0"/>
          <w:marTop w:val="0"/>
          <w:marBottom w:val="0"/>
          <w:divBdr>
            <w:top w:val="none" w:sz="0" w:space="0" w:color="auto"/>
            <w:left w:val="none" w:sz="0" w:space="0" w:color="auto"/>
            <w:bottom w:val="none" w:sz="0" w:space="0" w:color="auto"/>
            <w:right w:val="none" w:sz="0" w:space="0" w:color="auto"/>
          </w:divBdr>
          <w:divsChild>
            <w:div w:id="2130781756">
              <w:marLeft w:val="0"/>
              <w:marRight w:val="0"/>
              <w:marTop w:val="105"/>
              <w:marBottom w:val="0"/>
              <w:divBdr>
                <w:top w:val="none" w:sz="0" w:space="0" w:color="auto"/>
                <w:left w:val="none" w:sz="0" w:space="0" w:color="auto"/>
                <w:bottom w:val="none" w:sz="0" w:space="0" w:color="auto"/>
                <w:right w:val="none" w:sz="0" w:space="0" w:color="auto"/>
              </w:divBdr>
            </w:div>
          </w:divsChild>
        </w:div>
        <w:div w:id="1472089292">
          <w:marLeft w:val="0"/>
          <w:marRight w:val="0"/>
          <w:marTop w:val="0"/>
          <w:marBottom w:val="0"/>
          <w:divBdr>
            <w:top w:val="none" w:sz="0" w:space="0" w:color="auto"/>
            <w:left w:val="none" w:sz="0" w:space="0" w:color="auto"/>
            <w:bottom w:val="none" w:sz="0" w:space="0" w:color="auto"/>
            <w:right w:val="none" w:sz="0" w:space="0" w:color="auto"/>
          </w:divBdr>
          <w:divsChild>
            <w:div w:id="1006206837">
              <w:marLeft w:val="0"/>
              <w:marRight w:val="0"/>
              <w:marTop w:val="105"/>
              <w:marBottom w:val="0"/>
              <w:divBdr>
                <w:top w:val="none" w:sz="0" w:space="0" w:color="auto"/>
                <w:left w:val="none" w:sz="0" w:space="0" w:color="auto"/>
                <w:bottom w:val="none" w:sz="0" w:space="0" w:color="auto"/>
                <w:right w:val="none" w:sz="0" w:space="0" w:color="auto"/>
              </w:divBdr>
            </w:div>
          </w:divsChild>
        </w:div>
        <w:div w:id="2134210607">
          <w:marLeft w:val="0"/>
          <w:marRight w:val="0"/>
          <w:marTop w:val="0"/>
          <w:marBottom w:val="0"/>
          <w:divBdr>
            <w:top w:val="none" w:sz="0" w:space="0" w:color="auto"/>
            <w:left w:val="none" w:sz="0" w:space="0" w:color="auto"/>
            <w:bottom w:val="none" w:sz="0" w:space="0" w:color="auto"/>
            <w:right w:val="none" w:sz="0" w:space="0" w:color="auto"/>
          </w:divBdr>
          <w:divsChild>
            <w:div w:id="13216916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2044310">
      <w:bodyDiv w:val="1"/>
      <w:marLeft w:val="0"/>
      <w:marRight w:val="0"/>
      <w:marTop w:val="0"/>
      <w:marBottom w:val="0"/>
      <w:divBdr>
        <w:top w:val="none" w:sz="0" w:space="0" w:color="auto"/>
        <w:left w:val="none" w:sz="0" w:space="0" w:color="auto"/>
        <w:bottom w:val="none" w:sz="0" w:space="0" w:color="auto"/>
        <w:right w:val="none" w:sz="0" w:space="0" w:color="auto"/>
      </w:divBdr>
      <w:divsChild>
        <w:div w:id="1439182186">
          <w:marLeft w:val="0"/>
          <w:marRight w:val="0"/>
          <w:marTop w:val="0"/>
          <w:marBottom w:val="0"/>
          <w:divBdr>
            <w:top w:val="none" w:sz="0" w:space="0" w:color="auto"/>
            <w:left w:val="none" w:sz="0" w:space="0" w:color="auto"/>
            <w:bottom w:val="none" w:sz="0" w:space="0" w:color="auto"/>
            <w:right w:val="none" w:sz="0" w:space="0" w:color="auto"/>
          </w:divBdr>
          <w:divsChild>
            <w:div w:id="728841683">
              <w:marLeft w:val="0"/>
              <w:marRight w:val="0"/>
              <w:marTop w:val="105"/>
              <w:marBottom w:val="0"/>
              <w:divBdr>
                <w:top w:val="none" w:sz="0" w:space="0" w:color="auto"/>
                <w:left w:val="none" w:sz="0" w:space="0" w:color="auto"/>
                <w:bottom w:val="none" w:sz="0" w:space="0" w:color="auto"/>
                <w:right w:val="none" w:sz="0" w:space="0" w:color="auto"/>
              </w:divBdr>
            </w:div>
            <w:div w:id="907299051">
              <w:marLeft w:val="0"/>
              <w:marRight w:val="0"/>
              <w:marTop w:val="0"/>
              <w:marBottom w:val="0"/>
              <w:divBdr>
                <w:top w:val="none" w:sz="0" w:space="0" w:color="auto"/>
                <w:left w:val="none" w:sz="0" w:space="0" w:color="auto"/>
                <w:bottom w:val="none" w:sz="0" w:space="0" w:color="auto"/>
                <w:right w:val="none" w:sz="0" w:space="0" w:color="auto"/>
              </w:divBdr>
              <w:divsChild>
                <w:div w:id="1537161308">
                  <w:marLeft w:val="255"/>
                  <w:marRight w:val="0"/>
                  <w:marTop w:val="0"/>
                  <w:marBottom w:val="0"/>
                  <w:divBdr>
                    <w:top w:val="none" w:sz="0" w:space="0" w:color="auto"/>
                    <w:left w:val="none" w:sz="0" w:space="0" w:color="auto"/>
                    <w:bottom w:val="none" w:sz="0" w:space="0" w:color="auto"/>
                    <w:right w:val="none" w:sz="0" w:space="0" w:color="auto"/>
                  </w:divBdr>
                </w:div>
              </w:divsChild>
            </w:div>
            <w:div w:id="111481236">
              <w:marLeft w:val="0"/>
              <w:marRight w:val="0"/>
              <w:marTop w:val="0"/>
              <w:marBottom w:val="0"/>
              <w:divBdr>
                <w:top w:val="none" w:sz="0" w:space="0" w:color="auto"/>
                <w:left w:val="none" w:sz="0" w:space="0" w:color="auto"/>
                <w:bottom w:val="none" w:sz="0" w:space="0" w:color="auto"/>
                <w:right w:val="none" w:sz="0" w:space="0" w:color="auto"/>
              </w:divBdr>
              <w:divsChild>
                <w:div w:id="1857766255">
                  <w:marLeft w:val="255"/>
                  <w:marRight w:val="0"/>
                  <w:marTop w:val="0"/>
                  <w:marBottom w:val="0"/>
                  <w:divBdr>
                    <w:top w:val="none" w:sz="0" w:space="0" w:color="auto"/>
                    <w:left w:val="none" w:sz="0" w:space="0" w:color="auto"/>
                    <w:bottom w:val="none" w:sz="0" w:space="0" w:color="auto"/>
                    <w:right w:val="none" w:sz="0" w:space="0" w:color="auto"/>
                  </w:divBdr>
                </w:div>
              </w:divsChild>
            </w:div>
            <w:div w:id="1876112270">
              <w:marLeft w:val="0"/>
              <w:marRight w:val="0"/>
              <w:marTop w:val="0"/>
              <w:marBottom w:val="0"/>
              <w:divBdr>
                <w:top w:val="none" w:sz="0" w:space="0" w:color="auto"/>
                <w:left w:val="none" w:sz="0" w:space="0" w:color="auto"/>
                <w:bottom w:val="none" w:sz="0" w:space="0" w:color="auto"/>
                <w:right w:val="none" w:sz="0" w:space="0" w:color="auto"/>
              </w:divBdr>
              <w:divsChild>
                <w:div w:id="1706439326">
                  <w:marLeft w:val="255"/>
                  <w:marRight w:val="0"/>
                  <w:marTop w:val="0"/>
                  <w:marBottom w:val="0"/>
                  <w:divBdr>
                    <w:top w:val="none" w:sz="0" w:space="0" w:color="auto"/>
                    <w:left w:val="none" w:sz="0" w:space="0" w:color="auto"/>
                    <w:bottom w:val="none" w:sz="0" w:space="0" w:color="auto"/>
                    <w:right w:val="none" w:sz="0" w:space="0" w:color="auto"/>
                  </w:divBdr>
                </w:div>
              </w:divsChild>
            </w:div>
            <w:div w:id="281501621">
              <w:marLeft w:val="0"/>
              <w:marRight w:val="0"/>
              <w:marTop w:val="0"/>
              <w:marBottom w:val="0"/>
              <w:divBdr>
                <w:top w:val="none" w:sz="0" w:space="0" w:color="auto"/>
                <w:left w:val="none" w:sz="0" w:space="0" w:color="auto"/>
                <w:bottom w:val="none" w:sz="0" w:space="0" w:color="auto"/>
                <w:right w:val="none" w:sz="0" w:space="0" w:color="auto"/>
              </w:divBdr>
              <w:divsChild>
                <w:div w:id="1761759371">
                  <w:marLeft w:val="255"/>
                  <w:marRight w:val="0"/>
                  <w:marTop w:val="0"/>
                  <w:marBottom w:val="0"/>
                  <w:divBdr>
                    <w:top w:val="none" w:sz="0" w:space="0" w:color="auto"/>
                    <w:left w:val="none" w:sz="0" w:space="0" w:color="auto"/>
                    <w:bottom w:val="none" w:sz="0" w:space="0" w:color="auto"/>
                    <w:right w:val="none" w:sz="0" w:space="0" w:color="auto"/>
                  </w:divBdr>
                </w:div>
              </w:divsChild>
            </w:div>
            <w:div w:id="2107991686">
              <w:marLeft w:val="0"/>
              <w:marRight w:val="0"/>
              <w:marTop w:val="0"/>
              <w:marBottom w:val="0"/>
              <w:divBdr>
                <w:top w:val="none" w:sz="0" w:space="0" w:color="auto"/>
                <w:left w:val="none" w:sz="0" w:space="0" w:color="auto"/>
                <w:bottom w:val="none" w:sz="0" w:space="0" w:color="auto"/>
                <w:right w:val="none" w:sz="0" w:space="0" w:color="auto"/>
              </w:divBdr>
              <w:divsChild>
                <w:div w:id="13274345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47006150">
          <w:marLeft w:val="0"/>
          <w:marRight w:val="0"/>
          <w:marTop w:val="0"/>
          <w:marBottom w:val="0"/>
          <w:divBdr>
            <w:top w:val="none" w:sz="0" w:space="0" w:color="auto"/>
            <w:left w:val="none" w:sz="0" w:space="0" w:color="auto"/>
            <w:bottom w:val="none" w:sz="0" w:space="0" w:color="auto"/>
            <w:right w:val="none" w:sz="0" w:space="0" w:color="auto"/>
          </w:divBdr>
          <w:divsChild>
            <w:div w:id="15219648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9418957">
      <w:bodyDiv w:val="1"/>
      <w:marLeft w:val="0"/>
      <w:marRight w:val="0"/>
      <w:marTop w:val="0"/>
      <w:marBottom w:val="0"/>
      <w:divBdr>
        <w:top w:val="none" w:sz="0" w:space="0" w:color="auto"/>
        <w:left w:val="none" w:sz="0" w:space="0" w:color="auto"/>
        <w:bottom w:val="none" w:sz="0" w:space="0" w:color="auto"/>
        <w:right w:val="none" w:sz="0" w:space="0" w:color="auto"/>
      </w:divBdr>
      <w:divsChild>
        <w:div w:id="317195903">
          <w:marLeft w:val="0"/>
          <w:marRight w:val="0"/>
          <w:marTop w:val="0"/>
          <w:marBottom w:val="0"/>
          <w:divBdr>
            <w:top w:val="none" w:sz="0" w:space="0" w:color="auto"/>
            <w:left w:val="none" w:sz="0" w:space="0" w:color="auto"/>
            <w:bottom w:val="none" w:sz="0" w:space="0" w:color="auto"/>
            <w:right w:val="none" w:sz="0" w:space="0" w:color="auto"/>
          </w:divBdr>
          <w:divsChild>
            <w:div w:id="488863946">
              <w:marLeft w:val="0"/>
              <w:marRight w:val="0"/>
              <w:marTop w:val="105"/>
              <w:marBottom w:val="0"/>
              <w:divBdr>
                <w:top w:val="none" w:sz="0" w:space="0" w:color="auto"/>
                <w:left w:val="none" w:sz="0" w:space="0" w:color="auto"/>
                <w:bottom w:val="none" w:sz="0" w:space="0" w:color="auto"/>
                <w:right w:val="none" w:sz="0" w:space="0" w:color="auto"/>
              </w:divBdr>
            </w:div>
          </w:divsChild>
        </w:div>
        <w:div w:id="72361308">
          <w:marLeft w:val="0"/>
          <w:marRight w:val="0"/>
          <w:marTop w:val="0"/>
          <w:marBottom w:val="0"/>
          <w:divBdr>
            <w:top w:val="none" w:sz="0" w:space="0" w:color="auto"/>
            <w:left w:val="none" w:sz="0" w:space="0" w:color="auto"/>
            <w:bottom w:val="none" w:sz="0" w:space="0" w:color="auto"/>
            <w:right w:val="none" w:sz="0" w:space="0" w:color="auto"/>
          </w:divBdr>
          <w:divsChild>
            <w:div w:id="9477323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622308">
      <w:bodyDiv w:val="1"/>
      <w:marLeft w:val="0"/>
      <w:marRight w:val="0"/>
      <w:marTop w:val="0"/>
      <w:marBottom w:val="0"/>
      <w:divBdr>
        <w:top w:val="none" w:sz="0" w:space="0" w:color="auto"/>
        <w:left w:val="none" w:sz="0" w:space="0" w:color="auto"/>
        <w:bottom w:val="none" w:sz="0" w:space="0" w:color="auto"/>
        <w:right w:val="none" w:sz="0" w:space="0" w:color="auto"/>
      </w:divBdr>
      <w:divsChild>
        <w:div w:id="359403606">
          <w:marLeft w:val="0"/>
          <w:marRight w:val="0"/>
          <w:marTop w:val="0"/>
          <w:marBottom w:val="0"/>
          <w:divBdr>
            <w:top w:val="none" w:sz="0" w:space="0" w:color="auto"/>
            <w:left w:val="none" w:sz="0" w:space="0" w:color="auto"/>
            <w:bottom w:val="none" w:sz="0" w:space="0" w:color="auto"/>
            <w:right w:val="none" w:sz="0" w:space="0" w:color="auto"/>
          </w:divBdr>
          <w:divsChild>
            <w:div w:id="2138067020">
              <w:marLeft w:val="0"/>
              <w:marRight w:val="0"/>
              <w:marTop w:val="105"/>
              <w:marBottom w:val="0"/>
              <w:divBdr>
                <w:top w:val="none" w:sz="0" w:space="0" w:color="auto"/>
                <w:left w:val="none" w:sz="0" w:space="0" w:color="auto"/>
                <w:bottom w:val="none" w:sz="0" w:space="0" w:color="auto"/>
                <w:right w:val="none" w:sz="0" w:space="0" w:color="auto"/>
              </w:divBdr>
            </w:div>
          </w:divsChild>
        </w:div>
        <w:div w:id="958995276">
          <w:marLeft w:val="0"/>
          <w:marRight w:val="0"/>
          <w:marTop w:val="0"/>
          <w:marBottom w:val="0"/>
          <w:divBdr>
            <w:top w:val="none" w:sz="0" w:space="0" w:color="auto"/>
            <w:left w:val="none" w:sz="0" w:space="0" w:color="auto"/>
            <w:bottom w:val="none" w:sz="0" w:space="0" w:color="auto"/>
            <w:right w:val="none" w:sz="0" w:space="0" w:color="auto"/>
          </w:divBdr>
          <w:divsChild>
            <w:div w:id="829634011">
              <w:marLeft w:val="0"/>
              <w:marRight w:val="0"/>
              <w:marTop w:val="105"/>
              <w:marBottom w:val="0"/>
              <w:divBdr>
                <w:top w:val="none" w:sz="0" w:space="0" w:color="auto"/>
                <w:left w:val="none" w:sz="0" w:space="0" w:color="auto"/>
                <w:bottom w:val="none" w:sz="0" w:space="0" w:color="auto"/>
                <w:right w:val="none" w:sz="0" w:space="0" w:color="auto"/>
              </w:divBdr>
            </w:div>
          </w:divsChild>
        </w:div>
        <w:div w:id="1523324113">
          <w:marLeft w:val="0"/>
          <w:marRight w:val="0"/>
          <w:marTop w:val="0"/>
          <w:marBottom w:val="0"/>
          <w:divBdr>
            <w:top w:val="none" w:sz="0" w:space="0" w:color="auto"/>
            <w:left w:val="none" w:sz="0" w:space="0" w:color="auto"/>
            <w:bottom w:val="none" w:sz="0" w:space="0" w:color="auto"/>
            <w:right w:val="none" w:sz="0" w:space="0" w:color="auto"/>
          </w:divBdr>
          <w:divsChild>
            <w:div w:id="1057893662">
              <w:marLeft w:val="0"/>
              <w:marRight w:val="0"/>
              <w:marTop w:val="105"/>
              <w:marBottom w:val="0"/>
              <w:divBdr>
                <w:top w:val="none" w:sz="0" w:space="0" w:color="auto"/>
                <w:left w:val="none" w:sz="0" w:space="0" w:color="auto"/>
                <w:bottom w:val="none" w:sz="0" w:space="0" w:color="auto"/>
                <w:right w:val="none" w:sz="0" w:space="0" w:color="auto"/>
              </w:divBdr>
            </w:div>
          </w:divsChild>
        </w:div>
        <w:div w:id="1808158301">
          <w:marLeft w:val="0"/>
          <w:marRight w:val="0"/>
          <w:marTop w:val="0"/>
          <w:marBottom w:val="0"/>
          <w:divBdr>
            <w:top w:val="none" w:sz="0" w:space="0" w:color="auto"/>
            <w:left w:val="none" w:sz="0" w:space="0" w:color="auto"/>
            <w:bottom w:val="none" w:sz="0" w:space="0" w:color="auto"/>
            <w:right w:val="none" w:sz="0" w:space="0" w:color="auto"/>
          </w:divBdr>
          <w:divsChild>
            <w:div w:id="839585349">
              <w:marLeft w:val="0"/>
              <w:marRight w:val="0"/>
              <w:marTop w:val="105"/>
              <w:marBottom w:val="0"/>
              <w:divBdr>
                <w:top w:val="none" w:sz="0" w:space="0" w:color="auto"/>
                <w:left w:val="none" w:sz="0" w:space="0" w:color="auto"/>
                <w:bottom w:val="none" w:sz="0" w:space="0" w:color="auto"/>
                <w:right w:val="none" w:sz="0" w:space="0" w:color="auto"/>
              </w:divBdr>
            </w:div>
            <w:div w:id="1724138462">
              <w:marLeft w:val="0"/>
              <w:marRight w:val="0"/>
              <w:marTop w:val="0"/>
              <w:marBottom w:val="0"/>
              <w:divBdr>
                <w:top w:val="none" w:sz="0" w:space="0" w:color="auto"/>
                <w:left w:val="none" w:sz="0" w:space="0" w:color="auto"/>
                <w:bottom w:val="none" w:sz="0" w:space="0" w:color="auto"/>
                <w:right w:val="none" w:sz="0" w:space="0" w:color="auto"/>
              </w:divBdr>
              <w:divsChild>
                <w:div w:id="2014259355">
                  <w:marLeft w:val="255"/>
                  <w:marRight w:val="0"/>
                  <w:marTop w:val="0"/>
                  <w:marBottom w:val="0"/>
                  <w:divBdr>
                    <w:top w:val="none" w:sz="0" w:space="0" w:color="auto"/>
                    <w:left w:val="none" w:sz="0" w:space="0" w:color="auto"/>
                    <w:bottom w:val="none" w:sz="0" w:space="0" w:color="auto"/>
                    <w:right w:val="none" w:sz="0" w:space="0" w:color="auto"/>
                  </w:divBdr>
                </w:div>
              </w:divsChild>
            </w:div>
            <w:div w:id="522979432">
              <w:marLeft w:val="0"/>
              <w:marRight w:val="0"/>
              <w:marTop w:val="0"/>
              <w:marBottom w:val="0"/>
              <w:divBdr>
                <w:top w:val="none" w:sz="0" w:space="0" w:color="auto"/>
                <w:left w:val="none" w:sz="0" w:space="0" w:color="auto"/>
                <w:bottom w:val="none" w:sz="0" w:space="0" w:color="auto"/>
                <w:right w:val="none" w:sz="0" w:space="0" w:color="auto"/>
              </w:divBdr>
              <w:divsChild>
                <w:div w:id="746541152">
                  <w:marLeft w:val="255"/>
                  <w:marRight w:val="0"/>
                  <w:marTop w:val="0"/>
                  <w:marBottom w:val="0"/>
                  <w:divBdr>
                    <w:top w:val="none" w:sz="0" w:space="0" w:color="auto"/>
                    <w:left w:val="none" w:sz="0" w:space="0" w:color="auto"/>
                    <w:bottom w:val="none" w:sz="0" w:space="0" w:color="auto"/>
                    <w:right w:val="none" w:sz="0" w:space="0" w:color="auto"/>
                  </w:divBdr>
                </w:div>
              </w:divsChild>
            </w:div>
            <w:div w:id="961617023">
              <w:marLeft w:val="0"/>
              <w:marRight w:val="0"/>
              <w:marTop w:val="0"/>
              <w:marBottom w:val="0"/>
              <w:divBdr>
                <w:top w:val="none" w:sz="0" w:space="0" w:color="auto"/>
                <w:left w:val="none" w:sz="0" w:space="0" w:color="auto"/>
                <w:bottom w:val="none" w:sz="0" w:space="0" w:color="auto"/>
                <w:right w:val="none" w:sz="0" w:space="0" w:color="auto"/>
              </w:divBdr>
              <w:divsChild>
                <w:div w:id="427578015">
                  <w:marLeft w:val="255"/>
                  <w:marRight w:val="0"/>
                  <w:marTop w:val="0"/>
                  <w:marBottom w:val="0"/>
                  <w:divBdr>
                    <w:top w:val="none" w:sz="0" w:space="0" w:color="auto"/>
                    <w:left w:val="none" w:sz="0" w:space="0" w:color="auto"/>
                    <w:bottom w:val="none" w:sz="0" w:space="0" w:color="auto"/>
                    <w:right w:val="none" w:sz="0" w:space="0" w:color="auto"/>
                  </w:divBdr>
                </w:div>
              </w:divsChild>
            </w:div>
            <w:div w:id="1209874826">
              <w:marLeft w:val="0"/>
              <w:marRight w:val="0"/>
              <w:marTop w:val="0"/>
              <w:marBottom w:val="0"/>
              <w:divBdr>
                <w:top w:val="none" w:sz="0" w:space="0" w:color="auto"/>
                <w:left w:val="none" w:sz="0" w:space="0" w:color="auto"/>
                <w:bottom w:val="none" w:sz="0" w:space="0" w:color="auto"/>
                <w:right w:val="none" w:sz="0" w:space="0" w:color="auto"/>
              </w:divBdr>
              <w:divsChild>
                <w:div w:id="1401830906">
                  <w:marLeft w:val="255"/>
                  <w:marRight w:val="0"/>
                  <w:marTop w:val="0"/>
                  <w:marBottom w:val="0"/>
                  <w:divBdr>
                    <w:top w:val="none" w:sz="0" w:space="0" w:color="auto"/>
                    <w:left w:val="none" w:sz="0" w:space="0" w:color="auto"/>
                    <w:bottom w:val="none" w:sz="0" w:space="0" w:color="auto"/>
                    <w:right w:val="none" w:sz="0" w:space="0" w:color="auto"/>
                  </w:divBdr>
                </w:div>
              </w:divsChild>
            </w:div>
            <w:div w:id="884297479">
              <w:marLeft w:val="0"/>
              <w:marRight w:val="0"/>
              <w:marTop w:val="0"/>
              <w:marBottom w:val="0"/>
              <w:divBdr>
                <w:top w:val="none" w:sz="0" w:space="0" w:color="auto"/>
                <w:left w:val="none" w:sz="0" w:space="0" w:color="auto"/>
                <w:bottom w:val="none" w:sz="0" w:space="0" w:color="auto"/>
                <w:right w:val="none" w:sz="0" w:space="0" w:color="auto"/>
              </w:divBdr>
              <w:divsChild>
                <w:div w:id="18860206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5909222">
          <w:marLeft w:val="0"/>
          <w:marRight w:val="0"/>
          <w:marTop w:val="0"/>
          <w:marBottom w:val="0"/>
          <w:divBdr>
            <w:top w:val="none" w:sz="0" w:space="0" w:color="auto"/>
            <w:left w:val="none" w:sz="0" w:space="0" w:color="auto"/>
            <w:bottom w:val="none" w:sz="0" w:space="0" w:color="auto"/>
            <w:right w:val="none" w:sz="0" w:space="0" w:color="auto"/>
          </w:divBdr>
          <w:divsChild>
            <w:div w:id="1379164687">
              <w:marLeft w:val="0"/>
              <w:marRight w:val="0"/>
              <w:marTop w:val="105"/>
              <w:marBottom w:val="0"/>
              <w:divBdr>
                <w:top w:val="none" w:sz="0" w:space="0" w:color="auto"/>
                <w:left w:val="none" w:sz="0" w:space="0" w:color="auto"/>
                <w:bottom w:val="none" w:sz="0" w:space="0" w:color="auto"/>
                <w:right w:val="none" w:sz="0" w:space="0" w:color="auto"/>
              </w:divBdr>
            </w:div>
            <w:div w:id="489448070">
              <w:marLeft w:val="0"/>
              <w:marRight w:val="0"/>
              <w:marTop w:val="0"/>
              <w:marBottom w:val="0"/>
              <w:divBdr>
                <w:top w:val="none" w:sz="0" w:space="0" w:color="auto"/>
                <w:left w:val="none" w:sz="0" w:space="0" w:color="auto"/>
                <w:bottom w:val="none" w:sz="0" w:space="0" w:color="auto"/>
                <w:right w:val="none" w:sz="0" w:space="0" w:color="auto"/>
              </w:divBdr>
              <w:divsChild>
                <w:div w:id="87967846">
                  <w:marLeft w:val="255"/>
                  <w:marRight w:val="0"/>
                  <w:marTop w:val="0"/>
                  <w:marBottom w:val="0"/>
                  <w:divBdr>
                    <w:top w:val="none" w:sz="0" w:space="0" w:color="auto"/>
                    <w:left w:val="none" w:sz="0" w:space="0" w:color="auto"/>
                    <w:bottom w:val="none" w:sz="0" w:space="0" w:color="auto"/>
                    <w:right w:val="none" w:sz="0" w:space="0" w:color="auto"/>
                  </w:divBdr>
                </w:div>
              </w:divsChild>
            </w:div>
            <w:div w:id="1690788974">
              <w:marLeft w:val="0"/>
              <w:marRight w:val="0"/>
              <w:marTop w:val="0"/>
              <w:marBottom w:val="0"/>
              <w:divBdr>
                <w:top w:val="none" w:sz="0" w:space="0" w:color="auto"/>
                <w:left w:val="none" w:sz="0" w:space="0" w:color="auto"/>
                <w:bottom w:val="none" w:sz="0" w:space="0" w:color="auto"/>
                <w:right w:val="none" w:sz="0" w:space="0" w:color="auto"/>
              </w:divBdr>
              <w:divsChild>
                <w:div w:id="1241909585">
                  <w:marLeft w:val="255"/>
                  <w:marRight w:val="0"/>
                  <w:marTop w:val="0"/>
                  <w:marBottom w:val="0"/>
                  <w:divBdr>
                    <w:top w:val="none" w:sz="0" w:space="0" w:color="auto"/>
                    <w:left w:val="none" w:sz="0" w:space="0" w:color="auto"/>
                    <w:bottom w:val="none" w:sz="0" w:space="0" w:color="auto"/>
                    <w:right w:val="none" w:sz="0" w:space="0" w:color="auto"/>
                  </w:divBdr>
                </w:div>
              </w:divsChild>
            </w:div>
            <w:div w:id="359549271">
              <w:marLeft w:val="0"/>
              <w:marRight w:val="0"/>
              <w:marTop w:val="0"/>
              <w:marBottom w:val="0"/>
              <w:divBdr>
                <w:top w:val="none" w:sz="0" w:space="0" w:color="auto"/>
                <w:left w:val="none" w:sz="0" w:space="0" w:color="auto"/>
                <w:bottom w:val="none" w:sz="0" w:space="0" w:color="auto"/>
                <w:right w:val="none" w:sz="0" w:space="0" w:color="auto"/>
              </w:divBdr>
              <w:divsChild>
                <w:div w:id="18799318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0289782">
          <w:marLeft w:val="0"/>
          <w:marRight w:val="0"/>
          <w:marTop w:val="0"/>
          <w:marBottom w:val="0"/>
          <w:divBdr>
            <w:top w:val="none" w:sz="0" w:space="0" w:color="auto"/>
            <w:left w:val="none" w:sz="0" w:space="0" w:color="auto"/>
            <w:bottom w:val="none" w:sz="0" w:space="0" w:color="auto"/>
            <w:right w:val="none" w:sz="0" w:space="0" w:color="auto"/>
          </w:divBdr>
          <w:divsChild>
            <w:div w:id="1950776361">
              <w:marLeft w:val="0"/>
              <w:marRight w:val="0"/>
              <w:marTop w:val="105"/>
              <w:marBottom w:val="0"/>
              <w:divBdr>
                <w:top w:val="none" w:sz="0" w:space="0" w:color="auto"/>
                <w:left w:val="none" w:sz="0" w:space="0" w:color="auto"/>
                <w:bottom w:val="none" w:sz="0" w:space="0" w:color="auto"/>
                <w:right w:val="none" w:sz="0" w:space="0" w:color="auto"/>
              </w:divBdr>
            </w:div>
          </w:divsChild>
        </w:div>
        <w:div w:id="1362559028">
          <w:marLeft w:val="0"/>
          <w:marRight w:val="0"/>
          <w:marTop w:val="0"/>
          <w:marBottom w:val="0"/>
          <w:divBdr>
            <w:top w:val="none" w:sz="0" w:space="0" w:color="auto"/>
            <w:left w:val="none" w:sz="0" w:space="0" w:color="auto"/>
            <w:bottom w:val="none" w:sz="0" w:space="0" w:color="auto"/>
            <w:right w:val="none" w:sz="0" w:space="0" w:color="auto"/>
          </w:divBdr>
          <w:divsChild>
            <w:div w:id="1343713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7623541">
      <w:bodyDiv w:val="1"/>
      <w:marLeft w:val="0"/>
      <w:marRight w:val="0"/>
      <w:marTop w:val="0"/>
      <w:marBottom w:val="0"/>
      <w:divBdr>
        <w:top w:val="none" w:sz="0" w:space="0" w:color="auto"/>
        <w:left w:val="none" w:sz="0" w:space="0" w:color="auto"/>
        <w:bottom w:val="none" w:sz="0" w:space="0" w:color="auto"/>
        <w:right w:val="none" w:sz="0" w:space="0" w:color="auto"/>
      </w:divBdr>
      <w:divsChild>
        <w:div w:id="1540775615">
          <w:marLeft w:val="0"/>
          <w:marRight w:val="0"/>
          <w:marTop w:val="0"/>
          <w:marBottom w:val="0"/>
          <w:divBdr>
            <w:top w:val="none" w:sz="0" w:space="0" w:color="auto"/>
            <w:left w:val="none" w:sz="0" w:space="0" w:color="auto"/>
            <w:bottom w:val="none" w:sz="0" w:space="0" w:color="auto"/>
            <w:right w:val="none" w:sz="0" w:space="0" w:color="auto"/>
          </w:divBdr>
          <w:divsChild>
            <w:div w:id="2100133262">
              <w:marLeft w:val="0"/>
              <w:marRight w:val="0"/>
              <w:marTop w:val="105"/>
              <w:marBottom w:val="0"/>
              <w:divBdr>
                <w:top w:val="none" w:sz="0" w:space="0" w:color="auto"/>
                <w:left w:val="none" w:sz="0" w:space="0" w:color="auto"/>
                <w:bottom w:val="none" w:sz="0" w:space="0" w:color="auto"/>
                <w:right w:val="none" w:sz="0" w:space="0" w:color="auto"/>
              </w:divBdr>
            </w:div>
          </w:divsChild>
        </w:div>
        <w:div w:id="168716346">
          <w:marLeft w:val="0"/>
          <w:marRight w:val="0"/>
          <w:marTop w:val="0"/>
          <w:marBottom w:val="0"/>
          <w:divBdr>
            <w:top w:val="none" w:sz="0" w:space="0" w:color="auto"/>
            <w:left w:val="none" w:sz="0" w:space="0" w:color="auto"/>
            <w:bottom w:val="none" w:sz="0" w:space="0" w:color="auto"/>
            <w:right w:val="none" w:sz="0" w:space="0" w:color="auto"/>
          </w:divBdr>
          <w:divsChild>
            <w:div w:id="1835413473">
              <w:marLeft w:val="0"/>
              <w:marRight w:val="0"/>
              <w:marTop w:val="105"/>
              <w:marBottom w:val="0"/>
              <w:divBdr>
                <w:top w:val="none" w:sz="0" w:space="0" w:color="auto"/>
                <w:left w:val="none" w:sz="0" w:space="0" w:color="auto"/>
                <w:bottom w:val="none" w:sz="0" w:space="0" w:color="auto"/>
                <w:right w:val="none" w:sz="0" w:space="0" w:color="auto"/>
              </w:divBdr>
            </w:div>
            <w:div w:id="1760328035">
              <w:marLeft w:val="0"/>
              <w:marRight w:val="0"/>
              <w:marTop w:val="0"/>
              <w:marBottom w:val="0"/>
              <w:divBdr>
                <w:top w:val="none" w:sz="0" w:space="0" w:color="auto"/>
                <w:left w:val="none" w:sz="0" w:space="0" w:color="auto"/>
                <w:bottom w:val="none" w:sz="0" w:space="0" w:color="auto"/>
                <w:right w:val="none" w:sz="0" w:space="0" w:color="auto"/>
              </w:divBdr>
              <w:divsChild>
                <w:div w:id="1450972911">
                  <w:marLeft w:val="255"/>
                  <w:marRight w:val="0"/>
                  <w:marTop w:val="0"/>
                  <w:marBottom w:val="0"/>
                  <w:divBdr>
                    <w:top w:val="none" w:sz="0" w:space="0" w:color="auto"/>
                    <w:left w:val="none" w:sz="0" w:space="0" w:color="auto"/>
                    <w:bottom w:val="none" w:sz="0" w:space="0" w:color="auto"/>
                    <w:right w:val="none" w:sz="0" w:space="0" w:color="auto"/>
                  </w:divBdr>
                </w:div>
              </w:divsChild>
            </w:div>
            <w:div w:id="2067796857">
              <w:marLeft w:val="0"/>
              <w:marRight w:val="0"/>
              <w:marTop w:val="0"/>
              <w:marBottom w:val="0"/>
              <w:divBdr>
                <w:top w:val="none" w:sz="0" w:space="0" w:color="auto"/>
                <w:left w:val="none" w:sz="0" w:space="0" w:color="auto"/>
                <w:bottom w:val="none" w:sz="0" w:space="0" w:color="auto"/>
                <w:right w:val="none" w:sz="0" w:space="0" w:color="auto"/>
              </w:divBdr>
              <w:divsChild>
                <w:div w:id="204037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1210302">
          <w:marLeft w:val="0"/>
          <w:marRight w:val="0"/>
          <w:marTop w:val="0"/>
          <w:marBottom w:val="0"/>
          <w:divBdr>
            <w:top w:val="none" w:sz="0" w:space="0" w:color="auto"/>
            <w:left w:val="none" w:sz="0" w:space="0" w:color="auto"/>
            <w:bottom w:val="none" w:sz="0" w:space="0" w:color="auto"/>
            <w:right w:val="none" w:sz="0" w:space="0" w:color="auto"/>
          </w:divBdr>
          <w:divsChild>
            <w:div w:id="8599772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3037095">
      <w:bodyDiv w:val="1"/>
      <w:marLeft w:val="0"/>
      <w:marRight w:val="0"/>
      <w:marTop w:val="0"/>
      <w:marBottom w:val="0"/>
      <w:divBdr>
        <w:top w:val="none" w:sz="0" w:space="0" w:color="auto"/>
        <w:left w:val="none" w:sz="0" w:space="0" w:color="auto"/>
        <w:bottom w:val="none" w:sz="0" w:space="0" w:color="auto"/>
        <w:right w:val="none" w:sz="0" w:space="0" w:color="auto"/>
      </w:divBdr>
      <w:divsChild>
        <w:div w:id="1451361479">
          <w:marLeft w:val="0"/>
          <w:marRight w:val="0"/>
          <w:marTop w:val="0"/>
          <w:marBottom w:val="0"/>
          <w:divBdr>
            <w:top w:val="none" w:sz="0" w:space="0" w:color="auto"/>
            <w:left w:val="none" w:sz="0" w:space="0" w:color="auto"/>
            <w:bottom w:val="none" w:sz="0" w:space="0" w:color="auto"/>
            <w:right w:val="none" w:sz="0" w:space="0" w:color="auto"/>
          </w:divBdr>
          <w:divsChild>
            <w:div w:id="1456485357">
              <w:marLeft w:val="0"/>
              <w:marRight w:val="0"/>
              <w:marTop w:val="105"/>
              <w:marBottom w:val="0"/>
              <w:divBdr>
                <w:top w:val="none" w:sz="0" w:space="0" w:color="auto"/>
                <w:left w:val="none" w:sz="0" w:space="0" w:color="auto"/>
                <w:bottom w:val="none" w:sz="0" w:space="0" w:color="auto"/>
                <w:right w:val="none" w:sz="0" w:space="0" w:color="auto"/>
              </w:divBdr>
            </w:div>
            <w:div w:id="1820489437">
              <w:marLeft w:val="0"/>
              <w:marRight w:val="0"/>
              <w:marTop w:val="0"/>
              <w:marBottom w:val="0"/>
              <w:divBdr>
                <w:top w:val="none" w:sz="0" w:space="0" w:color="auto"/>
                <w:left w:val="none" w:sz="0" w:space="0" w:color="auto"/>
                <w:bottom w:val="none" w:sz="0" w:space="0" w:color="auto"/>
                <w:right w:val="none" w:sz="0" w:space="0" w:color="auto"/>
              </w:divBdr>
              <w:divsChild>
                <w:div w:id="435447871">
                  <w:marLeft w:val="255"/>
                  <w:marRight w:val="0"/>
                  <w:marTop w:val="0"/>
                  <w:marBottom w:val="0"/>
                  <w:divBdr>
                    <w:top w:val="none" w:sz="0" w:space="0" w:color="auto"/>
                    <w:left w:val="none" w:sz="0" w:space="0" w:color="auto"/>
                    <w:bottom w:val="none" w:sz="0" w:space="0" w:color="auto"/>
                    <w:right w:val="none" w:sz="0" w:space="0" w:color="auto"/>
                  </w:divBdr>
                </w:div>
              </w:divsChild>
            </w:div>
            <w:div w:id="929776379">
              <w:marLeft w:val="0"/>
              <w:marRight w:val="0"/>
              <w:marTop w:val="0"/>
              <w:marBottom w:val="0"/>
              <w:divBdr>
                <w:top w:val="none" w:sz="0" w:space="0" w:color="auto"/>
                <w:left w:val="none" w:sz="0" w:space="0" w:color="auto"/>
                <w:bottom w:val="none" w:sz="0" w:space="0" w:color="auto"/>
                <w:right w:val="none" w:sz="0" w:space="0" w:color="auto"/>
              </w:divBdr>
              <w:divsChild>
                <w:div w:id="685134508">
                  <w:marLeft w:val="255"/>
                  <w:marRight w:val="0"/>
                  <w:marTop w:val="0"/>
                  <w:marBottom w:val="0"/>
                  <w:divBdr>
                    <w:top w:val="none" w:sz="0" w:space="0" w:color="auto"/>
                    <w:left w:val="none" w:sz="0" w:space="0" w:color="auto"/>
                    <w:bottom w:val="none" w:sz="0" w:space="0" w:color="auto"/>
                    <w:right w:val="none" w:sz="0" w:space="0" w:color="auto"/>
                  </w:divBdr>
                </w:div>
              </w:divsChild>
            </w:div>
            <w:div w:id="2069643995">
              <w:marLeft w:val="0"/>
              <w:marRight w:val="0"/>
              <w:marTop w:val="0"/>
              <w:marBottom w:val="0"/>
              <w:divBdr>
                <w:top w:val="none" w:sz="0" w:space="0" w:color="auto"/>
                <w:left w:val="none" w:sz="0" w:space="0" w:color="auto"/>
                <w:bottom w:val="none" w:sz="0" w:space="0" w:color="auto"/>
                <w:right w:val="none" w:sz="0" w:space="0" w:color="auto"/>
              </w:divBdr>
              <w:divsChild>
                <w:div w:id="9314688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11012673">
          <w:marLeft w:val="0"/>
          <w:marRight w:val="0"/>
          <w:marTop w:val="0"/>
          <w:marBottom w:val="0"/>
          <w:divBdr>
            <w:top w:val="none" w:sz="0" w:space="0" w:color="auto"/>
            <w:left w:val="none" w:sz="0" w:space="0" w:color="auto"/>
            <w:bottom w:val="none" w:sz="0" w:space="0" w:color="auto"/>
            <w:right w:val="none" w:sz="0" w:space="0" w:color="auto"/>
          </w:divBdr>
          <w:divsChild>
            <w:div w:id="1461612059">
              <w:marLeft w:val="0"/>
              <w:marRight w:val="0"/>
              <w:marTop w:val="105"/>
              <w:marBottom w:val="0"/>
              <w:divBdr>
                <w:top w:val="none" w:sz="0" w:space="0" w:color="auto"/>
                <w:left w:val="none" w:sz="0" w:space="0" w:color="auto"/>
                <w:bottom w:val="none" w:sz="0" w:space="0" w:color="auto"/>
                <w:right w:val="none" w:sz="0" w:space="0" w:color="auto"/>
              </w:divBdr>
            </w:div>
          </w:divsChild>
        </w:div>
        <w:div w:id="949778399">
          <w:marLeft w:val="0"/>
          <w:marRight w:val="0"/>
          <w:marTop w:val="0"/>
          <w:marBottom w:val="0"/>
          <w:divBdr>
            <w:top w:val="none" w:sz="0" w:space="0" w:color="auto"/>
            <w:left w:val="none" w:sz="0" w:space="0" w:color="auto"/>
            <w:bottom w:val="none" w:sz="0" w:space="0" w:color="auto"/>
            <w:right w:val="none" w:sz="0" w:space="0" w:color="auto"/>
          </w:divBdr>
          <w:divsChild>
            <w:div w:id="17350057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8712647">
      <w:bodyDiv w:val="1"/>
      <w:marLeft w:val="0"/>
      <w:marRight w:val="0"/>
      <w:marTop w:val="0"/>
      <w:marBottom w:val="0"/>
      <w:divBdr>
        <w:top w:val="none" w:sz="0" w:space="0" w:color="auto"/>
        <w:left w:val="none" w:sz="0" w:space="0" w:color="auto"/>
        <w:bottom w:val="none" w:sz="0" w:space="0" w:color="auto"/>
        <w:right w:val="none" w:sz="0" w:space="0" w:color="auto"/>
      </w:divBdr>
      <w:divsChild>
        <w:div w:id="1152212410">
          <w:marLeft w:val="0"/>
          <w:marRight w:val="0"/>
          <w:marTop w:val="0"/>
          <w:marBottom w:val="0"/>
          <w:divBdr>
            <w:top w:val="none" w:sz="0" w:space="0" w:color="auto"/>
            <w:left w:val="none" w:sz="0" w:space="0" w:color="auto"/>
            <w:bottom w:val="none" w:sz="0" w:space="0" w:color="auto"/>
            <w:right w:val="none" w:sz="0" w:space="0" w:color="auto"/>
          </w:divBdr>
          <w:divsChild>
            <w:div w:id="736436171">
              <w:marLeft w:val="0"/>
              <w:marRight w:val="0"/>
              <w:marTop w:val="105"/>
              <w:marBottom w:val="0"/>
              <w:divBdr>
                <w:top w:val="none" w:sz="0" w:space="0" w:color="auto"/>
                <w:left w:val="none" w:sz="0" w:space="0" w:color="auto"/>
                <w:bottom w:val="none" w:sz="0" w:space="0" w:color="auto"/>
                <w:right w:val="none" w:sz="0" w:space="0" w:color="auto"/>
              </w:divBdr>
            </w:div>
          </w:divsChild>
        </w:div>
        <w:div w:id="217860543">
          <w:marLeft w:val="0"/>
          <w:marRight w:val="0"/>
          <w:marTop w:val="0"/>
          <w:marBottom w:val="0"/>
          <w:divBdr>
            <w:top w:val="none" w:sz="0" w:space="0" w:color="auto"/>
            <w:left w:val="none" w:sz="0" w:space="0" w:color="auto"/>
            <w:bottom w:val="none" w:sz="0" w:space="0" w:color="auto"/>
            <w:right w:val="none" w:sz="0" w:space="0" w:color="auto"/>
          </w:divBdr>
          <w:divsChild>
            <w:div w:id="1131747163">
              <w:marLeft w:val="0"/>
              <w:marRight w:val="0"/>
              <w:marTop w:val="105"/>
              <w:marBottom w:val="0"/>
              <w:divBdr>
                <w:top w:val="none" w:sz="0" w:space="0" w:color="auto"/>
                <w:left w:val="none" w:sz="0" w:space="0" w:color="auto"/>
                <w:bottom w:val="none" w:sz="0" w:space="0" w:color="auto"/>
                <w:right w:val="none" w:sz="0" w:space="0" w:color="auto"/>
              </w:divBdr>
            </w:div>
          </w:divsChild>
        </w:div>
        <w:div w:id="1035469369">
          <w:marLeft w:val="0"/>
          <w:marRight w:val="0"/>
          <w:marTop w:val="0"/>
          <w:marBottom w:val="0"/>
          <w:divBdr>
            <w:top w:val="none" w:sz="0" w:space="0" w:color="auto"/>
            <w:left w:val="none" w:sz="0" w:space="0" w:color="auto"/>
            <w:bottom w:val="none" w:sz="0" w:space="0" w:color="auto"/>
            <w:right w:val="none" w:sz="0" w:space="0" w:color="auto"/>
          </w:divBdr>
          <w:divsChild>
            <w:div w:id="1093742946">
              <w:marLeft w:val="0"/>
              <w:marRight w:val="0"/>
              <w:marTop w:val="105"/>
              <w:marBottom w:val="0"/>
              <w:divBdr>
                <w:top w:val="none" w:sz="0" w:space="0" w:color="auto"/>
                <w:left w:val="none" w:sz="0" w:space="0" w:color="auto"/>
                <w:bottom w:val="none" w:sz="0" w:space="0" w:color="auto"/>
                <w:right w:val="none" w:sz="0" w:space="0" w:color="auto"/>
              </w:divBdr>
            </w:div>
            <w:div w:id="211236326">
              <w:marLeft w:val="0"/>
              <w:marRight w:val="0"/>
              <w:marTop w:val="0"/>
              <w:marBottom w:val="0"/>
              <w:divBdr>
                <w:top w:val="none" w:sz="0" w:space="0" w:color="auto"/>
                <w:left w:val="none" w:sz="0" w:space="0" w:color="auto"/>
                <w:bottom w:val="none" w:sz="0" w:space="0" w:color="auto"/>
                <w:right w:val="none" w:sz="0" w:space="0" w:color="auto"/>
              </w:divBdr>
              <w:divsChild>
                <w:div w:id="79766084">
                  <w:marLeft w:val="255"/>
                  <w:marRight w:val="0"/>
                  <w:marTop w:val="0"/>
                  <w:marBottom w:val="0"/>
                  <w:divBdr>
                    <w:top w:val="none" w:sz="0" w:space="0" w:color="auto"/>
                    <w:left w:val="none" w:sz="0" w:space="0" w:color="auto"/>
                    <w:bottom w:val="none" w:sz="0" w:space="0" w:color="auto"/>
                    <w:right w:val="none" w:sz="0" w:space="0" w:color="auto"/>
                  </w:divBdr>
                </w:div>
              </w:divsChild>
            </w:div>
            <w:div w:id="736898793">
              <w:marLeft w:val="0"/>
              <w:marRight w:val="0"/>
              <w:marTop w:val="0"/>
              <w:marBottom w:val="0"/>
              <w:divBdr>
                <w:top w:val="none" w:sz="0" w:space="0" w:color="auto"/>
                <w:left w:val="none" w:sz="0" w:space="0" w:color="auto"/>
                <w:bottom w:val="none" w:sz="0" w:space="0" w:color="auto"/>
                <w:right w:val="none" w:sz="0" w:space="0" w:color="auto"/>
              </w:divBdr>
              <w:divsChild>
                <w:div w:id="14028307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325183">
          <w:marLeft w:val="0"/>
          <w:marRight w:val="0"/>
          <w:marTop w:val="0"/>
          <w:marBottom w:val="0"/>
          <w:divBdr>
            <w:top w:val="none" w:sz="0" w:space="0" w:color="auto"/>
            <w:left w:val="none" w:sz="0" w:space="0" w:color="auto"/>
            <w:bottom w:val="none" w:sz="0" w:space="0" w:color="auto"/>
            <w:right w:val="none" w:sz="0" w:space="0" w:color="auto"/>
          </w:divBdr>
          <w:divsChild>
            <w:div w:id="1428161816">
              <w:marLeft w:val="0"/>
              <w:marRight w:val="0"/>
              <w:marTop w:val="105"/>
              <w:marBottom w:val="0"/>
              <w:divBdr>
                <w:top w:val="none" w:sz="0" w:space="0" w:color="auto"/>
                <w:left w:val="none" w:sz="0" w:space="0" w:color="auto"/>
                <w:bottom w:val="none" w:sz="0" w:space="0" w:color="auto"/>
                <w:right w:val="none" w:sz="0" w:space="0" w:color="auto"/>
              </w:divBdr>
            </w:div>
          </w:divsChild>
        </w:div>
        <w:div w:id="1322345544">
          <w:marLeft w:val="0"/>
          <w:marRight w:val="0"/>
          <w:marTop w:val="0"/>
          <w:marBottom w:val="0"/>
          <w:divBdr>
            <w:top w:val="none" w:sz="0" w:space="0" w:color="auto"/>
            <w:left w:val="none" w:sz="0" w:space="0" w:color="auto"/>
            <w:bottom w:val="none" w:sz="0" w:space="0" w:color="auto"/>
            <w:right w:val="none" w:sz="0" w:space="0" w:color="auto"/>
          </w:divBdr>
          <w:divsChild>
            <w:div w:id="1309624877">
              <w:marLeft w:val="0"/>
              <w:marRight w:val="0"/>
              <w:marTop w:val="105"/>
              <w:marBottom w:val="0"/>
              <w:divBdr>
                <w:top w:val="none" w:sz="0" w:space="0" w:color="auto"/>
                <w:left w:val="none" w:sz="0" w:space="0" w:color="auto"/>
                <w:bottom w:val="none" w:sz="0" w:space="0" w:color="auto"/>
                <w:right w:val="none" w:sz="0" w:space="0" w:color="auto"/>
              </w:divBdr>
            </w:div>
            <w:div w:id="402803390">
              <w:marLeft w:val="0"/>
              <w:marRight w:val="0"/>
              <w:marTop w:val="0"/>
              <w:marBottom w:val="0"/>
              <w:divBdr>
                <w:top w:val="none" w:sz="0" w:space="0" w:color="auto"/>
                <w:left w:val="none" w:sz="0" w:space="0" w:color="auto"/>
                <w:bottom w:val="none" w:sz="0" w:space="0" w:color="auto"/>
                <w:right w:val="none" w:sz="0" w:space="0" w:color="auto"/>
              </w:divBdr>
              <w:divsChild>
                <w:div w:id="1321158181">
                  <w:marLeft w:val="255"/>
                  <w:marRight w:val="0"/>
                  <w:marTop w:val="0"/>
                  <w:marBottom w:val="0"/>
                  <w:divBdr>
                    <w:top w:val="none" w:sz="0" w:space="0" w:color="auto"/>
                    <w:left w:val="none" w:sz="0" w:space="0" w:color="auto"/>
                    <w:bottom w:val="none" w:sz="0" w:space="0" w:color="auto"/>
                    <w:right w:val="none" w:sz="0" w:space="0" w:color="auto"/>
                  </w:divBdr>
                </w:div>
              </w:divsChild>
            </w:div>
            <w:div w:id="518857646">
              <w:marLeft w:val="0"/>
              <w:marRight w:val="0"/>
              <w:marTop w:val="0"/>
              <w:marBottom w:val="0"/>
              <w:divBdr>
                <w:top w:val="none" w:sz="0" w:space="0" w:color="auto"/>
                <w:left w:val="none" w:sz="0" w:space="0" w:color="auto"/>
                <w:bottom w:val="none" w:sz="0" w:space="0" w:color="auto"/>
                <w:right w:val="none" w:sz="0" w:space="0" w:color="auto"/>
              </w:divBdr>
              <w:divsChild>
                <w:div w:id="18419618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7183">
      <w:bodyDiv w:val="1"/>
      <w:marLeft w:val="0"/>
      <w:marRight w:val="0"/>
      <w:marTop w:val="0"/>
      <w:marBottom w:val="0"/>
      <w:divBdr>
        <w:top w:val="none" w:sz="0" w:space="0" w:color="auto"/>
        <w:left w:val="none" w:sz="0" w:space="0" w:color="auto"/>
        <w:bottom w:val="none" w:sz="0" w:space="0" w:color="auto"/>
        <w:right w:val="none" w:sz="0" w:space="0" w:color="auto"/>
      </w:divBdr>
      <w:divsChild>
        <w:div w:id="1730574441">
          <w:marLeft w:val="0"/>
          <w:marRight w:val="0"/>
          <w:marTop w:val="0"/>
          <w:marBottom w:val="0"/>
          <w:divBdr>
            <w:top w:val="none" w:sz="0" w:space="0" w:color="auto"/>
            <w:left w:val="none" w:sz="0" w:space="0" w:color="auto"/>
            <w:bottom w:val="none" w:sz="0" w:space="0" w:color="auto"/>
            <w:right w:val="none" w:sz="0" w:space="0" w:color="auto"/>
          </w:divBdr>
          <w:divsChild>
            <w:div w:id="791050414">
              <w:marLeft w:val="0"/>
              <w:marRight w:val="0"/>
              <w:marTop w:val="105"/>
              <w:marBottom w:val="0"/>
              <w:divBdr>
                <w:top w:val="none" w:sz="0" w:space="0" w:color="auto"/>
                <w:left w:val="none" w:sz="0" w:space="0" w:color="auto"/>
                <w:bottom w:val="none" w:sz="0" w:space="0" w:color="auto"/>
                <w:right w:val="none" w:sz="0" w:space="0" w:color="auto"/>
              </w:divBdr>
            </w:div>
          </w:divsChild>
        </w:div>
        <w:div w:id="513230304">
          <w:marLeft w:val="0"/>
          <w:marRight w:val="0"/>
          <w:marTop w:val="0"/>
          <w:marBottom w:val="0"/>
          <w:divBdr>
            <w:top w:val="none" w:sz="0" w:space="0" w:color="auto"/>
            <w:left w:val="none" w:sz="0" w:space="0" w:color="auto"/>
            <w:bottom w:val="none" w:sz="0" w:space="0" w:color="auto"/>
            <w:right w:val="none" w:sz="0" w:space="0" w:color="auto"/>
          </w:divBdr>
          <w:divsChild>
            <w:div w:id="2141528370">
              <w:marLeft w:val="0"/>
              <w:marRight w:val="0"/>
              <w:marTop w:val="105"/>
              <w:marBottom w:val="0"/>
              <w:divBdr>
                <w:top w:val="none" w:sz="0" w:space="0" w:color="auto"/>
                <w:left w:val="none" w:sz="0" w:space="0" w:color="auto"/>
                <w:bottom w:val="none" w:sz="0" w:space="0" w:color="auto"/>
                <w:right w:val="none" w:sz="0" w:space="0" w:color="auto"/>
              </w:divBdr>
            </w:div>
          </w:divsChild>
        </w:div>
        <w:div w:id="1021511065">
          <w:marLeft w:val="0"/>
          <w:marRight w:val="0"/>
          <w:marTop w:val="0"/>
          <w:marBottom w:val="0"/>
          <w:divBdr>
            <w:top w:val="none" w:sz="0" w:space="0" w:color="auto"/>
            <w:left w:val="none" w:sz="0" w:space="0" w:color="auto"/>
            <w:bottom w:val="none" w:sz="0" w:space="0" w:color="auto"/>
            <w:right w:val="none" w:sz="0" w:space="0" w:color="auto"/>
          </w:divBdr>
          <w:divsChild>
            <w:div w:id="1326938395">
              <w:marLeft w:val="0"/>
              <w:marRight w:val="0"/>
              <w:marTop w:val="105"/>
              <w:marBottom w:val="0"/>
              <w:divBdr>
                <w:top w:val="none" w:sz="0" w:space="0" w:color="auto"/>
                <w:left w:val="none" w:sz="0" w:space="0" w:color="auto"/>
                <w:bottom w:val="none" w:sz="0" w:space="0" w:color="auto"/>
                <w:right w:val="none" w:sz="0" w:space="0" w:color="auto"/>
              </w:divBdr>
            </w:div>
          </w:divsChild>
        </w:div>
        <w:div w:id="2039969338">
          <w:marLeft w:val="0"/>
          <w:marRight w:val="0"/>
          <w:marTop w:val="0"/>
          <w:marBottom w:val="0"/>
          <w:divBdr>
            <w:top w:val="none" w:sz="0" w:space="0" w:color="auto"/>
            <w:left w:val="none" w:sz="0" w:space="0" w:color="auto"/>
            <w:bottom w:val="none" w:sz="0" w:space="0" w:color="auto"/>
            <w:right w:val="none" w:sz="0" w:space="0" w:color="auto"/>
          </w:divBdr>
          <w:divsChild>
            <w:div w:id="12780975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9408930">
      <w:bodyDiv w:val="1"/>
      <w:marLeft w:val="0"/>
      <w:marRight w:val="0"/>
      <w:marTop w:val="0"/>
      <w:marBottom w:val="0"/>
      <w:divBdr>
        <w:top w:val="none" w:sz="0" w:space="0" w:color="auto"/>
        <w:left w:val="none" w:sz="0" w:space="0" w:color="auto"/>
        <w:bottom w:val="none" w:sz="0" w:space="0" w:color="auto"/>
        <w:right w:val="none" w:sz="0" w:space="0" w:color="auto"/>
      </w:divBdr>
      <w:divsChild>
        <w:div w:id="1919635524">
          <w:marLeft w:val="0"/>
          <w:marRight w:val="0"/>
          <w:marTop w:val="0"/>
          <w:marBottom w:val="0"/>
          <w:divBdr>
            <w:top w:val="none" w:sz="0" w:space="0" w:color="auto"/>
            <w:left w:val="none" w:sz="0" w:space="0" w:color="auto"/>
            <w:bottom w:val="none" w:sz="0" w:space="0" w:color="auto"/>
            <w:right w:val="none" w:sz="0" w:space="0" w:color="auto"/>
          </w:divBdr>
          <w:divsChild>
            <w:div w:id="1556813718">
              <w:marLeft w:val="0"/>
              <w:marRight w:val="0"/>
              <w:marTop w:val="105"/>
              <w:marBottom w:val="0"/>
              <w:divBdr>
                <w:top w:val="none" w:sz="0" w:space="0" w:color="auto"/>
                <w:left w:val="none" w:sz="0" w:space="0" w:color="auto"/>
                <w:bottom w:val="none" w:sz="0" w:space="0" w:color="auto"/>
                <w:right w:val="none" w:sz="0" w:space="0" w:color="auto"/>
              </w:divBdr>
            </w:div>
          </w:divsChild>
        </w:div>
        <w:div w:id="2070690752">
          <w:marLeft w:val="0"/>
          <w:marRight w:val="0"/>
          <w:marTop w:val="0"/>
          <w:marBottom w:val="0"/>
          <w:divBdr>
            <w:top w:val="none" w:sz="0" w:space="0" w:color="auto"/>
            <w:left w:val="none" w:sz="0" w:space="0" w:color="auto"/>
            <w:bottom w:val="none" w:sz="0" w:space="0" w:color="auto"/>
            <w:right w:val="none" w:sz="0" w:space="0" w:color="auto"/>
          </w:divBdr>
          <w:divsChild>
            <w:div w:id="14751731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5389054">
      <w:bodyDiv w:val="1"/>
      <w:marLeft w:val="0"/>
      <w:marRight w:val="0"/>
      <w:marTop w:val="0"/>
      <w:marBottom w:val="0"/>
      <w:divBdr>
        <w:top w:val="none" w:sz="0" w:space="0" w:color="auto"/>
        <w:left w:val="none" w:sz="0" w:space="0" w:color="auto"/>
        <w:bottom w:val="none" w:sz="0" w:space="0" w:color="auto"/>
        <w:right w:val="none" w:sz="0" w:space="0" w:color="auto"/>
      </w:divBdr>
      <w:divsChild>
        <w:div w:id="1914273336">
          <w:marLeft w:val="0"/>
          <w:marRight w:val="0"/>
          <w:marTop w:val="0"/>
          <w:marBottom w:val="0"/>
          <w:divBdr>
            <w:top w:val="none" w:sz="0" w:space="0" w:color="auto"/>
            <w:left w:val="none" w:sz="0" w:space="0" w:color="auto"/>
            <w:bottom w:val="none" w:sz="0" w:space="0" w:color="auto"/>
            <w:right w:val="none" w:sz="0" w:space="0" w:color="auto"/>
          </w:divBdr>
          <w:divsChild>
            <w:div w:id="2071346350">
              <w:marLeft w:val="0"/>
              <w:marRight w:val="0"/>
              <w:marTop w:val="105"/>
              <w:marBottom w:val="0"/>
              <w:divBdr>
                <w:top w:val="none" w:sz="0" w:space="0" w:color="auto"/>
                <w:left w:val="none" w:sz="0" w:space="0" w:color="auto"/>
                <w:bottom w:val="none" w:sz="0" w:space="0" w:color="auto"/>
                <w:right w:val="none" w:sz="0" w:space="0" w:color="auto"/>
              </w:divBdr>
            </w:div>
          </w:divsChild>
        </w:div>
        <w:div w:id="1851866332">
          <w:marLeft w:val="0"/>
          <w:marRight w:val="0"/>
          <w:marTop w:val="0"/>
          <w:marBottom w:val="0"/>
          <w:divBdr>
            <w:top w:val="none" w:sz="0" w:space="0" w:color="auto"/>
            <w:left w:val="none" w:sz="0" w:space="0" w:color="auto"/>
            <w:bottom w:val="none" w:sz="0" w:space="0" w:color="auto"/>
            <w:right w:val="none" w:sz="0" w:space="0" w:color="auto"/>
          </w:divBdr>
          <w:divsChild>
            <w:div w:id="1698123112">
              <w:marLeft w:val="0"/>
              <w:marRight w:val="0"/>
              <w:marTop w:val="105"/>
              <w:marBottom w:val="0"/>
              <w:divBdr>
                <w:top w:val="none" w:sz="0" w:space="0" w:color="auto"/>
                <w:left w:val="none" w:sz="0" w:space="0" w:color="auto"/>
                <w:bottom w:val="none" w:sz="0" w:space="0" w:color="auto"/>
                <w:right w:val="none" w:sz="0" w:space="0" w:color="auto"/>
              </w:divBdr>
            </w:div>
            <w:div w:id="194923275">
              <w:marLeft w:val="0"/>
              <w:marRight w:val="0"/>
              <w:marTop w:val="0"/>
              <w:marBottom w:val="0"/>
              <w:divBdr>
                <w:top w:val="none" w:sz="0" w:space="0" w:color="auto"/>
                <w:left w:val="none" w:sz="0" w:space="0" w:color="auto"/>
                <w:bottom w:val="none" w:sz="0" w:space="0" w:color="auto"/>
                <w:right w:val="none" w:sz="0" w:space="0" w:color="auto"/>
              </w:divBdr>
              <w:divsChild>
                <w:div w:id="459883692">
                  <w:marLeft w:val="255"/>
                  <w:marRight w:val="0"/>
                  <w:marTop w:val="0"/>
                  <w:marBottom w:val="0"/>
                  <w:divBdr>
                    <w:top w:val="none" w:sz="0" w:space="0" w:color="auto"/>
                    <w:left w:val="none" w:sz="0" w:space="0" w:color="auto"/>
                    <w:bottom w:val="none" w:sz="0" w:space="0" w:color="auto"/>
                    <w:right w:val="none" w:sz="0" w:space="0" w:color="auto"/>
                  </w:divBdr>
                </w:div>
              </w:divsChild>
            </w:div>
            <w:div w:id="819729990">
              <w:marLeft w:val="0"/>
              <w:marRight w:val="0"/>
              <w:marTop w:val="0"/>
              <w:marBottom w:val="0"/>
              <w:divBdr>
                <w:top w:val="none" w:sz="0" w:space="0" w:color="auto"/>
                <w:left w:val="none" w:sz="0" w:space="0" w:color="auto"/>
                <w:bottom w:val="none" w:sz="0" w:space="0" w:color="auto"/>
                <w:right w:val="none" w:sz="0" w:space="0" w:color="auto"/>
              </w:divBdr>
              <w:divsChild>
                <w:div w:id="1909029484">
                  <w:marLeft w:val="255"/>
                  <w:marRight w:val="0"/>
                  <w:marTop w:val="0"/>
                  <w:marBottom w:val="0"/>
                  <w:divBdr>
                    <w:top w:val="none" w:sz="0" w:space="0" w:color="auto"/>
                    <w:left w:val="none" w:sz="0" w:space="0" w:color="auto"/>
                    <w:bottom w:val="none" w:sz="0" w:space="0" w:color="auto"/>
                    <w:right w:val="none" w:sz="0" w:space="0" w:color="auto"/>
                  </w:divBdr>
                </w:div>
              </w:divsChild>
            </w:div>
            <w:div w:id="56975393">
              <w:marLeft w:val="0"/>
              <w:marRight w:val="0"/>
              <w:marTop w:val="0"/>
              <w:marBottom w:val="0"/>
              <w:divBdr>
                <w:top w:val="none" w:sz="0" w:space="0" w:color="auto"/>
                <w:left w:val="none" w:sz="0" w:space="0" w:color="auto"/>
                <w:bottom w:val="none" w:sz="0" w:space="0" w:color="auto"/>
                <w:right w:val="none" w:sz="0" w:space="0" w:color="auto"/>
              </w:divBdr>
              <w:divsChild>
                <w:div w:id="19952588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1993539">
          <w:marLeft w:val="0"/>
          <w:marRight w:val="0"/>
          <w:marTop w:val="0"/>
          <w:marBottom w:val="0"/>
          <w:divBdr>
            <w:top w:val="none" w:sz="0" w:space="0" w:color="auto"/>
            <w:left w:val="none" w:sz="0" w:space="0" w:color="auto"/>
            <w:bottom w:val="none" w:sz="0" w:space="0" w:color="auto"/>
            <w:right w:val="none" w:sz="0" w:space="0" w:color="auto"/>
          </w:divBdr>
          <w:divsChild>
            <w:div w:id="1458913673">
              <w:marLeft w:val="0"/>
              <w:marRight w:val="0"/>
              <w:marTop w:val="105"/>
              <w:marBottom w:val="0"/>
              <w:divBdr>
                <w:top w:val="none" w:sz="0" w:space="0" w:color="auto"/>
                <w:left w:val="none" w:sz="0" w:space="0" w:color="auto"/>
                <w:bottom w:val="none" w:sz="0" w:space="0" w:color="auto"/>
                <w:right w:val="none" w:sz="0" w:space="0" w:color="auto"/>
              </w:divBdr>
            </w:div>
          </w:divsChild>
        </w:div>
        <w:div w:id="1180776304">
          <w:marLeft w:val="0"/>
          <w:marRight w:val="0"/>
          <w:marTop w:val="0"/>
          <w:marBottom w:val="0"/>
          <w:divBdr>
            <w:top w:val="none" w:sz="0" w:space="0" w:color="auto"/>
            <w:left w:val="none" w:sz="0" w:space="0" w:color="auto"/>
            <w:bottom w:val="none" w:sz="0" w:space="0" w:color="auto"/>
            <w:right w:val="none" w:sz="0" w:space="0" w:color="auto"/>
          </w:divBdr>
          <w:divsChild>
            <w:div w:id="16537579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8871579">
      <w:bodyDiv w:val="1"/>
      <w:marLeft w:val="0"/>
      <w:marRight w:val="0"/>
      <w:marTop w:val="0"/>
      <w:marBottom w:val="0"/>
      <w:divBdr>
        <w:top w:val="none" w:sz="0" w:space="0" w:color="auto"/>
        <w:left w:val="none" w:sz="0" w:space="0" w:color="auto"/>
        <w:bottom w:val="none" w:sz="0" w:space="0" w:color="auto"/>
        <w:right w:val="none" w:sz="0" w:space="0" w:color="auto"/>
      </w:divBdr>
      <w:divsChild>
        <w:div w:id="970938720">
          <w:marLeft w:val="0"/>
          <w:marRight w:val="0"/>
          <w:marTop w:val="0"/>
          <w:marBottom w:val="0"/>
          <w:divBdr>
            <w:top w:val="none" w:sz="0" w:space="0" w:color="auto"/>
            <w:left w:val="none" w:sz="0" w:space="0" w:color="auto"/>
            <w:bottom w:val="none" w:sz="0" w:space="0" w:color="auto"/>
            <w:right w:val="none" w:sz="0" w:space="0" w:color="auto"/>
          </w:divBdr>
          <w:divsChild>
            <w:div w:id="1898007492">
              <w:marLeft w:val="0"/>
              <w:marRight w:val="0"/>
              <w:marTop w:val="105"/>
              <w:marBottom w:val="0"/>
              <w:divBdr>
                <w:top w:val="none" w:sz="0" w:space="0" w:color="auto"/>
                <w:left w:val="none" w:sz="0" w:space="0" w:color="auto"/>
                <w:bottom w:val="none" w:sz="0" w:space="0" w:color="auto"/>
                <w:right w:val="none" w:sz="0" w:space="0" w:color="auto"/>
              </w:divBdr>
            </w:div>
          </w:divsChild>
        </w:div>
        <w:div w:id="1339505717">
          <w:marLeft w:val="0"/>
          <w:marRight w:val="0"/>
          <w:marTop w:val="0"/>
          <w:marBottom w:val="0"/>
          <w:divBdr>
            <w:top w:val="none" w:sz="0" w:space="0" w:color="auto"/>
            <w:left w:val="none" w:sz="0" w:space="0" w:color="auto"/>
            <w:bottom w:val="none" w:sz="0" w:space="0" w:color="auto"/>
            <w:right w:val="none" w:sz="0" w:space="0" w:color="auto"/>
          </w:divBdr>
          <w:divsChild>
            <w:div w:id="17398650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5938175">
      <w:bodyDiv w:val="1"/>
      <w:marLeft w:val="0"/>
      <w:marRight w:val="0"/>
      <w:marTop w:val="0"/>
      <w:marBottom w:val="0"/>
      <w:divBdr>
        <w:top w:val="none" w:sz="0" w:space="0" w:color="auto"/>
        <w:left w:val="none" w:sz="0" w:space="0" w:color="auto"/>
        <w:bottom w:val="none" w:sz="0" w:space="0" w:color="auto"/>
        <w:right w:val="none" w:sz="0" w:space="0" w:color="auto"/>
      </w:divBdr>
      <w:divsChild>
        <w:div w:id="573661719">
          <w:marLeft w:val="0"/>
          <w:marRight w:val="0"/>
          <w:marTop w:val="0"/>
          <w:marBottom w:val="0"/>
          <w:divBdr>
            <w:top w:val="none" w:sz="0" w:space="0" w:color="auto"/>
            <w:left w:val="none" w:sz="0" w:space="0" w:color="auto"/>
            <w:bottom w:val="none" w:sz="0" w:space="0" w:color="auto"/>
            <w:right w:val="none" w:sz="0" w:space="0" w:color="auto"/>
          </w:divBdr>
          <w:divsChild>
            <w:div w:id="664825821">
              <w:marLeft w:val="0"/>
              <w:marRight w:val="0"/>
              <w:marTop w:val="105"/>
              <w:marBottom w:val="0"/>
              <w:divBdr>
                <w:top w:val="none" w:sz="0" w:space="0" w:color="auto"/>
                <w:left w:val="none" w:sz="0" w:space="0" w:color="auto"/>
                <w:bottom w:val="none" w:sz="0" w:space="0" w:color="auto"/>
                <w:right w:val="none" w:sz="0" w:space="0" w:color="auto"/>
              </w:divBdr>
            </w:div>
          </w:divsChild>
        </w:div>
        <w:div w:id="1077903028">
          <w:marLeft w:val="0"/>
          <w:marRight w:val="0"/>
          <w:marTop w:val="0"/>
          <w:marBottom w:val="0"/>
          <w:divBdr>
            <w:top w:val="none" w:sz="0" w:space="0" w:color="auto"/>
            <w:left w:val="none" w:sz="0" w:space="0" w:color="auto"/>
            <w:bottom w:val="none" w:sz="0" w:space="0" w:color="auto"/>
            <w:right w:val="none" w:sz="0" w:space="0" w:color="auto"/>
          </w:divBdr>
          <w:divsChild>
            <w:div w:id="1120488651">
              <w:marLeft w:val="0"/>
              <w:marRight w:val="0"/>
              <w:marTop w:val="105"/>
              <w:marBottom w:val="0"/>
              <w:divBdr>
                <w:top w:val="none" w:sz="0" w:space="0" w:color="auto"/>
                <w:left w:val="none" w:sz="0" w:space="0" w:color="auto"/>
                <w:bottom w:val="none" w:sz="0" w:space="0" w:color="auto"/>
                <w:right w:val="none" w:sz="0" w:space="0" w:color="auto"/>
              </w:divBdr>
            </w:div>
            <w:div w:id="1771121138">
              <w:marLeft w:val="0"/>
              <w:marRight w:val="0"/>
              <w:marTop w:val="0"/>
              <w:marBottom w:val="0"/>
              <w:divBdr>
                <w:top w:val="none" w:sz="0" w:space="0" w:color="auto"/>
                <w:left w:val="none" w:sz="0" w:space="0" w:color="auto"/>
                <w:bottom w:val="none" w:sz="0" w:space="0" w:color="auto"/>
                <w:right w:val="none" w:sz="0" w:space="0" w:color="auto"/>
              </w:divBdr>
              <w:divsChild>
                <w:div w:id="663822421">
                  <w:marLeft w:val="255"/>
                  <w:marRight w:val="0"/>
                  <w:marTop w:val="0"/>
                  <w:marBottom w:val="0"/>
                  <w:divBdr>
                    <w:top w:val="none" w:sz="0" w:space="0" w:color="auto"/>
                    <w:left w:val="none" w:sz="0" w:space="0" w:color="auto"/>
                    <w:bottom w:val="none" w:sz="0" w:space="0" w:color="auto"/>
                    <w:right w:val="none" w:sz="0" w:space="0" w:color="auto"/>
                  </w:divBdr>
                </w:div>
              </w:divsChild>
            </w:div>
            <w:div w:id="1258557186">
              <w:marLeft w:val="0"/>
              <w:marRight w:val="0"/>
              <w:marTop w:val="0"/>
              <w:marBottom w:val="0"/>
              <w:divBdr>
                <w:top w:val="none" w:sz="0" w:space="0" w:color="auto"/>
                <w:left w:val="none" w:sz="0" w:space="0" w:color="auto"/>
                <w:bottom w:val="none" w:sz="0" w:space="0" w:color="auto"/>
                <w:right w:val="none" w:sz="0" w:space="0" w:color="auto"/>
              </w:divBdr>
              <w:divsChild>
                <w:div w:id="8816760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4254887">
          <w:marLeft w:val="0"/>
          <w:marRight w:val="0"/>
          <w:marTop w:val="0"/>
          <w:marBottom w:val="0"/>
          <w:divBdr>
            <w:top w:val="none" w:sz="0" w:space="0" w:color="auto"/>
            <w:left w:val="none" w:sz="0" w:space="0" w:color="auto"/>
            <w:bottom w:val="none" w:sz="0" w:space="0" w:color="auto"/>
            <w:right w:val="none" w:sz="0" w:space="0" w:color="auto"/>
          </w:divBdr>
          <w:divsChild>
            <w:div w:id="16228809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4280533">
      <w:bodyDiv w:val="1"/>
      <w:marLeft w:val="0"/>
      <w:marRight w:val="0"/>
      <w:marTop w:val="0"/>
      <w:marBottom w:val="0"/>
      <w:divBdr>
        <w:top w:val="none" w:sz="0" w:space="0" w:color="auto"/>
        <w:left w:val="none" w:sz="0" w:space="0" w:color="auto"/>
        <w:bottom w:val="none" w:sz="0" w:space="0" w:color="auto"/>
        <w:right w:val="none" w:sz="0" w:space="0" w:color="auto"/>
      </w:divBdr>
      <w:divsChild>
        <w:div w:id="557518337">
          <w:marLeft w:val="0"/>
          <w:marRight w:val="0"/>
          <w:marTop w:val="150"/>
          <w:marBottom w:val="168"/>
          <w:divBdr>
            <w:top w:val="none" w:sz="0" w:space="0" w:color="auto"/>
            <w:left w:val="none" w:sz="0" w:space="0" w:color="auto"/>
            <w:bottom w:val="none" w:sz="0" w:space="0" w:color="auto"/>
            <w:right w:val="none" w:sz="0" w:space="0" w:color="auto"/>
          </w:divBdr>
        </w:div>
      </w:divsChild>
    </w:div>
    <w:div w:id="1352801144">
      <w:bodyDiv w:val="1"/>
      <w:marLeft w:val="0"/>
      <w:marRight w:val="0"/>
      <w:marTop w:val="0"/>
      <w:marBottom w:val="0"/>
      <w:divBdr>
        <w:top w:val="none" w:sz="0" w:space="0" w:color="auto"/>
        <w:left w:val="none" w:sz="0" w:space="0" w:color="auto"/>
        <w:bottom w:val="none" w:sz="0" w:space="0" w:color="auto"/>
        <w:right w:val="none" w:sz="0" w:space="0" w:color="auto"/>
      </w:divBdr>
      <w:divsChild>
        <w:div w:id="219680741">
          <w:marLeft w:val="0"/>
          <w:marRight w:val="0"/>
          <w:marTop w:val="0"/>
          <w:marBottom w:val="0"/>
          <w:divBdr>
            <w:top w:val="none" w:sz="0" w:space="0" w:color="auto"/>
            <w:left w:val="none" w:sz="0" w:space="0" w:color="auto"/>
            <w:bottom w:val="none" w:sz="0" w:space="0" w:color="auto"/>
            <w:right w:val="none" w:sz="0" w:space="0" w:color="auto"/>
          </w:divBdr>
          <w:divsChild>
            <w:div w:id="1510680185">
              <w:marLeft w:val="0"/>
              <w:marRight w:val="0"/>
              <w:marTop w:val="105"/>
              <w:marBottom w:val="0"/>
              <w:divBdr>
                <w:top w:val="none" w:sz="0" w:space="0" w:color="auto"/>
                <w:left w:val="none" w:sz="0" w:space="0" w:color="auto"/>
                <w:bottom w:val="none" w:sz="0" w:space="0" w:color="auto"/>
                <w:right w:val="none" w:sz="0" w:space="0" w:color="auto"/>
              </w:divBdr>
            </w:div>
          </w:divsChild>
        </w:div>
        <w:div w:id="1765690343">
          <w:marLeft w:val="0"/>
          <w:marRight w:val="0"/>
          <w:marTop w:val="0"/>
          <w:marBottom w:val="0"/>
          <w:divBdr>
            <w:top w:val="none" w:sz="0" w:space="0" w:color="auto"/>
            <w:left w:val="none" w:sz="0" w:space="0" w:color="auto"/>
            <w:bottom w:val="none" w:sz="0" w:space="0" w:color="auto"/>
            <w:right w:val="none" w:sz="0" w:space="0" w:color="auto"/>
          </w:divBdr>
          <w:divsChild>
            <w:div w:id="1341156509">
              <w:marLeft w:val="0"/>
              <w:marRight w:val="0"/>
              <w:marTop w:val="105"/>
              <w:marBottom w:val="0"/>
              <w:divBdr>
                <w:top w:val="none" w:sz="0" w:space="0" w:color="auto"/>
                <w:left w:val="none" w:sz="0" w:space="0" w:color="auto"/>
                <w:bottom w:val="none" w:sz="0" w:space="0" w:color="auto"/>
                <w:right w:val="none" w:sz="0" w:space="0" w:color="auto"/>
              </w:divBdr>
            </w:div>
          </w:divsChild>
        </w:div>
        <w:div w:id="441733220">
          <w:marLeft w:val="0"/>
          <w:marRight w:val="0"/>
          <w:marTop w:val="0"/>
          <w:marBottom w:val="0"/>
          <w:divBdr>
            <w:top w:val="none" w:sz="0" w:space="0" w:color="auto"/>
            <w:left w:val="none" w:sz="0" w:space="0" w:color="auto"/>
            <w:bottom w:val="none" w:sz="0" w:space="0" w:color="auto"/>
            <w:right w:val="none" w:sz="0" w:space="0" w:color="auto"/>
          </w:divBdr>
          <w:divsChild>
            <w:div w:id="2000691473">
              <w:marLeft w:val="0"/>
              <w:marRight w:val="0"/>
              <w:marTop w:val="105"/>
              <w:marBottom w:val="0"/>
              <w:divBdr>
                <w:top w:val="none" w:sz="0" w:space="0" w:color="auto"/>
                <w:left w:val="none" w:sz="0" w:space="0" w:color="auto"/>
                <w:bottom w:val="none" w:sz="0" w:space="0" w:color="auto"/>
                <w:right w:val="none" w:sz="0" w:space="0" w:color="auto"/>
              </w:divBdr>
            </w:div>
          </w:divsChild>
        </w:div>
        <w:div w:id="1215391457">
          <w:marLeft w:val="0"/>
          <w:marRight w:val="0"/>
          <w:marTop w:val="0"/>
          <w:marBottom w:val="0"/>
          <w:divBdr>
            <w:top w:val="none" w:sz="0" w:space="0" w:color="auto"/>
            <w:left w:val="none" w:sz="0" w:space="0" w:color="auto"/>
            <w:bottom w:val="none" w:sz="0" w:space="0" w:color="auto"/>
            <w:right w:val="none" w:sz="0" w:space="0" w:color="auto"/>
          </w:divBdr>
          <w:divsChild>
            <w:div w:id="511602668">
              <w:marLeft w:val="0"/>
              <w:marRight w:val="0"/>
              <w:marTop w:val="105"/>
              <w:marBottom w:val="0"/>
              <w:divBdr>
                <w:top w:val="none" w:sz="0" w:space="0" w:color="auto"/>
                <w:left w:val="none" w:sz="0" w:space="0" w:color="auto"/>
                <w:bottom w:val="none" w:sz="0" w:space="0" w:color="auto"/>
                <w:right w:val="none" w:sz="0" w:space="0" w:color="auto"/>
              </w:divBdr>
            </w:div>
          </w:divsChild>
        </w:div>
        <w:div w:id="1169101099">
          <w:marLeft w:val="0"/>
          <w:marRight w:val="0"/>
          <w:marTop w:val="0"/>
          <w:marBottom w:val="0"/>
          <w:divBdr>
            <w:top w:val="none" w:sz="0" w:space="0" w:color="auto"/>
            <w:left w:val="none" w:sz="0" w:space="0" w:color="auto"/>
            <w:bottom w:val="none" w:sz="0" w:space="0" w:color="auto"/>
            <w:right w:val="none" w:sz="0" w:space="0" w:color="auto"/>
          </w:divBdr>
          <w:divsChild>
            <w:div w:id="2068255780">
              <w:marLeft w:val="0"/>
              <w:marRight w:val="0"/>
              <w:marTop w:val="105"/>
              <w:marBottom w:val="0"/>
              <w:divBdr>
                <w:top w:val="none" w:sz="0" w:space="0" w:color="auto"/>
                <w:left w:val="none" w:sz="0" w:space="0" w:color="auto"/>
                <w:bottom w:val="none" w:sz="0" w:space="0" w:color="auto"/>
                <w:right w:val="none" w:sz="0" w:space="0" w:color="auto"/>
              </w:divBdr>
            </w:div>
          </w:divsChild>
        </w:div>
        <w:div w:id="562524582">
          <w:marLeft w:val="0"/>
          <w:marRight w:val="0"/>
          <w:marTop w:val="0"/>
          <w:marBottom w:val="0"/>
          <w:divBdr>
            <w:top w:val="none" w:sz="0" w:space="0" w:color="auto"/>
            <w:left w:val="none" w:sz="0" w:space="0" w:color="auto"/>
            <w:bottom w:val="none" w:sz="0" w:space="0" w:color="auto"/>
            <w:right w:val="none" w:sz="0" w:space="0" w:color="auto"/>
          </w:divBdr>
          <w:divsChild>
            <w:div w:id="618537934">
              <w:marLeft w:val="0"/>
              <w:marRight w:val="0"/>
              <w:marTop w:val="105"/>
              <w:marBottom w:val="0"/>
              <w:divBdr>
                <w:top w:val="none" w:sz="0" w:space="0" w:color="auto"/>
                <w:left w:val="none" w:sz="0" w:space="0" w:color="auto"/>
                <w:bottom w:val="none" w:sz="0" w:space="0" w:color="auto"/>
                <w:right w:val="none" w:sz="0" w:space="0" w:color="auto"/>
              </w:divBdr>
            </w:div>
          </w:divsChild>
        </w:div>
        <w:div w:id="871380467">
          <w:marLeft w:val="0"/>
          <w:marRight w:val="0"/>
          <w:marTop w:val="0"/>
          <w:marBottom w:val="0"/>
          <w:divBdr>
            <w:top w:val="none" w:sz="0" w:space="0" w:color="auto"/>
            <w:left w:val="none" w:sz="0" w:space="0" w:color="auto"/>
            <w:bottom w:val="none" w:sz="0" w:space="0" w:color="auto"/>
            <w:right w:val="none" w:sz="0" w:space="0" w:color="auto"/>
          </w:divBdr>
          <w:divsChild>
            <w:div w:id="2056809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0647237">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marLeft w:val="0"/>
          <w:marRight w:val="0"/>
          <w:marTop w:val="0"/>
          <w:marBottom w:val="0"/>
          <w:divBdr>
            <w:top w:val="none" w:sz="0" w:space="0" w:color="auto"/>
            <w:left w:val="none" w:sz="0" w:space="0" w:color="auto"/>
            <w:bottom w:val="none" w:sz="0" w:space="0" w:color="auto"/>
            <w:right w:val="none" w:sz="0" w:space="0" w:color="auto"/>
          </w:divBdr>
          <w:divsChild>
            <w:div w:id="390470836">
              <w:marLeft w:val="0"/>
              <w:marRight w:val="0"/>
              <w:marTop w:val="105"/>
              <w:marBottom w:val="0"/>
              <w:divBdr>
                <w:top w:val="none" w:sz="0" w:space="0" w:color="auto"/>
                <w:left w:val="none" w:sz="0" w:space="0" w:color="auto"/>
                <w:bottom w:val="none" w:sz="0" w:space="0" w:color="auto"/>
                <w:right w:val="none" w:sz="0" w:space="0" w:color="auto"/>
              </w:divBdr>
            </w:div>
            <w:div w:id="2900694">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255"/>
                  <w:marRight w:val="0"/>
                  <w:marTop w:val="0"/>
                  <w:marBottom w:val="0"/>
                  <w:divBdr>
                    <w:top w:val="none" w:sz="0" w:space="0" w:color="auto"/>
                    <w:left w:val="none" w:sz="0" w:space="0" w:color="auto"/>
                    <w:bottom w:val="none" w:sz="0" w:space="0" w:color="auto"/>
                    <w:right w:val="none" w:sz="0" w:space="0" w:color="auto"/>
                  </w:divBdr>
                </w:div>
              </w:divsChild>
            </w:div>
            <w:div w:id="769592011">
              <w:marLeft w:val="0"/>
              <w:marRight w:val="0"/>
              <w:marTop w:val="0"/>
              <w:marBottom w:val="0"/>
              <w:divBdr>
                <w:top w:val="none" w:sz="0" w:space="0" w:color="auto"/>
                <w:left w:val="none" w:sz="0" w:space="0" w:color="auto"/>
                <w:bottom w:val="none" w:sz="0" w:space="0" w:color="auto"/>
                <w:right w:val="none" w:sz="0" w:space="0" w:color="auto"/>
              </w:divBdr>
              <w:divsChild>
                <w:div w:id="972758059">
                  <w:marLeft w:val="255"/>
                  <w:marRight w:val="0"/>
                  <w:marTop w:val="0"/>
                  <w:marBottom w:val="0"/>
                  <w:divBdr>
                    <w:top w:val="none" w:sz="0" w:space="0" w:color="auto"/>
                    <w:left w:val="none" w:sz="0" w:space="0" w:color="auto"/>
                    <w:bottom w:val="none" w:sz="0" w:space="0" w:color="auto"/>
                    <w:right w:val="none" w:sz="0" w:space="0" w:color="auto"/>
                  </w:divBdr>
                </w:div>
              </w:divsChild>
            </w:div>
            <w:div w:id="688800541">
              <w:marLeft w:val="0"/>
              <w:marRight w:val="0"/>
              <w:marTop w:val="0"/>
              <w:marBottom w:val="0"/>
              <w:divBdr>
                <w:top w:val="none" w:sz="0" w:space="0" w:color="auto"/>
                <w:left w:val="none" w:sz="0" w:space="0" w:color="auto"/>
                <w:bottom w:val="none" w:sz="0" w:space="0" w:color="auto"/>
                <w:right w:val="none" w:sz="0" w:space="0" w:color="auto"/>
              </w:divBdr>
              <w:divsChild>
                <w:div w:id="698894138">
                  <w:marLeft w:val="255"/>
                  <w:marRight w:val="0"/>
                  <w:marTop w:val="0"/>
                  <w:marBottom w:val="0"/>
                  <w:divBdr>
                    <w:top w:val="none" w:sz="0" w:space="0" w:color="auto"/>
                    <w:left w:val="none" w:sz="0" w:space="0" w:color="auto"/>
                    <w:bottom w:val="none" w:sz="0" w:space="0" w:color="auto"/>
                    <w:right w:val="none" w:sz="0" w:space="0" w:color="auto"/>
                  </w:divBdr>
                </w:div>
              </w:divsChild>
            </w:div>
            <w:div w:id="203909780">
              <w:marLeft w:val="0"/>
              <w:marRight w:val="0"/>
              <w:marTop w:val="0"/>
              <w:marBottom w:val="0"/>
              <w:divBdr>
                <w:top w:val="none" w:sz="0" w:space="0" w:color="auto"/>
                <w:left w:val="none" w:sz="0" w:space="0" w:color="auto"/>
                <w:bottom w:val="none" w:sz="0" w:space="0" w:color="auto"/>
                <w:right w:val="none" w:sz="0" w:space="0" w:color="auto"/>
              </w:divBdr>
              <w:divsChild>
                <w:div w:id="13670217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23140119">
          <w:marLeft w:val="0"/>
          <w:marRight w:val="0"/>
          <w:marTop w:val="0"/>
          <w:marBottom w:val="0"/>
          <w:divBdr>
            <w:top w:val="none" w:sz="0" w:space="0" w:color="auto"/>
            <w:left w:val="none" w:sz="0" w:space="0" w:color="auto"/>
            <w:bottom w:val="none" w:sz="0" w:space="0" w:color="auto"/>
            <w:right w:val="none" w:sz="0" w:space="0" w:color="auto"/>
          </w:divBdr>
          <w:divsChild>
            <w:div w:id="4685219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2530583">
      <w:bodyDiv w:val="1"/>
      <w:marLeft w:val="0"/>
      <w:marRight w:val="0"/>
      <w:marTop w:val="0"/>
      <w:marBottom w:val="0"/>
      <w:divBdr>
        <w:top w:val="none" w:sz="0" w:space="0" w:color="auto"/>
        <w:left w:val="none" w:sz="0" w:space="0" w:color="auto"/>
        <w:bottom w:val="none" w:sz="0" w:space="0" w:color="auto"/>
        <w:right w:val="none" w:sz="0" w:space="0" w:color="auto"/>
      </w:divBdr>
      <w:divsChild>
        <w:div w:id="64885221">
          <w:marLeft w:val="0"/>
          <w:marRight w:val="0"/>
          <w:marTop w:val="0"/>
          <w:marBottom w:val="0"/>
          <w:divBdr>
            <w:top w:val="none" w:sz="0" w:space="0" w:color="auto"/>
            <w:left w:val="none" w:sz="0" w:space="0" w:color="auto"/>
            <w:bottom w:val="none" w:sz="0" w:space="0" w:color="auto"/>
            <w:right w:val="none" w:sz="0" w:space="0" w:color="auto"/>
          </w:divBdr>
          <w:divsChild>
            <w:div w:id="916981549">
              <w:marLeft w:val="0"/>
              <w:marRight w:val="0"/>
              <w:marTop w:val="105"/>
              <w:marBottom w:val="0"/>
              <w:divBdr>
                <w:top w:val="none" w:sz="0" w:space="0" w:color="auto"/>
                <w:left w:val="none" w:sz="0" w:space="0" w:color="auto"/>
                <w:bottom w:val="none" w:sz="0" w:space="0" w:color="auto"/>
                <w:right w:val="none" w:sz="0" w:space="0" w:color="auto"/>
              </w:divBdr>
            </w:div>
            <w:div w:id="1846749845">
              <w:marLeft w:val="0"/>
              <w:marRight w:val="0"/>
              <w:marTop w:val="0"/>
              <w:marBottom w:val="0"/>
              <w:divBdr>
                <w:top w:val="none" w:sz="0" w:space="0" w:color="auto"/>
                <w:left w:val="none" w:sz="0" w:space="0" w:color="auto"/>
                <w:bottom w:val="none" w:sz="0" w:space="0" w:color="auto"/>
                <w:right w:val="none" w:sz="0" w:space="0" w:color="auto"/>
              </w:divBdr>
              <w:divsChild>
                <w:div w:id="1484004413">
                  <w:marLeft w:val="255"/>
                  <w:marRight w:val="0"/>
                  <w:marTop w:val="0"/>
                  <w:marBottom w:val="0"/>
                  <w:divBdr>
                    <w:top w:val="none" w:sz="0" w:space="0" w:color="auto"/>
                    <w:left w:val="none" w:sz="0" w:space="0" w:color="auto"/>
                    <w:bottom w:val="none" w:sz="0" w:space="0" w:color="auto"/>
                    <w:right w:val="none" w:sz="0" w:space="0" w:color="auto"/>
                  </w:divBdr>
                </w:div>
              </w:divsChild>
            </w:div>
            <w:div w:id="953444887">
              <w:marLeft w:val="0"/>
              <w:marRight w:val="0"/>
              <w:marTop w:val="0"/>
              <w:marBottom w:val="0"/>
              <w:divBdr>
                <w:top w:val="none" w:sz="0" w:space="0" w:color="auto"/>
                <w:left w:val="none" w:sz="0" w:space="0" w:color="auto"/>
                <w:bottom w:val="none" w:sz="0" w:space="0" w:color="auto"/>
                <w:right w:val="none" w:sz="0" w:space="0" w:color="auto"/>
              </w:divBdr>
              <w:divsChild>
                <w:div w:id="455416912">
                  <w:marLeft w:val="255"/>
                  <w:marRight w:val="0"/>
                  <w:marTop w:val="0"/>
                  <w:marBottom w:val="0"/>
                  <w:divBdr>
                    <w:top w:val="none" w:sz="0" w:space="0" w:color="auto"/>
                    <w:left w:val="none" w:sz="0" w:space="0" w:color="auto"/>
                    <w:bottom w:val="none" w:sz="0" w:space="0" w:color="auto"/>
                    <w:right w:val="none" w:sz="0" w:space="0" w:color="auto"/>
                  </w:divBdr>
                </w:div>
              </w:divsChild>
            </w:div>
            <w:div w:id="950359212">
              <w:marLeft w:val="0"/>
              <w:marRight w:val="0"/>
              <w:marTop w:val="0"/>
              <w:marBottom w:val="0"/>
              <w:divBdr>
                <w:top w:val="none" w:sz="0" w:space="0" w:color="auto"/>
                <w:left w:val="none" w:sz="0" w:space="0" w:color="auto"/>
                <w:bottom w:val="none" w:sz="0" w:space="0" w:color="auto"/>
                <w:right w:val="none" w:sz="0" w:space="0" w:color="auto"/>
              </w:divBdr>
              <w:divsChild>
                <w:div w:id="266693998">
                  <w:marLeft w:val="255"/>
                  <w:marRight w:val="0"/>
                  <w:marTop w:val="0"/>
                  <w:marBottom w:val="0"/>
                  <w:divBdr>
                    <w:top w:val="none" w:sz="0" w:space="0" w:color="auto"/>
                    <w:left w:val="none" w:sz="0" w:space="0" w:color="auto"/>
                    <w:bottom w:val="none" w:sz="0" w:space="0" w:color="auto"/>
                    <w:right w:val="none" w:sz="0" w:space="0" w:color="auto"/>
                  </w:divBdr>
                </w:div>
              </w:divsChild>
            </w:div>
            <w:div w:id="1796943406">
              <w:marLeft w:val="0"/>
              <w:marRight w:val="0"/>
              <w:marTop w:val="0"/>
              <w:marBottom w:val="0"/>
              <w:divBdr>
                <w:top w:val="none" w:sz="0" w:space="0" w:color="auto"/>
                <w:left w:val="none" w:sz="0" w:space="0" w:color="auto"/>
                <w:bottom w:val="none" w:sz="0" w:space="0" w:color="auto"/>
                <w:right w:val="none" w:sz="0" w:space="0" w:color="auto"/>
              </w:divBdr>
              <w:divsChild>
                <w:div w:id="1785996500">
                  <w:marLeft w:val="255"/>
                  <w:marRight w:val="0"/>
                  <w:marTop w:val="0"/>
                  <w:marBottom w:val="0"/>
                  <w:divBdr>
                    <w:top w:val="none" w:sz="0" w:space="0" w:color="auto"/>
                    <w:left w:val="none" w:sz="0" w:space="0" w:color="auto"/>
                    <w:bottom w:val="none" w:sz="0" w:space="0" w:color="auto"/>
                    <w:right w:val="none" w:sz="0" w:space="0" w:color="auto"/>
                  </w:divBdr>
                </w:div>
              </w:divsChild>
            </w:div>
            <w:div w:id="1425952140">
              <w:marLeft w:val="0"/>
              <w:marRight w:val="0"/>
              <w:marTop w:val="0"/>
              <w:marBottom w:val="0"/>
              <w:divBdr>
                <w:top w:val="none" w:sz="0" w:space="0" w:color="auto"/>
                <w:left w:val="none" w:sz="0" w:space="0" w:color="auto"/>
                <w:bottom w:val="none" w:sz="0" w:space="0" w:color="auto"/>
                <w:right w:val="none" w:sz="0" w:space="0" w:color="auto"/>
              </w:divBdr>
              <w:divsChild>
                <w:div w:id="8099801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5490639">
          <w:marLeft w:val="0"/>
          <w:marRight w:val="0"/>
          <w:marTop w:val="0"/>
          <w:marBottom w:val="0"/>
          <w:divBdr>
            <w:top w:val="none" w:sz="0" w:space="0" w:color="auto"/>
            <w:left w:val="none" w:sz="0" w:space="0" w:color="auto"/>
            <w:bottom w:val="none" w:sz="0" w:space="0" w:color="auto"/>
            <w:right w:val="none" w:sz="0" w:space="0" w:color="auto"/>
          </w:divBdr>
          <w:divsChild>
            <w:div w:id="1198068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6659291">
      <w:bodyDiv w:val="1"/>
      <w:marLeft w:val="0"/>
      <w:marRight w:val="0"/>
      <w:marTop w:val="0"/>
      <w:marBottom w:val="0"/>
      <w:divBdr>
        <w:top w:val="none" w:sz="0" w:space="0" w:color="auto"/>
        <w:left w:val="none" w:sz="0" w:space="0" w:color="auto"/>
        <w:bottom w:val="none" w:sz="0" w:space="0" w:color="auto"/>
        <w:right w:val="none" w:sz="0" w:space="0" w:color="auto"/>
      </w:divBdr>
      <w:divsChild>
        <w:div w:id="1561479665">
          <w:marLeft w:val="0"/>
          <w:marRight w:val="0"/>
          <w:marTop w:val="0"/>
          <w:marBottom w:val="0"/>
          <w:divBdr>
            <w:top w:val="none" w:sz="0" w:space="0" w:color="auto"/>
            <w:left w:val="none" w:sz="0" w:space="0" w:color="auto"/>
            <w:bottom w:val="none" w:sz="0" w:space="0" w:color="auto"/>
            <w:right w:val="none" w:sz="0" w:space="0" w:color="auto"/>
          </w:divBdr>
          <w:divsChild>
            <w:div w:id="195973966">
              <w:marLeft w:val="0"/>
              <w:marRight w:val="0"/>
              <w:marTop w:val="105"/>
              <w:marBottom w:val="0"/>
              <w:divBdr>
                <w:top w:val="none" w:sz="0" w:space="0" w:color="auto"/>
                <w:left w:val="none" w:sz="0" w:space="0" w:color="auto"/>
                <w:bottom w:val="none" w:sz="0" w:space="0" w:color="auto"/>
                <w:right w:val="none" w:sz="0" w:space="0" w:color="auto"/>
              </w:divBdr>
            </w:div>
            <w:div w:id="1723165496">
              <w:marLeft w:val="0"/>
              <w:marRight w:val="0"/>
              <w:marTop w:val="0"/>
              <w:marBottom w:val="0"/>
              <w:divBdr>
                <w:top w:val="none" w:sz="0" w:space="0" w:color="auto"/>
                <w:left w:val="none" w:sz="0" w:space="0" w:color="auto"/>
                <w:bottom w:val="none" w:sz="0" w:space="0" w:color="auto"/>
                <w:right w:val="none" w:sz="0" w:space="0" w:color="auto"/>
              </w:divBdr>
              <w:divsChild>
                <w:div w:id="2083286330">
                  <w:marLeft w:val="255"/>
                  <w:marRight w:val="0"/>
                  <w:marTop w:val="0"/>
                  <w:marBottom w:val="0"/>
                  <w:divBdr>
                    <w:top w:val="none" w:sz="0" w:space="0" w:color="auto"/>
                    <w:left w:val="none" w:sz="0" w:space="0" w:color="auto"/>
                    <w:bottom w:val="none" w:sz="0" w:space="0" w:color="auto"/>
                    <w:right w:val="none" w:sz="0" w:space="0" w:color="auto"/>
                  </w:divBdr>
                </w:div>
              </w:divsChild>
            </w:div>
            <w:div w:id="1817718032">
              <w:marLeft w:val="0"/>
              <w:marRight w:val="0"/>
              <w:marTop w:val="0"/>
              <w:marBottom w:val="0"/>
              <w:divBdr>
                <w:top w:val="none" w:sz="0" w:space="0" w:color="auto"/>
                <w:left w:val="none" w:sz="0" w:space="0" w:color="auto"/>
                <w:bottom w:val="none" w:sz="0" w:space="0" w:color="auto"/>
                <w:right w:val="none" w:sz="0" w:space="0" w:color="auto"/>
              </w:divBdr>
              <w:divsChild>
                <w:div w:id="1622691998">
                  <w:marLeft w:val="255"/>
                  <w:marRight w:val="0"/>
                  <w:marTop w:val="0"/>
                  <w:marBottom w:val="0"/>
                  <w:divBdr>
                    <w:top w:val="none" w:sz="0" w:space="0" w:color="auto"/>
                    <w:left w:val="none" w:sz="0" w:space="0" w:color="auto"/>
                    <w:bottom w:val="none" w:sz="0" w:space="0" w:color="auto"/>
                    <w:right w:val="none" w:sz="0" w:space="0" w:color="auto"/>
                  </w:divBdr>
                </w:div>
              </w:divsChild>
            </w:div>
            <w:div w:id="1419643171">
              <w:marLeft w:val="0"/>
              <w:marRight w:val="0"/>
              <w:marTop w:val="0"/>
              <w:marBottom w:val="0"/>
              <w:divBdr>
                <w:top w:val="none" w:sz="0" w:space="0" w:color="auto"/>
                <w:left w:val="none" w:sz="0" w:space="0" w:color="auto"/>
                <w:bottom w:val="none" w:sz="0" w:space="0" w:color="auto"/>
                <w:right w:val="none" w:sz="0" w:space="0" w:color="auto"/>
              </w:divBdr>
              <w:divsChild>
                <w:div w:id="1528324855">
                  <w:marLeft w:val="255"/>
                  <w:marRight w:val="0"/>
                  <w:marTop w:val="0"/>
                  <w:marBottom w:val="0"/>
                  <w:divBdr>
                    <w:top w:val="none" w:sz="0" w:space="0" w:color="auto"/>
                    <w:left w:val="none" w:sz="0" w:space="0" w:color="auto"/>
                    <w:bottom w:val="none" w:sz="0" w:space="0" w:color="auto"/>
                    <w:right w:val="none" w:sz="0" w:space="0" w:color="auto"/>
                  </w:divBdr>
                </w:div>
              </w:divsChild>
            </w:div>
            <w:div w:id="734087063">
              <w:marLeft w:val="0"/>
              <w:marRight w:val="0"/>
              <w:marTop w:val="0"/>
              <w:marBottom w:val="0"/>
              <w:divBdr>
                <w:top w:val="none" w:sz="0" w:space="0" w:color="auto"/>
                <w:left w:val="none" w:sz="0" w:space="0" w:color="auto"/>
                <w:bottom w:val="none" w:sz="0" w:space="0" w:color="auto"/>
                <w:right w:val="none" w:sz="0" w:space="0" w:color="auto"/>
              </w:divBdr>
              <w:divsChild>
                <w:div w:id="155725728">
                  <w:marLeft w:val="255"/>
                  <w:marRight w:val="0"/>
                  <w:marTop w:val="0"/>
                  <w:marBottom w:val="0"/>
                  <w:divBdr>
                    <w:top w:val="none" w:sz="0" w:space="0" w:color="auto"/>
                    <w:left w:val="none" w:sz="0" w:space="0" w:color="auto"/>
                    <w:bottom w:val="none" w:sz="0" w:space="0" w:color="auto"/>
                    <w:right w:val="none" w:sz="0" w:space="0" w:color="auto"/>
                  </w:divBdr>
                </w:div>
              </w:divsChild>
            </w:div>
            <w:div w:id="2108037618">
              <w:marLeft w:val="0"/>
              <w:marRight w:val="0"/>
              <w:marTop w:val="0"/>
              <w:marBottom w:val="0"/>
              <w:divBdr>
                <w:top w:val="none" w:sz="0" w:space="0" w:color="auto"/>
                <w:left w:val="none" w:sz="0" w:space="0" w:color="auto"/>
                <w:bottom w:val="none" w:sz="0" w:space="0" w:color="auto"/>
                <w:right w:val="none" w:sz="0" w:space="0" w:color="auto"/>
              </w:divBdr>
              <w:divsChild>
                <w:div w:id="20041585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66507416">
          <w:marLeft w:val="0"/>
          <w:marRight w:val="0"/>
          <w:marTop w:val="0"/>
          <w:marBottom w:val="0"/>
          <w:divBdr>
            <w:top w:val="none" w:sz="0" w:space="0" w:color="auto"/>
            <w:left w:val="none" w:sz="0" w:space="0" w:color="auto"/>
            <w:bottom w:val="none" w:sz="0" w:space="0" w:color="auto"/>
            <w:right w:val="none" w:sz="0" w:space="0" w:color="auto"/>
          </w:divBdr>
          <w:divsChild>
            <w:div w:id="9440752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0054119">
      <w:bodyDiv w:val="1"/>
      <w:marLeft w:val="0"/>
      <w:marRight w:val="0"/>
      <w:marTop w:val="0"/>
      <w:marBottom w:val="0"/>
      <w:divBdr>
        <w:top w:val="none" w:sz="0" w:space="0" w:color="auto"/>
        <w:left w:val="none" w:sz="0" w:space="0" w:color="auto"/>
        <w:bottom w:val="none" w:sz="0" w:space="0" w:color="auto"/>
        <w:right w:val="none" w:sz="0" w:space="0" w:color="auto"/>
      </w:divBdr>
      <w:divsChild>
        <w:div w:id="1132867485">
          <w:marLeft w:val="0"/>
          <w:marRight w:val="0"/>
          <w:marTop w:val="0"/>
          <w:marBottom w:val="0"/>
          <w:divBdr>
            <w:top w:val="none" w:sz="0" w:space="0" w:color="auto"/>
            <w:left w:val="none" w:sz="0" w:space="0" w:color="auto"/>
            <w:bottom w:val="none" w:sz="0" w:space="0" w:color="auto"/>
            <w:right w:val="none" w:sz="0" w:space="0" w:color="auto"/>
          </w:divBdr>
          <w:divsChild>
            <w:div w:id="1356230348">
              <w:marLeft w:val="0"/>
              <w:marRight w:val="0"/>
              <w:marTop w:val="105"/>
              <w:marBottom w:val="0"/>
              <w:divBdr>
                <w:top w:val="none" w:sz="0" w:space="0" w:color="auto"/>
                <w:left w:val="none" w:sz="0" w:space="0" w:color="auto"/>
                <w:bottom w:val="none" w:sz="0" w:space="0" w:color="auto"/>
                <w:right w:val="none" w:sz="0" w:space="0" w:color="auto"/>
              </w:divBdr>
            </w:div>
          </w:divsChild>
        </w:div>
        <w:div w:id="202179781">
          <w:marLeft w:val="0"/>
          <w:marRight w:val="0"/>
          <w:marTop w:val="0"/>
          <w:marBottom w:val="0"/>
          <w:divBdr>
            <w:top w:val="none" w:sz="0" w:space="0" w:color="auto"/>
            <w:left w:val="none" w:sz="0" w:space="0" w:color="auto"/>
            <w:bottom w:val="none" w:sz="0" w:space="0" w:color="auto"/>
            <w:right w:val="none" w:sz="0" w:space="0" w:color="auto"/>
          </w:divBdr>
          <w:divsChild>
            <w:div w:id="506210173">
              <w:marLeft w:val="0"/>
              <w:marRight w:val="0"/>
              <w:marTop w:val="105"/>
              <w:marBottom w:val="0"/>
              <w:divBdr>
                <w:top w:val="none" w:sz="0" w:space="0" w:color="auto"/>
                <w:left w:val="none" w:sz="0" w:space="0" w:color="auto"/>
                <w:bottom w:val="none" w:sz="0" w:space="0" w:color="auto"/>
                <w:right w:val="none" w:sz="0" w:space="0" w:color="auto"/>
              </w:divBdr>
            </w:div>
          </w:divsChild>
        </w:div>
        <w:div w:id="1074087777">
          <w:marLeft w:val="0"/>
          <w:marRight w:val="0"/>
          <w:marTop w:val="0"/>
          <w:marBottom w:val="0"/>
          <w:divBdr>
            <w:top w:val="none" w:sz="0" w:space="0" w:color="auto"/>
            <w:left w:val="none" w:sz="0" w:space="0" w:color="auto"/>
            <w:bottom w:val="none" w:sz="0" w:space="0" w:color="auto"/>
            <w:right w:val="none" w:sz="0" w:space="0" w:color="auto"/>
          </w:divBdr>
          <w:divsChild>
            <w:div w:id="88505017">
              <w:marLeft w:val="0"/>
              <w:marRight w:val="0"/>
              <w:marTop w:val="105"/>
              <w:marBottom w:val="0"/>
              <w:divBdr>
                <w:top w:val="none" w:sz="0" w:space="0" w:color="auto"/>
                <w:left w:val="none" w:sz="0" w:space="0" w:color="auto"/>
                <w:bottom w:val="none" w:sz="0" w:space="0" w:color="auto"/>
                <w:right w:val="none" w:sz="0" w:space="0" w:color="auto"/>
              </w:divBdr>
            </w:div>
          </w:divsChild>
        </w:div>
        <w:div w:id="646592424">
          <w:marLeft w:val="0"/>
          <w:marRight w:val="0"/>
          <w:marTop w:val="0"/>
          <w:marBottom w:val="0"/>
          <w:divBdr>
            <w:top w:val="none" w:sz="0" w:space="0" w:color="auto"/>
            <w:left w:val="none" w:sz="0" w:space="0" w:color="auto"/>
            <w:bottom w:val="none" w:sz="0" w:space="0" w:color="auto"/>
            <w:right w:val="none" w:sz="0" w:space="0" w:color="auto"/>
          </w:divBdr>
          <w:divsChild>
            <w:div w:id="71053680">
              <w:marLeft w:val="0"/>
              <w:marRight w:val="0"/>
              <w:marTop w:val="105"/>
              <w:marBottom w:val="0"/>
              <w:divBdr>
                <w:top w:val="none" w:sz="0" w:space="0" w:color="auto"/>
                <w:left w:val="none" w:sz="0" w:space="0" w:color="auto"/>
                <w:bottom w:val="none" w:sz="0" w:space="0" w:color="auto"/>
                <w:right w:val="none" w:sz="0" w:space="0" w:color="auto"/>
              </w:divBdr>
            </w:div>
            <w:div w:id="1740518296">
              <w:marLeft w:val="0"/>
              <w:marRight w:val="0"/>
              <w:marTop w:val="0"/>
              <w:marBottom w:val="0"/>
              <w:divBdr>
                <w:top w:val="none" w:sz="0" w:space="0" w:color="auto"/>
                <w:left w:val="none" w:sz="0" w:space="0" w:color="auto"/>
                <w:bottom w:val="none" w:sz="0" w:space="0" w:color="auto"/>
                <w:right w:val="none" w:sz="0" w:space="0" w:color="auto"/>
              </w:divBdr>
              <w:divsChild>
                <w:div w:id="692003551">
                  <w:marLeft w:val="255"/>
                  <w:marRight w:val="0"/>
                  <w:marTop w:val="0"/>
                  <w:marBottom w:val="0"/>
                  <w:divBdr>
                    <w:top w:val="none" w:sz="0" w:space="0" w:color="auto"/>
                    <w:left w:val="none" w:sz="0" w:space="0" w:color="auto"/>
                    <w:bottom w:val="none" w:sz="0" w:space="0" w:color="auto"/>
                    <w:right w:val="none" w:sz="0" w:space="0" w:color="auto"/>
                  </w:divBdr>
                </w:div>
              </w:divsChild>
            </w:div>
            <w:div w:id="1320423341">
              <w:marLeft w:val="0"/>
              <w:marRight w:val="0"/>
              <w:marTop w:val="0"/>
              <w:marBottom w:val="0"/>
              <w:divBdr>
                <w:top w:val="none" w:sz="0" w:space="0" w:color="auto"/>
                <w:left w:val="none" w:sz="0" w:space="0" w:color="auto"/>
                <w:bottom w:val="none" w:sz="0" w:space="0" w:color="auto"/>
                <w:right w:val="none" w:sz="0" w:space="0" w:color="auto"/>
              </w:divBdr>
              <w:divsChild>
                <w:div w:id="1809937528">
                  <w:marLeft w:val="255"/>
                  <w:marRight w:val="0"/>
                  <w:marTop w:val="0"/>
                  <w:marBottom w:val="0"/>
                  <w:divBdr>
                    <w:top w:val="none" w:sz="0" w:space="0" w:color="auto"/>
                    <w:left w:val="none" w:sz="0" w:space="0" w:color="auto"/>
                    <w:bottom w:val="none" w:sz="0" w:space="0" w:color="auto"/>
                    <w:right w:val="none" w:sz="0" w:space="0" w:color="auto"/>
                  </w:divBdr>
                </w:div>
              </w:divsChild>
            </w:div>
            <w:div w:id="946618644">
              <w:marLeft w:val="0"/>
              <w:marRight w:val="0"/>
              <w:marTop w:val="0"/>
              <w:marBottom w:val="0"/>
              <w:divBdr>
                <w:top w:val="none" w:sz="0" w:space="0" w:color="auto"/>
                <w:left w:val="none" w:sz="0" w:space="0" w:color="auto"/>
                <w:bottom w:val="none" w:sz="0" w:space="0" w:color="auto"/>
                <w:right w:val="none" w:sz="0" w:space="0" w:color="auto"/>
              </w:divBdr>
              <w:divsChild>
                <w:div w:id="17091834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sChild>
        <w:div w:id="1033656553">
          <w:marLeft w:val="0"/>
          <w:marRight w:val="0"/>
          <w:marTop w:val="0"/>
          <w:marBottom w:val="0"/>
          <w:divBdr>
            <w:top w:val="none" w:sz="0" w:space="0" w:color="auto"/>
            <w:left w:val="none" w:sz="0" w:space="0" w:color="auto"/>
            <w:bottom w:val="none" w:sz="0" w:space="0" w:color="auto"/>
            <w:right w:val="none" w:sz="0" w:space="0" w:color="auto"/>
          </w:divBdr>
          <w:divsChild>
            <w:div w:id="1095050016">
              <w:marLeft w:val="0"/>
              <w:marRight w:val="0"/>
              <w:marTop w:val="105"/>
              <w:marBottom w:val="0"/>
              <w:divBdr>
                <w:top w:val="none" w:sz="0" w:space="0" w:color="auto"/>
                <w:left w:val="none" w:sz="0" w:space="0" w:color="auto"/>
                <w:bottom w:val="none" w:sz="0" w:space="0" w:color="auto"/>
                <w:right w:val="none" w:sz="0" w:space="0" w:color="auto"/>
              </w:divBdr>
            </w:div>
            <w:div w:id="1215308473">
              <w:marLeft w:val="0"/>
              <w:marRight w:val="0"/>
              <w:marTop w:val="0"/>
              <w:marBottom w:val="0"/>
              <w:divBdr>
                <w:top w:val="none" w:sz="0" w:space="0" w:color="auto"/>
                <w:left w:val="none" w:sz="0" w:space="0" w:color="auto"/>
                <w:bottom w:val="none" w:sz="0" w:space="0" w:color="auto"/>
                <w:right w:val="none" w:sz="0" w:space="0" w:color="auto"/>
              </w:divBdr>
              <w:divsChild>
                <w:div w:id="164396119">
                  <w:marLeft w:val="255"/>
                  <w:marRight w:val="0"/>
                  <w:marTop w:val="0"/>
                  <w:marBottom w:val="0"/>
                  <w:divBdr>
                    <w:top w:val="none" w:sz="0" w:space="0" w:color="auto"/>
                    <w:left w:val="none" w:sz="0" w:space="0" w:color="auto"/>
                    <w:bottom w:val="none" w:sz="0" w:space="0" w:color="auto"/>
                    <w:right w:val="none" w:sz="0" w:space="0" w:color="auto"/>
                  </w:divBdr>
                </w:div>
              </w:divsChild>
            </w:div>
            <w:div w:id="1988632102">
              <w:marLeft w:val="0"/>
              <w:marRight w:val="0"/>
              <w:marTop w:val="0"/>
              <w:marBottom w:val="0"/>
              <w:divBdr>
                <w:top w:val="none" w:sz="0" w:space="0" w:color="auto"/>
                <w:left w:val="none" w:sz="0" w:space="0" w:color="auto"/>
                <w:bottom w:val="none" w:sz="0" w:space="0" w:color="auto"/>
                <w:right w:val="none" w:sz="0" w:space="0" w:color="auto"/>
              </w:divBdr>
              <w:divsChild>
                <w:div w:id="354500792">
                  <w:marLeft w:val="255"/>
                  <w:marRight w:val="0"/>
                  <w:marTop w:val="0"/>
                  <w:marBottom w:val="0"/>
                  <w:divBdr>
                    <w:top w:val="none" w:sz="0" w:space="0" w:color="auto"/>
                    <w:left w:val="none" w:sz="0" w:space="0" w:color="auto"/>
                    <w:bottom w:val="none" w:sz="0" w:space="0" w:color="auto"/>
                    <w:right w:val="none" w:sz="0" w:space="0" w:color="auto"/>
                  </w:divBdr>
                </w:div>
              </w:divsChild>
            </w:div>
            <w:div w:id="1432624710">
              <w:marLeft w:val="0"/>
              <w:marRight w:val="0"/>
              <w:marTop w:val="0"/>
              <w:marBottom w:val="0"/>
              <w:divBdr>
                <w:top w:val="none" w:sz="0" w:space="0" w:color="auto"/>
                <w:left w:val="none" w:sz="0" w:space="0" w:color="auto"/>
                <w:bottom w:val="none" w:sz="0" w:space="0" w:color="auto"/>
                <w:right w:val="none" w:sz="0" w:space="0" w:color="auto"/>
              </w:divBdr>
              <w:divsChild>
                <w:div w:id="381297418">
                  <w:marLeft w:val="255"/>
                  <w:marRight w:val="0"/>
                  <w:marTop w:val="0"/>
                  <w:marBottom w:val="0"/>
                  <w:divBdr>
                    <w:top w:val="none" w:sz="0" w:space="0" w:color="auto"/>
                    <w:left w:val="none" w:sz="0" w:space="0" w:color="auto"/>
                    <w:bottom w:val="none" w:sz="0" w:space="0" w:color="auto"/>
                    <w:right w:val="none" w:sz="0" w:space="0" w:color="auto"/>
                  </w:divBdr>
                </w:div>
              </w:divsChild>
            </w:div>
            <w:div w:id="987520106">
              <w:marLeft w:val="0"/>
              <w:marRight w:val="0"/>
              <w:marTop w:val="0"/>
              <w:marBottom w:val="0"/>
              <w:divBdr>
                <w:top w:val="none" w:sz="0" w:space="0" w:color="auto"/>
                <w:left w:val="none" w:sz="0" w:space="0" w:color="auto"/>
                <w:bottom w:val="none" w:sz="0" w:space="0" w:color="auto"/>
                <w:right w:val="none" w:sz="0" w:space="0" w:color="auto"/>
              </w:divBdr>
              <w:divsChild>
                <w:div w:id="95753889">
                  <w:marLeft w:val="255"/>
                  <w:marRight w:val="0"/>
                  <w:marTop w:val="0"/>
                  <w:marBottom w:val="0"/>
                  <w:divBdr>
                    <w:top w:val="none" w:sz="0" w:space="0" w:color="auto"/>
                    <w:left w:val="none" w:sz="0" w:space="0" w:color="auto"/>
                    <w:bottom w:val="none" w:sz="0" w:space="0" w:color="auto"/>
                    <w:right w:val="none" w:sz="0" w:space="0" w:color="auto"/>
                  </w:divBdr>
                </w:div>
              </w:divsChild>
            </w:div>
            <w:div w:id="2031028206">
              <w:marLeft w:val="0"/>
              <w:marRight w:val="0"/>
              <w:marTop w:val="0"/>
              <w:marBottom w:val="0"/>
              <w:divBdr>
                <w:top w:val="none" w:sz="0" w:space="0" w:color="auto"/>
                <w:left w:val="none" w:sz="0" w:space="0" w:color="auto"/>
                <w:bottom w:val="none" w:sz="0" w:space="0" w:color="auto"/>
                <w:right w:val="none" w:sz="0" w:space="0" w:color="auto"/>
              </w:divBdr>
              <w:divsChild>
                <w:div w:id="20811688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62751760">
          <w:marLeft w:val="0"/>
          <w:marRight w:val="0"/>
          <w:marTop w:val="0"/>
          <w:marBottom w:val="0"/>
          <w:divBdr>
            <w:top w:val="none" w:sz="0" w:space="0" w:color="auto"/>
            <w:left w:val="none" w:sz="0" w:space="0" w:color="auto"/>
            <w:bottom w:val="none" w:sz="0" w:space="0" w:color="auto"/>
            <w:right w:val="none" w:sz="0" w:space="0" w:color="auto"/>
          </w:divBdr>
          <w:divsChild>
            <w:div w:id="2016227885">
              <w:marLeft w:val="0"/>
              <w:marRight w:val="0"/>
              <w:marTop w:val="105"/>
              <w:marBottom w:val="0"/>
              <w:divBdr>
                <w:top w:val="none" w:sz="0" w:space="0" w:color="auto"/>
                <w:left w:val="none" w:sz="0" w:space="0" w:color="auto"/>
                <w:bottom w:val="none" w:sz="0" w:space="0" w:color="auto"/>
                <w:right w:val="none" w:sz="0" w:space="0" w:color="auto"/>
              </w:divBdr>
            </w:div>
          </w:divsChild>
        </w:div>
        <w:div w:id="1137188495">
          <w:marLeft w:val="0"/>
          <w:marRight w:val="0"/>
          <w:marTop w:val="0"/>
          <w:marBottom w:val="0"/>
          <w:divBdr>
            <w:top w:val="none" w:sz="0" w:space="0" w:color="auto"/>
            <w:left w:val="none" w:sz="0" w:space="0" w:color="auto"/>
            <w:bottom w:val="none" w:sz="0" w:space="0" w:color="auto"/>
            <w:right w:val="none" w:sz="0" w:space="0" w:color="auto"/>
          </w:divBdr>
          <w:divsChild>
            <w:div w:id="9721759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519151769">
          <w:marLeft w:val="0"/>
          <w:marRight w:val="0"/>
          <w:marTop w:val="0"/>
          <w:marBottom w:val="0"/>
          <w:divBdr>
            <w:top w:val="none" w:sz="0" w:space="0" w:color="auto"/>
            <w:left w:val="none" w:sz="0" w:space="0" w:color="auto"/>
            <w:bottom w:val="none" w:sz="0" w:space="0" w:color="auto"/>
            <w:right w:val="none" w:sz="0" w:space="0" w:color="auto"/>
          </w:divBdr>
          <w:divsChild>
            <w:div w:id="2085686726">
              <w:marLeft w:val="0"/>
              <w:marRight w:val="0"/>
              <w:marTop w:val="105"/>
              <w:marBottom w:val="0"/>
              <w:divBdr>
                <w:top w:val="none" w:sz="0" w:space="0" w:color="auto"/>
                <w:left w:val="none" w:sz="0" w:space="0" w:color="auto"/>
                <w:bottom w:val="none" w:sz="0" w:space="0" w:color="auto"/>
                <w:right w:val="none" w:sz="0" w:space="0" w:color="auto"/>
              </w:divBdr>
            </w:div>
            <w:div w:id="1767000705">
              <w:marLeft w:val="0"/>
              <w:marRight w:val="0"/>
              <w:marTop w:val="0"/>
              <w:marBottom w:val="0"/>
              <w:divBdr>
                <w:top w:val="none" w:sz="0" w:space="0" w:color="auto"/>
                <w:left w:val="none" w:sz="0" w:space="0" w:color="auto"/>
                <w:bottom w:val="none" w:sz="0" w:space="0" w:color="auto"/>
                <w:right w:val="none" w:sz="0" w:space="0" w:color="auto"/>
              </w:divBdr>
              <w:divsChild>
                <w:div w:id="43143159">
                  <w:marLeft w:val="255"/>
                  <w:marRight w:val="0"/>
                  <w:marTop w:val="0"/>
                  <w:marBottom w:val="0"/>
                  <w:divBdr>
                    <w:top w:val="none" w:sz="0" w:space="0" w:color="auto"/>
                    <w:left w:val="none" w:sz="0" w:space="0" w:color="auto"/>
                    <w:bottom w:val="none" w:sz="0" w:space="0" w:color="auto"/>
                    <w:right w:val="none" w:sz="0" w:space="0" w:color="auto"/>
                  </w:divBdr>
                </w:div>
              </w:divsChild>
            </w:div>
            <w:div w:id="1283852368">
              <w:marLeft w:val="0"/>
              <w:marRight w:val="0"/>
              <w:marTop w:val="0"/>
              <w:marBottom w:val="0"/>
              <w:divBdr>
                <w:top w:val="none" w:sz="0" w:space="0" w:color="auto"/>
                <w:left w:val="none" w:sz="0" w:space="0" w:color="auto"/>
                <w:bottom w:val="none" w:sz="0" w:space="0" w:color="auto"/>
                <w:right w:val="none" w:sz="0" w:space="0" w:color="auto"/>
              </w:divBdr>
              <w:divsChild>
                <w:div w:id="1500123599">
                  <w:marLeft w:val="255"/>
                  <w:marRight w:val="0"/>
                  <w:marTop w:val="0"/>
                  <w:marBottom w:val="0"/>
                  <w:divBdr>
                    <w:top w:val="none" w:sz="0" w:space="0" w:color="auto"/>
                    <w:left w:val="none" w:sz="0" w:space="0" w:color="auto"/>
                    <w:bottom w:val="none" w:sz="0" w:space="0" w:color="auto"/>
                    <w:right w:val="none" w:sz="0" w:space="0" w:color="auto"/>
                  </w:divBdr>
                </w:div>
              </w:divsChild>
            </w:div>
            <w:div w:id="807358558">
              <w:marLeft w:val="0"/>
              <w:marRight w:val="0"/>
              <w:marTop w:val="0"/>
              <w:marBottom w:val="0"/>
              <w:divBdr>
                <w:top w:val="none" w:sz="0" w:space="0" w:color="auto"/>
                <w:left w:val="none" w:sz="0" w:space="0" w:color="auto"/>
                <w:bottom w:val="none" w:sz="0" w:space="0" w:color="auto"/>
                <w:right w:val="none" w:sz="0" w:space="0" w:color="auto"/>
              </w:divBdr>
              <w:divsChild>
                <w:div w:id="2018922466">
                  <w:marLeft w:val="255"/>
                  <w:marRight w:val="0"/>
                  <w:marTop w:val="0"/>
                  <w:marBottom w:val="0"/>
                  <w:divBdr>
                    <w:top w:val="none" w:sz="0" w:space="0" w:color="auto"/>
                    <w:left w:val="none" w:sz="0" w:space="0" w:color="auto"/>
                    <w:bottom w:val="none" w:sz="0" w:space="0" w:color="auto"/>
                    <w:right w:val="none" w:sz="0" w:space="0" w:color="auto"/>
                  </w:divBdr>
                </w:div>
              </w:divsChild>
            </w:div>
            <w:div w:id="1449352861">
              <w:marLeft w:val="0"/>
              <w:marRight w:val="0"/>
              <w:marTop w:val="0"/>
              <w:marBottom w:val="0"/>
              <w:divBdr>
                <w:top w:val="none" w:sz="0" w:space="0" w:color="auto"/>
                <w:left w:val="none" w:sz="0" w:space="0" w:color="auto"/>
                <w:bottom w:val="none" w:sz="0" w:space="0" w:color="auto"/>
                <w:right w:val="none" w:sz="0" w:space="0" w:color="auto"/>
              </w:divBdr>
              <w:divsChild>
                <w:div w:id="9711796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52790424">
          <w:marLeft w:val="0"/>
          <w:marRight w:val="0"/>
          <w:marTop w:val="0"/>
          <w:marBottom w:val="0"/>
          <w:divBdr>
            <w:top w:val="none" w:sz="0" w:space="0" w:color="auto"/>
            <w:left w:val="none" w:sz="0" w:space="0" w:color="auto"/>
            <w:bottom w:val="none" w:sz="0" w:space="0" w:color="auto"/>
            <w:right w:val="none" w:sz="0" w:space="0" w:color="auto"/>
          </w:divBdr>
          <w:divsChild>
            <w:div w:id="499084111">
              <w:marLeft w:val="0"/>
              <w:marRight w:val="0"/>
              <w:marTop w:val="105"/>
              <w:marBottom w:val="0"/>
              <w:divBdr>
                <w:top w:val="none" w:sz="0" w:space="0" w:color="auto"/>
                <w:left w:val="none" w:sz="0" w:space="0" w:color="auto"/>
                <w:bottom w:val="none" w:sz="0" w:space="0" w:color="auto"/>
                <w:right w:val="none" w:sz="0" w:space="0" w:color="auto"/>
              </w:divBdr>
            </w:div>
          </w:divsChild>
        </w:div>
        <w:div w:id="622854580">
          <w:marLeft w:val="0"/>
          <w:marRight w:val="0"/>
          <w:marTop w:val="0"/>
          <w:marBottom w:val="0"/>
          <w:divBdr>
            <w:top w:val="none" w:sz="0" w:space="0" w:color="auto"/>
            <w:left w:val="none" w:sz="0" w:space="0" w:color="auto"/>
            <w:bottom w:val="none" w:sz="0" w:space="0" w:color="auto"/>
            <w:right w:val="none" w:sz="0" w:space="0" w:color="auto"/>
          </w:divBdr>
          <w:divsChild>
            <w:div w:id="6637508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9578211">
      <w:bodyDiv w:val="1"/>
      <w:marLeft w:val="0"/>
      <w:marRight w:val="0"/>
      <w:marTop w:val="0"/>
      <w:marBottom w:val="0"/>
      <w:divBdr>
        <w:top w:val="none" w:sz="0" w:space="0" w:color="auto"/>
        <w:left w:val="none" w:sz="0" w:space="0" w:color="auto"/>
        <w:bottom w:val="none" w:sz="0" w:space="0" w:color="auto"/>
        <w:right w:val="none" w:sz="0" w:space="0" w:color="auto"/>
      </w:divBdr>
      <w:divsChild>
        <w:div w:id="1397162899">
          <w:marLeft w:val="0"/>
          <w:marRight w:val="0"/>
          <w:marTop w:val="0"/>
          <w:marBottom w:val="0"/>
          <w:divBdr>
            <w:top w:val="none" w:sz="0" w:space="0" w:color="auto"/>
            <w:left w:val="none" w:sz="0" w:space="0" w:color="auto"/>
            <w:bottom w:val="none" w:sz="0" w:space="0" w:color="auto"/>
            <w:right w:val="none" w:sz="0" w:space="0" w:color="auto"/>
          </w:divBdr>
          <w:divsChild>
            <w:div w:id="1881358750">
              <w:marLeft w:val="0"/>
              <w:marRight w:val="0"/>
              <w:marTop w:val="105"/>
              <w:marBottom w:val="0"/>
              <w:divBdr>
                <w:top w:val="none" w:sz="0" w:space="0" w:color="auto"/>
                <w:left w:val="none" w:sz="0" w:space="0" w:color="auto"/>
                <w:bottom w:val="none" w:sz="0" w:space="0" w:color="auto"/>
                <w:right w:val="none" w:sz="0" w:space="0" w:color="auto"/>
              </w:divBdr>
            </w:div>
          </w:divsChild>
        </w:div>
        <w:div w:id="820923113">
          <w:marLeft w:val="0"/>
          <w:marRight w:val="0"/>
          <w:marTop w:val="0"/>
          <w:marBottom w:val="0"/>
          <w:divBdr>
            <w:top w:val="none" w:sz="0" w:space="0" w:color="auto"/>
            <w:left w:val="none" w:sz="0" w:space="0" w:color="auto"/>
            <w:bottom w:val="none" w:sz="0" w:space="0" w:color="auto"/>
            <w:right w:val="none" w:sz="0" w:space="0" w:color="auto"/>
          </w:divBdr>
          <w:divsChild>
            <w:div w:id="388265773">
              <w:marLeft w:val="0"/>
              <w:marRight w:val="0"/>
              <w:marTop w:val="105"/>
              <w:marBottom w:val="0"/>
              <w:divBdr>
                <w:top w:val="none" w:sz="0" w:space="0" w:color="auto"/>
                <w:left w:val="none" w:sz="0" w:space="0" w:color="auto"/>
                <w:bottom w:val="none" w:sz="0" w:space="0" w:color="auto"/>
                <w:right w:val="none" w:sz="0" w:space="0" w:color="auto"/>
              </w:divBdr>
            </w:div>
          </w:divsChild>
        </w:div>
        <w:div w:id="639313514">
          <w:marLeft w:val="0"/>
          <w:marRight w:val="0"/>
          <w:marTop w:val="0"/>
          <w:marBottom w:val="0"/>
          <w:divBdr>
            <w:top w:val="none" w:sz="0" w:space="0" w:color="auto"/>
            <w:left w:val="none" w:sz="0" w:space="0" w:color="auto"/>
            <w:bottom w:val="none" w:sz="0" w:space="0" w:color="auto"/>
            <w:right w:val="none" w:sz="0" w:space="0" w:color="auto"/>
          </w:divBdr>
          <w:divsChild>
            <w:div w:id="1727217462">
              <w:marLeft w:val="0"/>
              <w:marRight w:val="0"/>
              <w:marTop w:val="105"/>
              <w:marBottom w:val="0"/>
              <w:divBdr>
                <w:top w:val="none" w:sz="0" w:space="0" w:color="auto"/>
                <w:left w:val="none" w:sz="0" w:space="0" w:color="auto"/>
                <w:bottom w:val="none" w:sz="0" w:space="0" w:color="auto"/>
                <w:right w:val="none" w:sz="0" w:space="0" w:color="auto"/>
              </w:divBdr>
            </w:div>
          </w:divsChild>
        </w:div>
        <w:div w:id="1367637330">
          <w:marLeft w:val="0"/>
          <w:marRight w:val="0"/>
          <w:marTop w:val="0"/>
          <w:marBottom w:val="0"/>
          <w:divBdr>
            <w:top w:val="none" w:sz="0" w:space="0" w:color="auto"/>
            <w:left w:val="none" w:sz="0" w:space="0" w:color="auto"/>
            <w:bottom w:val="none" w:sz="0" w:space="0" w:color="auto"/>
            <w:right w:val="none" w:sz="0" w:space="0" w:color="auto"/>
          </w:divBdr>
          <w:divsChild>
            <w:div w:id="14414136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5211033">
      <w:bodyDiv w:val="1"/>
      <w:marLeft w:val="0"/>
      <w:marRight w:val="0"/>
      <w:marTop w:val="0"/>
      <w:marBottom w:val="0"/>
      <w:divBdr>
        <w:top w:val="none" w:sz="0" w:space="0" w:color="auto"/>
        <w:left w:val="none" w:sz="0" w:space="0" w:color="auto"/>
        <w:bottom w:val="none" w:sz="0" w:space="0" w:color="auto"/>
        <w:right w:val="none" w:sz="0" w:space="0" w:color="auto"/>
      </w:divBdr>
      <w:divsChild>
        <w:div w:id="1682976021">
          <w:marLeft w:val="0"/>
          <w:marRight w:val="0"/>
          <w:marTop w:val="0"/>
          <w:marBottom w:val="0"/>
          <w:divBdr>
            <w:top w:val="none" w:sz="0" w:space="0" w:color="auto"/>
            <w:left w:val="none" w:sz="0" w:space="0" w:color="auto"/>
            <w:bottom w:val="none" w:sz="0" w:space="0" w:color="auto"/>
            <w:right w:val="none" w:sz="0" w:space="0" w:color="auto"/>
          </w:divBdr>
          <w:divsChild>
            <w:div w:id="1206871082">
              <w:marLeft w:val="0"/>
              <w:marRight w:val="0"/>
              <w:marTop w:val="105"/>
              <w:marBottom w:val="0"/>
              <w:divBdr>
                <w:top w:val="none" w:sz="0" w:space="0" w:color="auto"/>
                <w:left w:val="none" w:sz="0" w:space="0" w:color="auto"/>
                <w:bottom w:val="none" w:sz="0" w:space="0" w:color="auto"/>
                <w:right w:val="none" w:sz="0" w:space="0" w:color="auto"/>
              </w:divBdr>
            </w:div>
            <w:div w:id="1064258827">
              <w:marLeft w:val="0"/>
              <w:marRight w:val="0"/>
              <w:marTop w:val="0"/>
              <w:marBottom w:val="0"/>
              <w:divBdr>
                <w:top w:val="none" w:sz="0" w:space="0" w:color="auto"/>
                <w:left w:val="none" w:sz="0" w:space="0" w:color="auto"/>
                <w:bottom w:val="none" w:sz="0" w:space="0" w:color="auto"/>
                <w:right w:val="none" w:sz="0" w:space="0" w:color="auto"/>
              </w:divBdr>
              <w:divsChild>
                <w:div w:id="1053968421">
                  <w:marLeft w:val="255"/>
                  <w:marRight w:val="0"/>
                  <w:marTop w:val="0"/>
                  <w:marBottom w:val="0"/>
                  <w:divBdr>
                    <w:top w:val="none" w:sz="0" w:space="0" w:color="auto"/>
                    <w:left w:val="none" w:sz="0" w:space="0" w:color="auto"/>
                    <w:bottom w:val="none" w:sz="0" w:space="0" w:color="auto"/>
                    <w:right w:val="none" w:sz="0" w:space="0" w:color="auto"/>
                  </w:divBdr>
                </w:div>
              </w:divsChild>
            </w:div>
            <w:div w:id="1418015491">
              <w:marLeft w:val="0"/>
              <w:marRight w:val="0"/>
              <w:marTop w:val="0"/>
              <w:marBottom w:val="0"/>
              <w:divBdr>
                <w:top w:val="none" w:sz="0" w:space="0" w:color="auto"/>
                <w:left w:val="none" w:sz="0" w:space="0" w:color="auto"/>
                <w:bottom w:val="none" w:sz="0" w:space="0" w:color="auto"/>
                <w:right w:val="none" w:sz="0" w:space="0" w:color="auto"/>
              </w:divBdr>
              <w:divsChild>
                <w:div w:id="774445090">
                  <w:marLeft w:val="255"/>
                  <w:marRight w:val="0"/>
                  <w:marTop w:val="0"/>
                  <w:marBottom w:val="0"/>
                  <w:divBdr>
                    <w:top w:val="none" w:sz="0" w:space="0" w:color="auto"/>
                    <w:left w:val="none" w:sz="0" w:space="0" w:color="auto"/>
                    <w:bottom w:val="none" w:sz="0" w:space="0" w:color="auto"/>
                    <w:right w:val="none" w:sz="0" w:space="0" w:color="auto"/>
                  </w:divBdr>
                </w:div>
              </w:divsChild>
            </w:div>
            <w:div w:id="516116222">
              <w:marLeft w:val="0"/>
              <w:marRight w:val="0"/>
              <w:marTop w:val="0"/>
              <w:marBottom w:val="0"/>
              <w:divBdr>
                <w:top w:val="none" w:sz="0" w:space="0" w:color="auto"/>
                <w:left w:val="none" w:sz="0" w:space="0" w:color="auto"/>
                <w:bottom w:val="none" w:sz="0" w:space="0" w:color="auto"/>
                <w:right w:val="none" w:sz="0" w:space="0" w:color="auto"/>
              </w:divBdr>
              <w:divsChild>
                <w:div w:id="145365468">
                  <w:marLeft w:val="255"/>
                  <w:marRight w:val="0"/>
                  <w:marTop w:val="0"/>
                  <w:marBottom w:val="0"/>
                  <w:divBdr>
                    <w:top w:val="none" w:sz="0" w:space="0" w:color="auto"/>
                    <w:left w:val="none" w:sz="0" w:space="0" w:color="auto"/>
                    <w:bottom w:val="none" w:sz="0" w:space="0" w:color="auto"/>
                    <w:right w:val="none" w:sz="0" w:space="0" w:color="auto"/>
                  </w:divBdr>
                </w:div>
              </w:divsChild>
            </w:div>
            <w:div w:id="1093282251">
              <w:marLeft w:val="0"/>
              <w:marRight w:val="0"/>
              <w:marTop w:val="0"/>
              <w:marBottom w:val="0"/>
              <w:divBdr>
                <w:top w:val="none" w:sz="0" w:space="0" w:color="auto"/>
                <w:left w:val="none" w:sz="0" w:space="0" w:color="auto"/>
                <w:bottom w:val="none" w:sz="0" w:space="0" w:color="auto"/>
                <w:right w:val="none" w:sz="0" w:space="0" w:color="auto"/>
              </w:divBdr>
              <w:divsChild>
                <w:div w:id="212811497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15440571">
          <w:marLeft w:val="0"/>
          <w:marRight w:val="0"/>
          <w:marTop w:val="0"/>
          <w:marBottom w:val="0"/>
          <w:divBdr>
            <w:top w:val="none" w:sz="0" w:space="0" w:color="auto"/>
            <w:left w:val="none" w:sz="0" w:space="0" w:color="auto"/>
            <w:bottom w:val="none" w:sz="0" w:space="0" w:color="auto"/>
            <w:right w:val="none" w:sz="0" w:space="0" w:color="auto"/>
          </w:divBdr>
          <w:divsChild>
            <w:div w:id="155343603">
              <w:marLeft w:val="0"/>
              <w:marRight w:val="0"/>
              <w:marTop w:val="105"/>
              <w:marBottom w:val="0"/>
              <w:divBdr>
                <w:top w:val="none" w:sz="0" w:space="0" w:color="auto"/>
                <w:left w:val="none" w:sz="0" w:space="0" w:color="auto"/>
                <w:bottom w:val="none" w:sz="0" w:space="0" w:color="auto"/>
                <w:right w:val="none" w:sz="0" w:space="0" w:color="auto"/>
              </w:divBdr>
            </w:div>
          </w:divsChild>
        </w:div>
        <w:div w:id="1474718221">
          <w:marLeft w:val="0"/>
          <w:marRight w:val="0"/>
          <w:marTop w:val="0"/>
          <w:marBottom w:val="0"/>
          <w:divBdr>
            <w:top w:val="none" w:sz="0" w:space="0" w:color="auto"/>
            <w:left w:val="none" w:sz="0" w:space="0" w:color="auto"/>
            <w:bottom w:val="none" w:sz="0" w:space="0" w:color="auto"/>
            <w:right w:val="none" w:sz="0" w:space="0" w:color="auto"/>
          </w:divBdr>
          <w:divsChild>
            <w:div w:id="1032921417">
              <w:marLeft w:val="0"/>
              <w:marRight w:val="0"/>
              <w:marTop w:val="105"/>
              <w:marBottom w:val="0"/>
              <w:divBdr>
                <w:top w:val="none" w:sz="0" w:space="0" w:color="auto"/>
                <w:left w:val="none" w:sz="0" w:space="0" w:color="auto"/>
                <w:bottom w:val="none" w:sz="0" w:space="0" w:color="auto"/>
                <w:right w:val="none" w:sz="0" w:space="0" w:color="auto"/>
              </w:divBdr>
            </w:div>
            <w:div w:id="2143426837">
              <w:marLeft w:val="0"/>
              <w:marRight w:val="0"/>
              <w:marTop w:val="0"/>
              <w:marBottom w:val="0"/>
              <w:divBdr>
                <w:top w:val="none" w:sz="0" w:space="0" w:color="auto"/>
                <w:left w:val="none" w:sz="0" w:space="0" w:color="auto"/>
                <w:bottom w:val="none" w:sz="0" w:space="0" w:color="auto"/>
                <w:right w:val="none" w:sz="0" w:space="0" w:color="auto"/>
              </w:divBdr>
              <w:divsChild>
                <w:div w:id="2038237995">
                  <w:marLeft w:val="255"/>
                  <w:marRight w:val="0"/>
                  <w:marTop w:val="0"/>
                  <w:marBottom w:val="0"/>
                  <w:divBdr>
                    <w:top w:val="none" w:sz="0" w:space="0" w:color="auto"/>
                    <w:left w:val="none" w:sz="0" w:space="0" w:color="auto"/>
                    <w:bottom w:val="none" w:sz="0" w:space="0" w:color="auto"/>
                    <w:right w:val="none" w:sz="0" w:space="0" w:color="auto"/>
                  </w:divBdr>
                </w:div>
              </w:divsChild>
            </w:div>
            <w:div w:id="664362261">
              <w:marLeft w:val="0"/>
              <w:marRight w:val="0"/>
              <w:marTop w:val="0"/>
              <w:marBottom w:val="0"/>
              <w:divBdr>
                <w:top w:val="none" w:sz="0" w:space="0" w:color="auto"/>
                <w:left w:val="none" w:sz="0" w:space="0" w:color="auto"/>
                <w:bottom w:val="none" w:sz="0" w:space="0" w:color="auto"/>
                <w:right w:val="none" w:sz="0" w:space="0" w:color="auto"/>
              </w:divBdr>
              <w:divsChild>
                <w:div w:id="1523856238">
                  <w:marLeft w:val="255"/>
                  <w:marRight w:val="0"/>
                  <w:marTop w:val="0"/>
                  <w:marBottom w:val="0"/>
                  <w:divBdr>
                    <w:top w:val="none" w:sz="0" w:space="0" w:color="auto"/>
                    <w:left w:val="none" w:sz="0" w:space="0" w:color="auto"/>
                    <w:bottom w:val="none" w:sz="0" w:space="0" w:color="auto"/>
                    <w:right w:val="none" w:sz="0" w:space="0" w:color="auto"/>
                  </w:divBdr>
                </w:div>
              </w:divsChild>
            </w:div>
            <w:div w:id="1944915244">
              <w:marLeft w:val="0"/>
              <w:marRight w:val="0"/>
              <w:marTop w:val="0"/>
              <w:marBottom w:val="0"/>
              <w:divBdr>
                <w:top w:val="none" w:sz="0" w:space="0" w:color="auto"/>
                <w:left w:val="none" w:sz="0" w:space="0" w:color="auto"/>
                <w:bottom w:val="none" w:sz="0" w:space="0" w:color="auto"/>
                <w:right w:val="none" w:sz="0" w:space="0" w:color="auto"/>
              </w:divBdr>
              <w:divsChild>
                <w:div w:id="1016119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88361595">
          <w:marLeft w:val="0"/>
          <w:marRight w:val="0"/>
          <w:marTop w:val="0"/>
          <w:marBottom w:val="0"/>
          <w:divBdr>
            <w:top w:val="none" w:sz="0" w:space="0" w:color="auto"/>
            <w:left w:val="none" w:sz="0" w:space="0" w:color="auto"/>
            <w:bottom w:val="none" w:sz="0" w:space="0" w:color="auto"/>
            <w:right w:val="none" w:sz="0" w:space="0" w:color="auto"/>
          </w:divBdr>
          <w:divsChild>
            <w:div w:id="682368005">
              <w:marLeft w:val="0"/>
              <w:marRight w:val="0"/>
              <w:marTop w:val="105"/>
              <w:marBottom w:val="0"/>
              <w:divBdr>
                <w:top w:val="none" w:sz="0" w:space="0" w:color="auto"/>
                <w:left w:val="none" w:sz="0" w:space="0" w:color="auto"/>
                <w:bottom w:val="none" w:sz="0" w:space="0" w:color="auto"/>
                <w:right w:val="none" w:sz="0" w:space="0" w:color="auto"/>
              </w:divBdr>
            </w:div>
            <w:div w:id="583490540">
              <w:marLeft w:val="0"/>
              <w:marRight w:val="0"/>
              <w:marTop w:val="0"/>
              <w:marBottom w:val="0"/>
              <w:divBdr>
                <w:top w:val="none" w:sz="0" w:space="0" w:color="auto"/>
                <w:left w:val="none" w:sz="0" w:space="0" w:color="auto"/>
                <w:bottom w:val="none" w:sz="0" w:space="0" w:color="auto"/>
                <w:right w:val="none" w:sz="0" w:space="0" w:color="auto"/>
              </w:divBdr>
              <w:divsChild>
                <w:div w:id="16975730">
                  <w:marLeft w:val="255"/>
                  <w:marRight w:val="0"/>
                  <w:marTop w:val="0"/>
                  <w:marBottom w:val="0"/>
                  <w:divBdr>
                    <w:top w:val="none" w:sz="0" w:space="0" w:color="auto"/>
                    <w:left w:val="none" w:sz="0" w:space="0" w:color="auto"/>
                    <w:bottom w:val="none" w:sz="0" w:space="0" w:color="auto"/>
                    <w:right w:val="none" w:sz="0" w:space="0" w:color="auto"/>
                  </w:divBdr>
                </w:div>
              </w:divsChild>
            </w:div>
            <w:div w:id="2058359421">
              <w:marLeft w:val="0"/>
              <w:marRight w:val="0"/>
              <w:marTop w:val="0"/>
              <w:marBottom w:val="0"/>
              <w:divBdr>
                <w:top w:val="none" w:sz="0" w:space="0" w:color="auto"/>
                <w:left w:val="none" w:sz="0" w:space="0" w:color="auto"/>
                <w:bottom w:val="none" w:sz="0" w:space="0" w:color="auto"/>
                <w:right w:val="none" w:sz="0" w:space="0" w:color="auto"/>
              </w:divBdr>
              <w:divsChild>
                <w:div w:id="466778514">
                  <w:marLeft w:val="255"/>
                  <w:marRight w:val="0"/>
                  <w:marTop w:val="0"/>
                  <w:marBottom w:val="0"/>
                  <w:divBdr>
                    <w:top w:val="none" w:sz="0" w:space="0" w:color="auto"/>
                    <w:left w:val="none" w:sz="0" w:space="0" w:color="auto"/>
                    <w:bottom w:val="none" w:sz="0" w:space="0" w:color="auto"/>
                    <w:right w:val="none" w:sz="0" w:space="0" w:color="auto"/>
                  </w:divBdr>
                </w:div>
              </w:divsChild>
            </w:div>
            <w:div w:id="1446540520">
              <w:marLeft w:val="0"/>
              <w:marRight w:val="0"/>
              <w:marTop w:val="0"/>
              <w:marBottom w:val="0"/>
              <w:divBdr>
                <w:top w:val="none" w:sz="0" w:space="0" w:color="auto"/>
                <w:left w:val="none" w:sz="0" w:space="0" w:color="auto"/>
                <w:bottom w:val="none" w:sz="0" w:space="0" w:color="auto"/>
                <w:right w:val="none" w:sz="0" w:space="0" w:color="auto"/>
              </w:divBdr>
              <w:divsChild>
                <w:div w:id="15962858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6303851">
          <w:marLeft w:val="0"/>
          <w:marRight w:val="0"/>
          <w:marTop w:val="0"/>
          <w:marBottom w:val="0"/>
          <w:divBdr>
            <w:top w:val="none" w:sz="0" w:space="0" w:color="auto"/>
            <w:left w:val="none" w:sz="0" w:space="0" w:color="auto"/>
            <w:bottom w:val="none" w:sz="0" w:space="0" w:color="auto"/>
            <w:right w:val="none" w:sz="0" w:space="0" w:color="auto"/>
          </w:divBdr>
          <w:divsChild>
            <w:div w:id="1322809816">
              <w:marLeft w:val="0"/>
              <w:marRight w:val="0"/>
              <w:marTop w:val="105"/>
              <w:marBottom w:val="0"/>
              <w:divBdr>
                <w:top w:val="none" w:sz="0" w:space="0" w:color="auto"/>
                <w:left w:val="none" w:sz="0" w:space="0" w:color="auto"/>
                <w:bottom w:val="none" w:sz="0" w:space="0" w:color="auto"/>
                <w:right w:val="none" w:sz="0" w:space="0" w:color="auto"/>
              </w:divBdr>
            </w:div>
          </w:divsChild>
        </w:div>
        <w:div w:id="1336806784">
          <w:marLeft w:val="0"/>
          <w:marRight w:val="0"/>
          <w:marTop w:val="0"/>
          <w:marBottom w:val="0"/>
          <w:divBdr>
            <w:top w:val="none" w:sz="0" w:space="0" w:color="auto"/>
            <w:left w:val="none" w:sz="0" w:space="0" w:color="auto"/>
            <w:bottom w:val="none" w:sz="0" w:space="0" w:color="auto"/>
            <w:right w:val="none" w:sz="0" w:space="0" w:color="auto"/>
          </w:divBdr>
          <w:divsChild>
            <w:div w:id="303584591">
              <w:marLeft w:val="0"/>
              <w:marRight w:val="0"/>
              <w:marTop w:val="105"/>
              <w:marBottom w:val="0"/>
              <w:divBdr>
                <w:top w:val="none" w:sz="0" w:space="0" w:color="auto"/>
                <w:left w:val="none" w:sz="0" w:space="0" w:color="auto"/>
                <w:bottom w:val="none" w:sz="0" w:space="0" w:color="auto"/>
                <w:right w:val="none" w:sz="0" w:space="0" w:color="auto"/>
              </w:divBdr>
            </w:div>
          </w:divsChild>
        </w:div>
        <w:div w:id="1897736315">
          <w:marLeft w:val="0"/>
          <w:marRight w:val="0"/>
          <w:marTop w:val="0"/>
          <w:marBottom w:val="0"/>
          <w:divBdr>
            <w:top w:val="none" w:sz="0" w:space="0" w:color="auto"/>
            <w:left w:val="none" w:sz="0" w:space="0" w:color="auto"/>
            <w:bottom w:val="none" w:sz="0" w:space="0" w:color="auto"/>
            <w:right w:val="none" w:sz="0" w:space="0" w:color="auto"/>
          </w:divBdr>
          <w:divsChild>
            <w:div w:id="1630281406">
              <w:marLeft w:val="0"/>
              <w:marRight w:val="0"/>
              <w:marTop w:val="105"/>
              <w:marBottom w:val="0"/>
              <w:divBdr>
                <w:top w:val="none" w:sz="0" w:space="0" w:color="auto"/>
                <w:left w:val="none" w:sz="0" w:space="0" w:color="auto"/>
                <w:bottom w:val="none" w:sz="0" w:space="0" w:color="auto"/>
                <w:right w:val="none" w:sz="0" w:space="0" w:color="auto"/>
              </w:divBdr>
            </w:div>
          </w:divsChild>
        </w:div>
        <w:div w:id="1544709769">
          <w:marLeft w:val="0"/>
          <w:marRight w:val="0"/>
          <w:marTop w:val="0"/>
          <w:marBottom w:val="0"/>
          <w:divBdr>
            <w:top w:val="none" w:sz="0" w:space="0" w:color="auto"/>
            <w:left w:val="none" w:sz="0" w:space="0" w:color="auto"/>
            <w:bottom w:val="none" w:sz="0" w:space="0" w:color="auto"/>
            <w:right w:val="none" w:sz="0" w:space="0" w:color="auto"/>
          </w:divBdr>
          <w:divsChild>
            <w:div w:id="57016717">
              <w:marLeft w:val="0"/>
              <w:marRight w:val="0"/>
              <w:marTop w:val="105"/>
              <w:marBottom w:val="0"/>
              <w:divBdr>
                <w:top w:val="none" w:sz="0" w:space="0" w:color="auto"/>
                <w:left w:val="none" w:sz="0" w:space="0" w:color="auto"/>
                <w:bottom w:val="none" w:sz="0" w:space="0" w:color="auto"/>
                <w:right w:val="none" w:sz="0" w:space="0" w:color="auto"/>
              </w:divBdr>
            </w:div>
            <w:div w:id="1962609525">
              <w:marLeft w:val="0"/>
              <w:marRight w:val="0"/>
              <w:marTop w:val="0"/>
              <w:marBottom w:val="0"/>
              <w:divBdr>
                <w:top w:val="none" w:sz="0" w:space="0" w:color="auto"/>
                <w:left w:val="none" w:sz="0" w:space="0" w:color="auto"/>
                <w:bottom w:val="none" w:sz="0" w:space="0" w:color="auto"/>
                <w:right w:val="none" w:sz="0" w:space="0" w:color="auto"/>
              </w:divBdr>
              <w:divsChild>
                <w:div w:id="247469624">
                  <w:marLeft w:val="255"/>
                  <w:marRight w:val="0"/>
                  <w:marTop w:val="0"/>
                  <w:marBottom w:val="0"/>
                  <w:divBdr>
                    <w:top w:val="none" w:sz="0" w:space="0" w:color="auto"/>
                    <w:left w:val="none" w:sz="0" w:space="0" w:color="auto"/>
                    <w:bottom w:val="none" w:sz="0" w:space="0" w:color="auto"/>
                    <w:right w:val="none" w:sz="0" w:space="0" w:color="auto"/>
                  </w:divBdr>
                </w:div>
              </w:divsChild>
            </w:div>
            <w:div w:id="350955187">
              <w:marLeft w:val="0"/>
              <w:marRight w:val="0"/>
              <w:marTop w:val="0"/>
              <w:marBottom w:val="0"/>
              <w:divBdr>
                <w:top w:val="none" w:sz="0" w:space="0" w:color="auto"/>
                <w:left w:val="none" w:sz="0" w:space="0" w:color="auto"/>
                <w:bottom w:val="none" w:sz="0" w:space="0" w:color="auto"/>
                <w:right w:val="none" w:sz="0" w:space="0" w:color="auto"/>
              </w:divBdr>
              <w:divsChild>
                <w:div w:id="2144543223">
                  <w:marLeft w:val="255"/>
                  <w:marRight w:val="0"/>
                  <w:marTop w:val="0"/>
                  <w:marBottom w:val="0"/>
                  <w:divBdr>
                    <w:top w:val="none" w:sz="0" w:space="0" w:color="auto"/>
                    <w:left w:val="none" w:sz="0" w:space="0" w:color="auto"/>
                    <w:bottom w:val="none" w:sz="0" w:space="0" w:color="auto"/>
                    <w:right w:val="none" w:sz="0" w:space="0" w:color="auto"/>
                  </w:divBdr>
                </w:div>
              </w:divsChild>
            </w:div>
            <w:div w:id="1989287774">
              <w:marLeft w:val="0"/>
              <w:marRight w:val="0"/>
              <w:marTop w:val="0"/>
              <w:marBottom w:val="0"/>
              <w:divBdr>
                <w:top w:val="none" w:sz="0" w:space="0" w:color="auto"/>
                <w:left w:val="none" w:sz="0" w:space="0" w:color="auto"/>
                <w:bottom w:val="none" w:sz="0" w:space="0" w:color="auto"/>
                <w:right w:val="none" w:sz="0" w:space="0" w:color="auto"/>
              </w:divBdr>
              <w:divsChild>
                <w:div w:id="6567665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39298502">
          <w:marLeft w:val="0"/>
          <w:marRight w:val="0"/>
          <w:marTop w:val="0"/>
          <w:marBottom w:val="0"/>
          <w:divBdr>
            <w:top w:val="none" w:sz="0" w:space="0" w:color="auto"/>
            <w:left w:val="none" w:sz="0" w:space="0" w:color="auto"/>
            <w:bottom w:val="none" w:sz="0" w:space="0" w:color="auto"/>
            <w:right w:val="none" w:sz="0" w:space="0" w:color="auto"/>
          </w:divBdr>
          <w:divsChild>
            <w:div w:id="1181823032">
              <w:marLeft w:val="0"/>
              <w:marRight w:val="0"/>
              <w:marTop w:val="105"/>
              <w:marBottom w:val="0"/>
              <w:divBdr>
                <w:top w:val="none" w:sz="0" w:space="0" w:color="auto"/>
                <w:left w:val="none" w:sz="0" w:space="0" w:color="auto"/>
                <w:bottom w:val="none" w:sz="0" w:space="0" w:color="auto"/>
                <w:right w:val="none" w:sz="0" w:space="0" w:color="auto"/>
              </w:divBdr>
            </w:div>
          </w:divsChild>
        </w:div>
        <w:div w:id="188491189">
          <w:marLeft w:val="0"/>
          <w:marRight w:val="0"/>
          <w:marTop w:val="0"/>
          <w:marBottom w:val="0"/>
          <w:divBdr>
            <w:top w:val="none" w:sz="0" w:space="0" w:color="auto"/>
            <w:left w:val="none" w:sz="0" w:space="0" w:color="auto"/>
            <w:bottom w:val="none" w:sz="0" w:space="0" w:color="auto"/>
            <w:right w:val="none" w:sz="0" w:space="0" w:color="auto"/>
          </w:divBdr>
          <w:divsChild>
            <w:div w:id="147479005">
              <w:marLeft w:val="0"/>
              <w:marRight w:val="0"/>
              <w:marTop w:val="105"/>
              <w:marBottom w:val="0"/>
              <w:divBdr>
                <w:top w:val="none" w:sz="0" w:space="0" w:color="auto"/>
                <w:left w:val="none" w:sz="0" w:space="0" w:color="auto"/>
                <w:bottom w:val="none" w:sz="0" w:space="0" w:color="auto"/>
                <w:right w:val="none" w:sz="0" w:space="0" w:color="auto"/>
              </w:divBdr>
            </w:div>
          </w:divsChild>
        </w:div>
        <w:div w:id="874343274">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2690116">
      <w:bodyDiv w:val="1"/>
      <w:marLeft w:val="0"/>
      <w:marRight w:val="0"/>
      <w:marTop w:val="0"/>
      <w:marBottom w:val="0"/>
      <w:divBdr>
        <w:top w:val="none" w:sz="0" w:space="0" w:color="auto"/>
        <w:left w:val="none" w:sz="0" w:space="0" w:color="auto"/>
        <w:bottom w:val="none" w:sz="0" w:space="0" w:color="auto"/>
        <w:right w:val="none" w:sz="0" w:space="0" w:color="auto"/>
      </w:divBdr>
      <w:divsChild>
        <w:div w:id="1045064025">
          <w:marLeft w:val="0"/>
          <w:marRight w:val="0"/>
          <w:marTop w:val="0"/>
          <w:marBottom w:val="0"/>
          <w:divBdr>
            <w:top w:val="none" w:sz="0" w:space="0" w:color="auto"/>
            <w:left w:val="none" w:sz="0" w:space="0" w:color="auto"/>
            <w:bottom w:val="none" w:sz="0" w:space="0" w:color="auto"/>
            <w:right w:val="none" w:sz="0" w:space="0" w:color="auto"/>
          </w:divBdr>
          <w:divsChild>
            <w:div w:id="1268121995">
              <w:marLeft w:val="0"/>
              <w:marRight w:val="0"/>
              <w:marTop w:val="105"/>
              <w:marBottom w:val="0"/>
              <w:divBdr>
                <w:top w:val="none" w:sz="0" w:space="0" w:color="auto"/>
                <w:left w:val="none" w:sz="0" w:space="0" w:color="auto"/>
                <w:bottom w:val="none" w:sz="0" w:space="0" w:color="auto"/>
                <w:right w:val="none" w:sz="0" w:space="0" w:color="auto"/>
              </w:divBdr>
            </w:div>
          </w:divsChild>
        </w:div>
        <w:div w:id="1667368300">
          <w:marLeft w:val="0"/>
          <w:marRight w:val="0"/>
          <w:marTop w:val="0"/>
          <w:marBottom w:val="0"/>
          <w:divBdr>
            <w:top w:val="none" w:sz="0" w:space="0" w:color="auto"/>
            <w:left w:val="none" w:sz="0" w:space="0" w:color="auto"/>
            <w:bottom w:val="none" w:sz="0" w:space="0" w:color="auto"/>
            <w:right w:val="none" w:sz="0" w:space="0" w:color="auto"/>
          </w:divBdr>
          <w:divsChild>
            <w:div w:id="631398786">
              <w:marLeft w:val="0"/>
              <w:marRight w:val="0"/>
              <w:marTop w:val="105"/>
              <w:marBottom w:val="0"/>
              <w:divBdr>
                <w:top w:val="none" w:sz="0" w:space="0" w:color="auto"/>
                <w:left w:val="none" w:sz="0" w:space="0" w:color="auto"/>
                <w:bottom w:val="none" w:sz="0" w:space="0" w:color="auto"/>
                <w:right w:val="none" w:sz="0" w:space="0" w:color="auto"/>
              </w:divBdr>
            </w:div>
          </w:divsChild>
        </w:div>
        <w:div w:id="1854614176">
          <w:marLeft w:val="0"/>
          <w:marRight w:val="0"/>
          <w:marTop w:val="0"/>
          <w:marBottom w:val="0"/>
          <w:divBdr>
            <w:top w:val="none" w:sz="0" w:space="0" w:color="auto"/>
            <w:left w:val="none" w:sz="0" w:space="0" w:color="auto"/>
            <w:bottom w:val="none" w:sz="0" w:space="0" w:color="auto"/>
            <w:right w:val="none" w:sz="0" w:space="0" w:color="auto"/>
          </w:divBdr>
          <w:divsChild>
            <w:div w:id="319506264">
              <w:marLeft w:val="0"/>
              <w:marRight w:val="0"/>
              <w:marTop w:val="105"/>
              <w:marBottom w:val="0"/>
              <w:divBdr>
                <w:top w:val="none" w:sz="0" w:space="0" w:color="auto"/>
                <w:left w:val="none" w:sz="0" w:space="0" w:color="auto"/>
                <w:bottom w:val="none" w:sz="0" w:space="0" w:color="auto"/>
                <w:right w:val="none" w:sz="0" w:space="0" w:color="auto"/>
              </w:divBdr>
            </w:div>
            <w:div w:id="463012213">
              <w:marLeft w:val="0"/>
              <w:marRight w:val="0"/>
              <w:marTop w:val="0"/>
              <w:marBottom w:val="0"/>
              <w:divBdr>
                <w:top w:val="none" w:sz="0" w:space="0" w:color="auto"/>
                <w:left w:val="none" w:sz="0" w:space="0" w:color="auto"/>
                <w:bottom w:val="none" w:sz="0" w:space="0" w:color="auto"/>
                <w:right w:val="none" w:sz="0" w:space="0" w:color="auto"/>
              </w:divBdr>
              <w:divsChild>
                <w:div w:id="565645197">
                  <w:marLeft w:val="255"/>
                  <w:marRight w:val="0"/>
                  <w:marTop w:val="0"/>
                  <w:marBottom w:val="0"/>
                  <w:divBdr>
                    <w:top w:val="none" w:sz="0" w:space="0" w:color="auto"/>
                    <w:left w:val="none" w:sz="0" w:space="0" w:color="auto"/>
                    <w:bottom w:val="none" w:sz="0" w:space="0" w:color="auto"/>
                    <w:right w:val="none" w:sz="0" w:space="0" w:color="auto"/>
                  </w:divBdr>
                </w:div>
              </w:divsChild>
            </w:div>
            <w:div w:id="2042589999">
              <w:marLeft w:val="0"/>
              <w:marRight w:val="0"/>
              <w:marTop w:val="0"/>
              <w:marBottom w:val="0"/>
              <w:divBdr>
                <w:top w:val="none" w:sz="0" w:space="0" w:color="auto"/>
                <w:left w:val="none" w:sz="0" w:space="0" w:color="auto"/>
                <w:bottom w:val="none" w:sz="0" w:space="0" w:color="auto"/>
                <w:right w:val="none" w:sz="0" w:space="0" w:color="auto"/>
              </w:divBdr>
              <w:divsChild>
                <w:div w:id="1718890209">
                  <w:marLeft w:val="255"/>
                  <w:marRight w:val="0"/>
                  <w:marTop w:val="0"/>
                  <w:marBottom w:val="0"/>
                  <w:divBdr>
                    <w:top w:val="none" w:sz="0" w:space="0" w:color="auto"/>
                    <w:left w:val="none" w:sz="0" w:space="0" w:color="auto"/>
                    <w:bottom w:val="none" w:sz="0" w:space="0" w:color="auto"/>
                    <w:right w:val="none" w:sz="0" w:space="0" w:color="auto"/>
                  </w:divBdr>
                </w:div>
              </w:divsChild>
            </w:div>
            <w:div w:id="12928314">
              <w:marLeft w:val="0"/>
              <w:marRight w:val="0"/>
              <w:marTop w:val="0"/>
              <w:marBottom w:val="0"/>
              <w:divBdr>
                <w:top w:val="none" w:sz="0" w:space="0" w:color="auto"/>
                <w:left w:val="none" w:sz="0" w:space="0" w:color="auto"/>
                <w:bottom w:val="none" w:sz="0" w:space="0" w:color="auto"/>
                <w:right w:val="none" w:sz="0" w:space="0" w:color="auto"/>
              </w:divBdr>
              <w:divsChild>
                <w:div w:id="374587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131903">
          <w:marLeft w:val="0"/>
          <w:marRight w:val="0"/>
          <w:marTop w:val="0"/>
          <w:marBottom w:val="0"/>
          <w:divBdr>
            <w:top w:val="none" w:sz="0" w:space="0" w:color="auto"/>
            <w:left w:val="none" w:sz="0" w:space="0" w:color="auto"/>
            <w:bottom w:val="none" w:sz="0" w:space="0" w:color="auto"/>
            <w:right w:val="none" w:sz="0" w:space="0" w:color="auto"/>
          </w:divBdr>
          <w:divsChild>
            <w:div w:id="1614169527">
              <w:marLeft w:val="0"/>
              <w:marRight w:val="0"/>
              <w:marTop w:val="105"/>
              <w:marBottom w:val="0"/>
              <w:divBdr>
                <w:top w:val="none" w:sz="0" w:space="0" w:color="auto"/>
                <w:left w:val="none" w:sz="0" w:space="0" w:color="auto"/>
                <w:bottom w:val="none" w:sz="0" w:space="0" w:color="auto"/>
                <w:right w:val="none" w:sz="0" w:space="0" w:color="auto"/>
              </w:divBdr>
            </w:div>
          </w:divsChild>
        </w:div>
        <w:div w:id="399182447">
          <w:marLeft w:val="0"/>
          <w:marRight w:val="0"/>
          <w:marTop w:val="0"/>
          <w:marBottom w:val="0"/>
          <w:divBdr>
            <w:top w:val="none" w:sz="0" w:space="0" w:color="auto"/>
            <w:left w:val="none" w:sz="0" w:space="0" w:color="auto"/>
            <w:bottom w:val="none" w:sz="0" w:space="0" w:color="auto"/>
            <w:right w:val="none" w:sz="0" w:space="0" w:color="auto"/>
          </w:divBdr>
          <w:divsChild>
            <w:div w:id="186991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sChild>
        <w:div w:id="717707662">
          <w:marLeft w:val="0"/>
          <w:marRight w:val="0"/>
          <w:marTop w:val="0"/>
          <w:marBottom w:val="0"/>
          <w:divBdr>
            <w:top w:val="none" w:sz="0" w:space="0" w:color="auto"/>
            <w:left w:val="none" w:sz="0" w:space="0" w:color="auto"/>
            <w:bottom w:val="none" w:sz="0" w:space="0" w:color="auto"/>
            <w:right w:val="none" w:sz="0" w:space="0" w:color="auto"/>
          </w:divBdr>
          <w:divsChild>
            <w:div w:id="1633167244">
              <w:marLeft w:val="0"/>
              <w:marRight w:val="0"/>
              <w:marTop w:val="105"/>
              <w:marBottom w:val="0"/>
              <w:divBdr>
                <w:top w:val="none" w:sz="0" w:space="0" w:color="auto"/>
                <w:left w:val="none" w:sz="0" w:space="0" w:color="auto"/>
                <w:bottom w:val="none" w:sz="0" w:space="0" w:color="auto"/>
                <w:right w:val="none" w:sz="0" w:space="0" w:color="auto"/>
              </w:divBdr>
            </w:div>
          </w:divsChild>
        </w:div>
        <w:div w:id="1799060082">
          <w:marLeft w:val="0"/>
          <w:marRight w:val="0"/>
          <w:marTop w:val="0"/>
          <w:marBottom w:val="0"/>
          <w:divBdr>
            <w:top w:val="none" w:sz="0" w:space="0" w:color="auto"/>
            <w:left w:val="none" w:sz="0" w:space="0" w:color="auto"/>
            <w:bottom w:val="none" w:sz="0" w:space="0" w:color="auto"/>
            <w:right w:val="none" w:sz="0" w:space="0" w:color="auto"/>
          </w:divBdr>
          <w:divsChild>
            <w:div w:id="822888873">
              <w:marLeft w:val="0"/>
              <w:marRight w:val="0"/>
              <w:marTop w:val="105"/>
              <w:marBottom w:val="0"/>
              <w:divBdr>
                <w:top w:val="none" w:sz="0" w:space="0" w:color="auto"/>
                <w:left w:val="none" w:sz="0" w:space="0" w:color="auto"/>
                <w:bottom w:val="none" w:sz="0" w:space="0" w:color="auto"/>
                <w:right w:val="none" w:sz="0" w:space="0" w:color="auto"/>
              </w:divBdr>
            </w:div>
          </w:divsChild>
        </w:div>
        <w:div w:id="1189679281">
          <w:marLeft w:val="0"/>
          <w:marRight w:val="0"/>
          <w:marTop w:val="0"/>
          <w:marBottom w:val="0"/>
          <w:divBdr>
            <w:top w:val="none" w:sz="0" w:space="0" w:color="auto"/>
            <w:left w:val="none" w:sz="0" w:space="0" w:color="auto"/>
            <w:bottom w:val="none" w:sz="0" w:space="0" w:color="auto"/>
            <w:right w:val="none" w:sz="0" w:space="0" w:color="auto"/>
          </w:divBdr>
          <w:divsChild>
            <w:div w:id="468059483">
              <w:marLeft w:val="0"/>
              <w:marRight w:val="0"/>
              <w:marTop w:val="105"/>
              <w:marBottom w:val="0"/>
              <w:divBdr>
                <w:top w:val="none" w:sz="0" w:space="0" w:color="auto"/>
                <w:left w:val="none" w:sz="0" w:space="0" w:color="auto"/>
                <w:bottom w:val="none" w:sz="0" w:space="0" w:color="auto"/>
                <w:right w:val="none" w:sz="0" w:space="0" w:color="auto"/>
              </w:divBdr>
            </w:div>
            <w:div w:id="1203515500">
              <w:marLeft w:val="0"/>
              <w:marRight w:val="0"/>
              <w:marTop w:val="0"/>
              <w:marBottom w:val="0"/>
              <w:divBdr>
                <w:top w:val="none" w:sz="0" w:space="0" w:color="auto"/>
                <w:left w:val="none" w:sz="0" w:space="0" w:color="auto"/>
                <w:bottom w:val="none" w:sz="0" w:space="0" w:color="auto"/>
                <w:right w:val="none" w:sz="0" w:space="0" w:color="auto"/>
              </w:divBdr>
              <w:divsChild>
                <w:div w:id="124280413">
                  <w:marLeft w:val="255"/>
                  <w:marRight w:val="0"/>
                  <w:marTop w:val="0"/>
                  <w:marBottom w:val="0"/>
                  <w:divBdr>
                    <w:top w:val="none" w:sz="0" w:space="0" w:color="auto"/>
                    <w:left w:val="none" w:sz="0" w:space="0" w:color="auto"/>
                    <w:bottom w:val="none" w:sz="0" w:space="0" w:color="auto"/>
                    <w:right w:val="none" w:sz="0" w:space="0" w:color="auto"/>
                  </w:divBdr>
                </w:div>
              </w:divsChild>
            </w:div>
            <w:div w:id="403842387">
              <w:marLeft w:val="0"/>
              <w:marRight w:val="0"/>
              <w:marTop w:val="0"/>
              <w:marBottom w:val="0"/>
              <w:divBdr>
                <w:top w:val="none" w:sz="0" w:space="0" w:color="auto"/>
                <w:left w:val="none" w:sz="0" w:space="0" w:color="auto"/>
                <w:bottom w:val="none" w:sz="0" w:space="0" w:color="auto"/>
                <w:right w:val="none" w:sz="0" w:space="0" w:color="auto"/>
              </w:divBdr>
              <w:divsChild>
                <w:div w:id="1042362338">
                  <w:marLeft w:val="255"/>
                  <w:marRight w:val="0"/>
                  <w:marTop w:val="0"/>
                  <w:marBottom w:val="0"/>
                  <w:divBdr>
                    <w:top w:val="none" w:sz="0" w:space="0" w:color="auto"/>
                    <w:left w:val="none" w:sz="0" w:space="0" w:color="auto"/>
                    <w:bottom w:val="none" w:sz="0" w:space="0" w:color="auto"/>
                    <w:right w:val="none" w:sz="0" w:space="0" w:color="auto"/>
                  </w:divBdr>
                </w:div>
              </w:divsChild>
            </w:div>
            <w:div w:id="463699528">
              <w:marLeft w:val="0"/>
              <w:marRight w:val="0"/>
              <w:marTop w:val="0"/>
              <w:marBottom w:val="0"/>
              <w:divBdr>
                <w:top w:val="none" w:sz="0" w:space="0" w:color="auto"/>
                <w:left w:val="none" w:sz="0" w:space="0" w:color="auto"/>
                <w:bottom w:val="none" w:sz="0" w:space="0" w:color="auto"/>
                <w:right w:val="none" w:sz="0" w:space="0" w:color="auto"/>
              </w:divBdr>
              <w:divsChild>
                <w:div w:id="1632245929">
                  <w:marLeft w:val="255"/>
                  <w:marRight w:val="0"/>
                  <w:marTop w:val="0"/>
                  <w:marBottom w:val="0"/>
                  <w:divBdr>
                    <w:top w:val="none" w:sz="0" w:space="0" w:color="auto"/>
                    <w:left w:val="none" w:sz="0" w:space="0" w:color="auto"/>
                    <w:bottom w:val="none" w:sz="0" w:space="0" w:color="auto"/>
                    <w:right w:val="none" w:sz="0" w:space="0" w:color="auto"/>
                  </w:divBdr>
                </w:div>
              </w:divsChild>
            </w:div>
            <w:div w:id="649990694">
              <w:marLeft w:val="0"/>
              <w:marRight w:val="0"/>
              <w:marTop w:val="0"/>
              <w:marBottom w:val="0"/>
              <w:divBdr>
                <w:top w:val="none" w:sz="0" w:space="0" w:color="auto"/>
                <w:left w:val="none" w:sz="0" w:space="0" w:color="auto"/>
                <w:bottom w:val="none" w:sz="0" w:space="0" w:color="auto"/>
                <w:right w:val="none" w:sz="0" w:space="0" w:color="auto"/>
              </w:divBdr>
              <w:divsChild>
                <w:div w:id="9253793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6722">
      <w:bodyDiv w:val="1"/>
      <w:marLeft w:val="0"/>
      <w:marRight w:val="0"/>
      <w:marTop w:val="0"/>
      <w:marBottom w:val="0"/>
      <w:divBdr>
        <w:top w:val="none" w:sz="0" w:space="0" w:color="auto"/>
        <w:left w:val="none" w:sz="0" w:space="0" w:color="auto"/>
        <w:bottom w:val="none" w:sz="0" w:space="0" w:color="auto"/>
        <w:right w:val="none" w:sz="0" w:space="0" w:color="auto"/>
      </w:divBdr>
      <w:divsChild>
        <w:div w:id="1074397859">
          <w:marLeft w:val="0"/>
          <w:marRight w:val="0"/>
          <w:marTop w:val="0"/>
          <w:marBottom w:val="0"/>
          <w:divBdr>
            <w:top w:val="none" w:sz="0" w:space="0" w:color="auto"/>
            <w:left w:val="none" w:sz="0" w:space="0" w:color="auto"/>
            <w:bottom w:val="none" w:sz="0" w:space="0" w:color="auto"/>
            <w:right w:val="none" w:sz="0" w:space="0" w:color="auto"/>
          </w:divBdr>
          <w:divsChild>
            <w:div w:id="578636573">
              <w:marLeft w:val="0"/>
              <w:marRight w:val="0"/>
              <w:marTop w:val="0"/>
              <w:marBottom w:val="0"/>
              <w:divBdr>
                <w:top w:val="none" w:sz="0" w:space="0" w:color="auto"/>
                <w:left w:val="none" w:sz="0" w:space="0" w:color="auto"/>
                <w:bottom w:val="none" w:sz="0" w:space="0" w:color="auto"/>
                <w:right w:val="none" w:sz="0" w:space="0" w:color="auto"/>
              </w:divBdr>
              <w:divsChild>
                <w:div w:id="115569912">
                  <w:marLeft w:val="0"/>
                  <w:marRight w:val="0"/>
                  <w:marTop w:val="0"/>
                  <w:marBottom w:val="0"/>
                  <w:divBdr>
                    <w:top w:val="none" w:sz="0" w:space="0" w:color="auto"/>
                    <w:left w:val="none" w:sz="0" w:space="0" w:color="auto"/>
                    <w:bottom w:val="none" w:sz="0" w:space="0" w:color="auto"/>
                    <w:right w:val="none" w:sz="0" w:space="0" w:color="auto"/>
                  </w:divBdr>
                  <w:divsChild>
                    <w:div w:id="1767534359">
                      <w:marLeft w:val="0"/>
                      <w:marRight w:val="0"/>
                      <w:marTop w:val="105"/>
                      <w:marBottom w:val="0"/>
                      <w:divBdr>
                        <w:top w:val="none" w:sz="0" w:space="0" w:color="auto"/>
                        <w:left w:val="none" w:sz="0" w:space="0" w:color="auto"/>
                        <w:bottom w:val="none" w:sz="0" w:space="0" w:color="auto"/>
                        <w:right w:val="none" w:sz="0" w:space="0" w:color="auto"/>
                      </w:divBdr>
                    </w:div>
                    <w:div w:id="123502059">
                      <w:marLeft w:val="0"/>
                      <w:marRight w:val="0"/>
                      <w:marTop w:val="0"/>
                      <w:marBottom w:val="0"/>
                      <w:divBdr>
                        <w:top w:val="none" w:sz="0" w:space="0" w:color="auto"/>
                        <w:left w:val="none" w:sz="0" w:space="0" w:color="auto"/>
                        <w:bottom w:val="none" w:sz="0" w:space="0" w:color="auto"/>
                        <w:right w:val="none" w:sz="0" w:space="0" w:color="auto"/>
                      </w:divBdr>
                      <w:divsChild>
                        <w:div w:id="1967813380">
                          <w:marLeft w:val="255"/>
                          <w:marRight w:val="0"/>
                          <w:marTop w:val="0"/>
                          <w:marBottom w:val="0"/>
                          <w:divBdr>
                            <w:top w:val="none" w:sz="0" w:space="0" w:color="auto"/>
                            <w:left w:val="none" w:sz="0" w:space="0" w:color="auto"/>
                            <w:bottom w:val="none" w:sz="0" w:space="0" w:color="auto"/>
                            <w:right w:val="none" w:sz="0" w:space="0" w:color="auto"/>
                          </w:divBdr>
                        </w:div>
                      </w:divsChild>
                    </w:div>
                    <w:div w:id="2123650988">
                      <w:marLeft w:val="0"/>
                      <w:marRight w:val="0"/>
                      <w:marTop w:val="0"/>
                      <w:marBottom w:val="0"/>
                      <w:divBdr>
                        <w:top w:val="none" w:sz="0" w:space="0" w:color="auto"/>
                        <w:left w:val="none" w:sz="0" w:space="0" w:color="auto"/>
                        <w:bottom w:val="none" w:sz="0" w:space="0" w:color="auto"/>
                        <w:right w:val="none" w:sz="0" w:space="0" w:color="auto"/>
                      </w:divBdr>
                      <w:divsChild>
                        <w:div w:id="1201236492">
                          <w:marLeft w:val="255"/>
                          <w:marRight w:val="0"/>
                          <w:marTop w:val="0"/>
                          <w:marBottom w:val="0"/>
                          <w:divBdr>
                            <w:top w:val="none" w:sz="0" w:space="0" w:color="auto"/>
                            <w:left w:val="none" w:sz="0" w:space="0" w:color="auto"/>
                            <w:bottom w:val="none" w:sz="0" w:space="0" w:color="auto"/>
                            <w:right w:val="none" w:sz="0" w:space="0" w:color="auto"/>
                          </w:divBdr>
                        </w:div>
                      </w:divsChild>
                    </w:div>
                    <w:div w:id="1944990917">
                      <w:marLeft w:val="0"/>
                      <w:marRight w:val="0"/>
                      <w:marTop w:val="0"/>
                      <w:marBottom w:val="0"/>
                      <w:divBdr>
                        <w:top w:val="none" w:sz="0" w:space="0" w:color="auto"/>
                        <w:left w:val="none" w:sz="0" w:space="0" w:color="auto"/>
                        <w:bottom w:val="none" w:sz="0" w:space="0" w:color="auto"/>
                        <w:right w:val="none" w:sz="0" w:space="0" w:color="auto"/>
                      </w:divBdr>
                      <w:divsChild>
                        <w:div w:id="19550898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3316437">
                  <w:marLeft w:val="0"/>
                  <w:marRight w:val="0"/>
                  <w:marTop w:val="0"/>
                  <w:marBottom w:val="0"/>
                  <w:divBdr>
                    <w:top w:val="none" w:sz="0" w:space="0" w:color="auto"/>
                    <w:left w:val="none" w:sz="0" w:space="0" w:color="auto"/>
                    <w:bottom w:val="none" w:sz="0" w:space="0" w:color="auto"/>
                    <w:right w:val="none" w:sz="0" w:space="0" w:color="auto"/>
                  </w:divBdr>
                  <w:divsChild>
                    <w:div w:id="21079937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46106848">
      <w:bodyDiv w:val="1"/>
      <w:marLeft w:val="0"/>
      <w:marRight w:val="0"/>
      <w:marTop w:val="0"/>
      <w:marBottom w:val="0"/>
      <w:divBdr>
        <w:top w:val="none" w:sz="0" w:space="0" w:color="auto"/>
        <w:left w:val="none" w:sz="0" w:space="0" w:color="auto"/>
        <w:bottom w:val="none" w:sz="0" w:space="0" w:color="auto"/>
        <w:right w:val="none" w:sz="0" w:space="0" w:color="auto"/>
      </w:divBdr>
      <w:divsChild>
        <w:div w:id="165441202">
          <w:marLeft w:val="0"/>
          <w:marRight w:val="0"/>
          <w:marTop w:val="0"/>
          <w:marBottom w:val="0"/>
          <w:divBdr>
            <w:top w:val="none" w:sz="0" w:space="0" w:color="auto"/>
            <w:left w:val="none" w:sz="0" w:space="0" w:color="auto"/>
            <w:bottom w:val="none" w:sz="0" w:space="0" w:color="auto"/>
            <w:right w:val="none" w:sz="0" w:space="0" w:color="auto"/>
          </w:divBdr>
          <w:divsChild>
            <w:div w:id="111872911">
              <w:marLeft w:val="0"/>
              <w:marRight w:val="0"/>
              <w:marTop w:val="105"/>
              <w:marBottom w:val="0"/>
              <w:divBdr>
                <w:top w:val="none" w:sz="0" w:space="0" w:color="auto"/>
                <w:left w:val="none" w:sz="0" w:space="0" w:color="auto"/>
                <w:bottom w:val="none" w:sz="0" w:space="0" w:color="auto"/>
                <w:right w:val="none" w:sz="0" w:space="0" w:color="auto"/>
              </w:divBdr>
            </w:div>
          </w:divsChild>
        </w:div>
        <w:div w:id="795031075">
          <w:marLeft w:val="0"/>
          <w:marRight w:val="0"/>
          <w:marTop w:val="0"/>
          <w:marBottom w:val="0"/>
          <w:divBdr>
            <w:top w:val="none" w:sz="0" w:space="0" w:color="auto"/>
            <w:left w:val="none" w:sz="0" w:space="0" w:color="auto"/>
            <w:bottom w:val="none" w:sz="0" w:space="0" w:color="auto"/>
            <w:right w:val="none" w:sz="0" w:space="0" w:color="auto"/>
          </w:divBdr>
          <w:divsChild>
            <w:div w:id="1448352595">
              <w:marLeft w:val="0"/>
              <w:marRight w:val="0"/>
              <w:marTop w:val="105"/>
              <w:marBottom w:val="0"/>
              <w:divBdr>
                <w:top w:val="none" w:sz="0" w:space="0" w:color="auto"/>
                <w:left w:val="none" w:sz="0" w:space="0" w:color="auto"/>
                <w:bottom w:val="none" w:sz="0" w:space="0" w:color="auto"/>
                <w:right w:val="none" w:sz="0" w:space="0" w:color="auto"/>
              </w:divBdr>
            </w:div>
            <w:div w:id="1661807370">
              <w:marLeft w:val="0"/>
              <w:marRight w:val="0"/>
              <w:marTop w:val="0"/>
              <w:marBottom w:val="0"/>
              <w:divBdr>
                <w:top w:val="none" w:sz="0" w:space="0" w:color="auto"/>
                <w:left w:val="none" w:sz="0" w:space="0" w:color="auto"/>
                <w:bottom w:val="none" w:sz="0" w:space="0" w:color="auto"/>
                <w:right w:val="none" w:sz="0" w:space="0" w:color="auto"/>
              </w:divBdr>
              <w:divsChild>
                <w:div w:id="1206141996">
                  <w:marLeft w:val="255"/>
                  <w:marRight w:val="0"/>
                  <w:marTop w:val="0"/>
                  <w:marBottom w:val="0"/>
                  <w:divBdr>
                    <w:top w:val="none" w:sz="0" w:space="0" w:color="auto"/>
                    <w:left w:val="none" w:sz="0" w:space="0" w:color="auto"/>
                    <w:bottom w:val="none" w:sz="0" w:space="0" w:color="auto"/>
                    <w:right w:val="none" w:sz="0" w:space="0" w:color="auto"/>
                  </w:divBdr>
                </w:div>
              </w:divsChild>
            </w:div>
            <w:div w:id="279262961">
              <w:marLeft w:val="0"/>
              <w:marRight w:val="0"/>
              <w:marTop w:val="0"/>
              <w:marBottom w:val="0"/>
              <w:divBdr>
                <w:top w:val="none" w:sz="0" w:space="0" w:color="auto"/>
                <w:left w:val="none" w:sz="0" w:space="0" w:color="auto"/>
                <w:bottom w:val="none" w:sz="0" w:space="0" w:color="auto"/>
                <w:right w:val="none" w:sz="0" w:space="0" w:color="auto"/>
              </w:divBdr>
              <w:divsChild>
                <w:div w:id="1148864604">
                  <w:marLeft w:val="255"/>
                  <w:marRight w:val="0"/>
                  <w:marTop w:val="0"/>
                  <w:marBottom w:val="0"/>
                  <w:divBdr>
                    <w:top w:val="none" w:sz="0" w:space="0" w:color="auto"/>
                    <w:left w:val="none" w:sz="0" w:space="0" w:color="auto"/>
                    <w:bottom w:val="none" w:sz="0" w:space="0" w:color="auto"/>
                    <w:right w:val="none" w:sz="0" w:space="0" w:color="auto"/>
                  </w:divBdr>
                </w:div>
              </w:divsChild>
            </w:div>
            <w:div w:id="1936555466">
              <w:marLeft w:val="0"/>
              <w:marRight w:val="0"/>
              <w:marTop w:val="0"/>
              <w:marBottom w:val="0"/>
              <w:divBdr>
                <w:top w:val="none" w:sz="0" w:space="0" w:color="auto"/>
                <w:left w:val="none" w:sz="0" w:space="0" w:color="auto"/>
                <w:bottom w:val="none" w:sz="0" w:space="0" w:color="auto"/>
                <w:right w:val="none" w:sz="0" w:space="0" w:color="auto"/>
              </w:divBdr>
              <w:divsChild>
                <w:div w:id="1335306156">
                  <w:marLeft w:val="255"/>
                  <w:marRight w:val="0"/>
                  <w:marTop w:val="0"/>
                  <w:marBottom w:val="0"/>
                  <w:divBdr>
                    <w:top w:val="none" w:sz="0" w:space="0" w:color="auto"/>
                    <w:left w:val="none" w:sz="0" w:space="0" w:color="auto"/>
                    <w:bottom w:val="none" w:sz="0" w:space="0" w:color="auto"/>
                    <w:right w:val="none" w:sz="0" w:space="0" w:color="auto"/>
                  </w:divBdr>
                </w:div>
              </w:divsChild>
            </w:div>
            <w:div w:id="107896575">
              <w:marLeft w:val="0"/>
              <w:marRight w:val="0"/>
              <w:marTop w:val="0"/>
              <w:marBottom w:val="0"/>
              <w:divBdr>
                <w:top w:val="none" w:sz="0" w:space="0" w:color="auto"/>
                <w:left w:val="none" w:sz="0" w:space="0" w:color="auto"/>
                <w:bottom w:val="none" w:sz="0" w:space="0" w:color="auto"/>
                <w:right w:val="none" w:sz="0" w:space="0" w:color="auto"/>
              </w:divBdr>
              <w:divsChild>
                <w:div w:id="1251348007">
                  <w:marLeft w:val="255"/>
                  <w:marRight w:val="0"/>
                  <w:marTop w:val="0"/>
                  <w:marBottom w:val="0"/>
                  <w:divBdr>
                    <w:top w:val="none" w:sz="0" w:space="0" w:color="auto"/>
                    <w:left w:val="none" w:sz="0" w:space="0" w:color="auto"/>
                    <w:bottom w:val="none" w:sz="0" w:space="0" w:color="auto"/>
                    <w:right w:val="none" w:sz="0" w:space="0" w:color="auto"/>
                  </w:divBdr>
                </w:div>
              </w:divsChild>
            </w:div>
            <w:div w:id="1533416762">
              <w:marLeft w:val="0"/>
              <w:marRight w:val="0"/>
              <w:marTop w:val="0"/>
              <w:marBottom w:val="0"/>
              <w:divBdr>
                <w:top w:val="none" w:sz="0" w:space="0" w:color="auto"/>
                <w:left w:val="none" w:sz="0" w:space="0" w:color="auto"/>
                <w:bottom w:val="none" w:sz="0" w:space="0" w:color="auto"/>
                <w:right w:val="none" w:sz="0" w:space="0" w:color="auto"/>
              </w:divBdr>
              <w:divsChild>
                <w:div w:id="136917885">
                  <w:marLeft w:val="255"/>
                  <w:marRight w:val="0"/>
                  <w:marTop w:val="0"/>
                  <w:marBottom w:val="0"/>
                  <w:divBdr>
                    <w:top w:val="none" w:sz="0" w:space="0" w:color="auto"/>
                    <w:left w:val="none" w:sz="0" w:space="0" w:color="auto"/>
                    <w:bottom w:val="none" w:sz="0" w:space="0" w:color="auto"/>
                    <w:right w:val="none" w:sz="0" w:space="0" w:color="auto"/>
                  </w:divBdr>
                </w:div>
              </w:divsChild>
            </w:div>
            <w:div w:id="927495899">
              <w:marLeft w:val="0"/>
              <w:marRight w:val="0"/>
              <w:marTop w:val="0"/>
              <w:marBottom w:val="0"/>
              <w:divBdr>
                <w:top w:val="none" w:sz="0" w:space="0" w:color="auto"/>
                <w:left w:val="none" w:sz="0" w:space="0" w:color="auto"/>
                <w:bottom w:val="none" w:sz="0" w:space="0" w:color="auto"/>
                <w:right w:val="none" w:sz="0" w:space="0" w:color="auto"/>
              </w:divBdr>
              <w:divsChild>
                <w:div w:id="1527134907">
                  <w:marLeft w:val="255"/>
                  <w:marRight w:val="0"/>
                  <w:marTop w:val="0"/>
                  <w:marBottom w:val="0"/>
                  <w:divBdr>
                    <w:top w:val="none" w:sz="0" w:space="0" w:color="auto"/>
                    <w:left w:val="none" w:sz="0" w:space="0" w:color="auto"/>
                    <w:bottom w:val="none" w:sz="0" w:space="0" w:color="auto"/>
                    <w:right w:val="none" w:sz="0" w:space="0" w:color="auto"/>
                  </w:divBdr>
                </w:div>
              </w:divsChild>
            </w:div>
            <w:div w:id="936135072">
              <w:marLeft w:val="0"/>
              <w:marRight w:val="0"/>
              <w:marTop w:val="0"/>
              <w:marBottom w:val="0"/>
              <w:divBdr>
                <w:top w:val="none" w:sz="0" w:space="0" w:color="auto"/>
                <w:left w:val="none" w:sz="0" w:space="0" w:color="auto"/>
                <w:bottom w:val="none" w:sz="0" w:space="0" w:color="auto"/>
                <w:right w:val="none" w:sz="0" w:space="0" w:color="auto"/>
              </w:divBdr>
              <w:divsChild>
                <w:div w:id="16532885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4566368">
          <w:marLeft w:val="0"/>
          <w:marRight w:val="0"/>
          <w:marTop w:val="0"/>
          <w:marBottom w:val="0"/>
          <w:divBdr>
            <w:top w:val="none" w:sz="0" w:space="0" w:color="auto"/>
            <w:left w:val="none" w:sz="0" w:space="0" w:color="auto"/>
            <w:bottom w:val="none" w:sz="0" w:space="0" w:color="auto"/>
            <w:right w:val="none" w:sz="0" w:space="0" w:color="auto"/>
          </w:divBdr>
          <w:divsChild>
            <w:div w:id="2059697026">
              <w:marLeft w:val="0"/>
              <w:marRight w:val="0"/>
              <w:marTop w:val="105"/>
              <w:marBottom w:val="0"/>
              <w:divBdr>
                <w:top w:val="none" w:sz="0" w:space="0" w:color="auto"/>
                <w:left w:val="none" w:sz="0" w:space="0" w:color="auto"/>
                <w:bottom w:val="none" w:sz="0" w:space="0" w:color="auto"/>
                <w:right w:val="none" w:sz="0" w:space="0" w:color="auto"/>
              </w:divBdr>
            </w:div>
          </w:divsChild>
        </w:div>
        <w:div w:id="848056117">
          <w:marLeft w:val="0"/>
          <w:marRight w:val="0"/>
          <w:marTop w:val="0"/>
          <w:marBottom w:val="0"/>
          <w:divBdr>
            <w:top w:val="none" w:sz="0" w:space="0" w:color="auto"/>
            <w:left w:val="none" w:sz="0" w:space="0" w:color="auto"/>
            <w:bottom w:val="none" w:sz="0" w:space="0" w:color="auto"/>
            <w:right w:val="none" w:sz="0" w:space="0" w:color="auto"/>
          </w:divBdr>
          <w:divsChild>
            <w:div w:id="904560000">
              <w:marLeft w:val="0"/>
              <w:marRight w:val="0"/>
              <w:marTop w:val="105"/>
              <w:marBottom w:val="0"/>
              <w:divBdr>
                <w:top w:val="none" w:sz="0" w:space="0" w:color="auto"/>
                <w:left w:val="none" w:sz="0" w:space="0" w:color="auto"/>
                <w:bottom w:val="none" w:sz="0" w:space="0" w:color="auto"/>
                <w:right w:val="none" w:sz="0" w:space="0" w:color="auto"/>
              </w:divBdr>
            </w:div>
          </w:divsChild>
        </w:div>
        <w:div w:id="1698389237">
          <w:marLeft w:val="0"/>
          <w:marRight w:val="0"/>
          <w:marTop w:val="0"/>
          <w:marBottom w:val="0"/>
          <w:divBdr>
            <w:top w:val="none" w:sz="0" w:space="0" w:color="auto"/>
            <w:left w:val="none" w:sz="0" w:space="0" w:color="auto"/>
            <w:bottom w:val="none" w:sz="0" w:space="0" w:color="auto"/>
            <w:right w:val="none" w:sz="0" w:space="0" w:color="auto"/>
          </w:divBdr>
          <w:divsChild>
            <w:div w:id="918057551">
              <w:marLeft w:val="0"/>
              <w:marRight w:val="0"/>
              <w:marTop w:val="105"/>
              <w:marBottom w:val="0"/>
              <w:divBdr>
                <w:top w:val="none" w:sz="0" w:space="0" w:color="auto"/>
                <w:left w:val="none" w:sz="0" w:space="0" w:color="auto"/>
                <w:bottom w:val="none" w:sz="0" w:space="0" w:color="auto"/>
                <w:right w:val="none" w:sz="0" w:space="0" w:color="auto"/>
              </w:divBdr>
            </w:div>
          </w:divsChild>
        </w:div>
        <w:div w:id="1654874606">
          <w:marLeft w:val="0"/>
          <w:marRight w:val="0"/>
          <w:marTop w:val="0"/>
          <w:marBottom w:val="0"/>
          <w:divBdr>
            <w:top w:val="none" w:sz="0" w:space="0" w:color="auto"/>
            <w:left w:val="none" w:sz="0" w:space="0" w:color="auto"/>
            <w:bottom w:val="none" w:sz="0" w:space="0" w:color="auto"/>
            <w:right w:val="none" w:sz="0" w:space="0" w:color="auto"/>
          </w:divBdr>
          <w:divsChild>
            <w:div w:id="1305888198">
              <w:marLeft w:val="0"/>
              <w:marRight w:val="0"/>
              <w:marTop w:val="105"/>
              <w:marBottom w:val="0"/>
              <w:divBdr>
                <w:top w:val="none" w:sz="0" w:space="0" w:color="auto"/>
                <w:left w:val="none" w:sz="0" w:space="0" w:color="auto"/>
                <w:bottom w:val="none" w:sz="0" w:space="0" w:color="auto"/>
                <w:right w:val="none" w:sz="0" w:space="0" w:color="auto"/>
              </w:divBdr>
            </w:div>
          </w:divsChild>
        </w:div>
        <w:div w:id="1303733884">
          <w:marLeft w:val="0"/>
          <w:marRight w:val="0"/>
          <w:marTop w:val="0"/>
          <w:marBottom w:val="0"/>
          <w:divBdr>
            <w:top w:val="none" w:sz="0" w:space="0" w:color="auto"/>
            <w:left w:val="none" w:sz="0" w:space="0" w:color="auto"/>
            <w:bottom w:val="none" w:sz="0" w:space="0" w:color="auto"/>
            <w:right w:val="none" w:sz="0" w:space="0" w:color="auto"/>
          </w:divBdr>
          <w:divsChild>
            <w:div w:id="111898390">
              <w:marLeft w:val="0"/>
              <w:marRight w:val="0"/>
              <w:marTop w:val="105"/>
              <w:marBottom w:val="0"/>
              <w:divBdr>
                <w:top w:val="none" w:sz="0" w:space="0" w:color="auto"/>
                <w:left w:val="none" w:sz="0" w:space="0" w:color="auto"/>
                <w:bottom w:val="none" w:sz="0" w:space="0" w:color="auto"/>
                <w:right w:val="none" w:sz="0" w:space="0" w:color="auto"/>
              </w:divBdr>
            </w:div>
          </w:divsChild>
        </w:div>
        <w:div w:id="552666757">
          <w:marLeft w:val="0"/>
          <w:marRight w:val="0"/>
          <w:marTop w:val="0"/>
          <w:marBottom w:val="0"/>
          <w:divBdr>
            <w:top w:val="none" w:sz="0" w:space="0" w:color="auto"/>
            <w:left w:val="none" w:sz="0" w:space="0" w:color="auto"/>
            <w:bottom w:val="none" w:sz="0" w:space="0" w:color="auto"/>
            <w:right w:val="none" w:sz="0" w:space="0" w:color="auto"/>
          </w:divBdr>
          <w:divsChild>
            <w:div w:id="1072238037">
              <w:marLeft w:val="0"/>
              <w:marRight w:val="0"/>
              <w:marTop w:val="105"/>
              <w:marBottom w:val="0"/>
              <w:divBdr>
                <w:top w:val="none" w:sz="0" w:space="0" w:color="auto"/>
                <w:left w:val="none" w:sz="0" w:space="0" w:color="auto"/>
                <w:bottom w:val="none" w:sz="0" w:space="0" w:color="auto"/>
                <w:right w:val="none" w:sz="0" w:space="0" w:color="auto"/>
              </w:divBdr>
            </w:div>
          </w:divsChild>
        </w:div>
        <w:div w:id="473646640">
          <w:marLeft w:val="0"/>
          <w:marRight w:val="0"/>
          <w:marTop w:val="0"/>
          <w:marBottom w:val="0"/>
          <w:divBdr>
            <w:top w:val="none" w:sz="0" w:space="0" w:color="auto"/>
            <w:left w:val="none" w:sz="0" w:space="0" w:color="auto"/>
            <w:bottom w:val="none" w:sz="0" w:space="0" w:color="auto"/>
            <w:right w:val="none" w:sz="0" w:space="0" w:color="auto"/>
          </w:divBdr>
          <w:divsChild>
            <w:div w:id="810097773">
              <w:marLeft w:val="0"/>
              <w:marRight w:val="0"/>
              <w:marTop w:val="105"/>
              <w:marBottom w:val="0"/>
              <w:divBdr>
                <w:top w:val="none" w:sz="0" w:space="0" w:color="auto"/>
                <w:left w:val="none" w:sz="0" w:space="0" w:color="auto"/>
                <w:bottom w:val="none" w:sz="0" w:space="0" w:color="auto"/>
                <w:right w:val="none" w:sz="0" w:space="0" w:color="auto"/>
              </w:divBdr>
            </w:div>
          </w:divsChild>
        </w:div>
        <w:div w:id="1640570217">
          <w:marLeft w:val="0"/>
          <w:marRight w:val="0"/>
          <w:marTop w:val="0"/>
          <w:marBottom w:val="0"/>
          <w:divBdr>
            <w:top w:val="none" w:sz="0" w:space="0" w:color="auto"/>
            <w:left w:val="none" w:sz="0" w:space="0" w:color="auto"/>
            <w:bottom w:val="none" w:sz="0" w:space="0" w:color="auto"/>
            <w:right w:val="none" w:sz="0" w:space="0" w:color="auto"/>
          </w:divBdr>
          <w:divsChild>
            <w:div w:id="905997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6634786">
      <w:bodyDiv w:val="1"/>
      <w:marLeft w:val="0"/>
      <w:marRight w:val="0"/>
      <w:marTop w:val="0"/>
      <w:marBottom w:val="0"/>
      <w:divBdr>
        <w:top w:val="none" w:sz="0" w:space="0" w:color="auto"/>
        <w:left w:val="none" w:sz="0" w:space="0" w:color="auto"/>
        <w:bottom w:val="none" w:sz="0" w:space="0" w:color="auto"/>
        <w:right w:val="none" w:sz="0" w:space="0" w:color="auto"/>
      </w:divBdr>
      <w:divsChild>
        <w:div w:id="1492990683">
          <w:marLeft w:val="0"/>
          <w:marRight w:val="0"/>
          <w:marTop w:val="0"/>
          <w:marBottom w:val="0"/>
          <w:divBdr>
            <w:top w:val="none" w:sz="0" w:space="0" w:color="auto"/>
            <w:left w:val="none" w:sz="0" w:space="0" w:color="auto"/>
            <w:bottom w:val="none" w:sz="0" w:space="0" w:color="auto"/>
            <w:right w:val="none" w:sz="0" w:space="0" w:color="auto"/>
          </w:divBdr>
          <w:divsChild>
            <w:div w:id="260840923">
              <w:marLeft w:val="0"/>
              <w:marRight w:val="0"/>
              <w:marTop w:val="105"/>
              <w:marBottom w:val="0"/>
              <w:divBdr>
                <w:top w:val="none" w:sz="0" w:space="0" w:color="auto"/>
                <w:left w:val="none" w:sz="0" w:space="0" w:color="auto"/>
                <w:bottom w:val="none" w:sz="0" w:space="0" w:color="auto"/>
                <w:right w:val="none" w:sz="0" w:space="0" w:color="auto"/>
              </w:divBdr>
            </w:div>
          </w:divsChild>
        </w:div>
        <w:div w:id="1991249114">
          <w:marLeft w:val="0"/>
          <w:marRight w:val="0"/>
          <w:marTop w:val="0"/>
          <w:marBottom w:val="0"/>
          <w:divBdr>
            <w:top w:val="none" w:sz="0" w:space="0" w:color="auto"/>
            <w:left w:val="none" w:sz="0" w:space="0" w:color="auto"/>
            <w:bottom w:val="none" w:sz="0" w:space="0" w:color="auto"/>
            <w:right w:val="none" w:sz="0" w:space="0" w:color="auto"/>
          </w:divBdr>
          <w:divsChild>
            <w:div w:id="183136537">
              <w:marLeft w:val="0"/>
              <w:marRight w:val="0"/>
              <w:marTop w:val="105"/>
              <w:marBottom w:val="0"/>
              <w:divBdr>
                <w:top w:val="none" w:sz="0" w:space="0" w:color="auto"/>
                <w:left w:val="none" w:sz="0" w:space="0" w:color="auto"/>
                <w:bottom w:val="none" w:sz="0" w:space="0" w:color="auto"/>
                <w:right w:val="none" w:sz="0" w:space="0" w:color="auto"/>
              </w:divBdr>
            </w:div>
            <w:div w:id="1995721984">
              <w:marLeft w:val="0"/>
              <w:marRight w:val="0"/>
              <w:marTop w:val="0"/>
              <w:marBottom w:val="0"/>
              <w:divBdr>
                <w:top w:val="none" w:sz="0" w:space="0" w:color="auto"/>
                <w:left w:val="none" w:sz="0" w:space="0" w:color="auto"/>
                <w:bottom w:val="none" w:sz="0" w:space="0" w:color="auto"/>
                <w:right w:val="none" w:sz="0" w:space="0" w:color="auto"/>
              </w:divBdr>
              <w:divsChild>
                <w:div w:id="1747071159">
                  <w:marLeft w:val="255"/>
                  <w:marRight w:val="0"/>
                  <w:marTop w:val="0"/>
                  <w:marBottom w:val="0"/>
                  <w:divBdr>
                    <w:top w:val="none" w:sz="0" w:space="0" w:color="auto"/>
                    <w:left w:val="none" w:sz="0" w:space="0" w:color="auto"/>
                    <w:bottom w:val="none" w:sz="0" w:space="0" w:color="auto"/>
                    <w:right w:val="none" w:sz="0" w:space="0" w:color="auto"/>
                  </w:divBdr>
                </w:div>
              </w:divsChild>
            </w:div>
            <w:div w:id="713969067">
              <w:marLeft w:val="0"/>
              <w:marRight w:val="0"/>
              <w:marTop w:val="0"/>
              <w:marBottom w:val="0"/>
              <w:divBdr>
                <w:top w:val="none" w:sz="0" w:space="0" w:color="auto"/>
                <w:left w:val="none" w:sz="0" w:space="0" w:color="auto"/>
                <w:bottom w:val="none" w:sz="0" w:space="0" w:color="auto"/>
                <w:right w:val="none" w:sz="0" w:space="0" w:color="auto"/>
              </w:divBdr>
              <w:divsChild>
                <w:div w:id="437337684">
                  <w:marLeft w:val="255"/>
                  <w:marRight w:val="0"/>
                  <w:marTop w:val="0"/>
                  <w:marBottom w:val="0"/>
                  <w:divBdr>
                    <w:top w:val="none" w:sz="0" w:space="0" w:color="auto"/>
                    <w:left w:val="none" w:sz="0" w:space="0" w:color="auto"/>
                    <w:bottom w:val="none" w:sz="0" w:space="0" w:color="auto"/>
                    <w:right w:val="none" w:sz="0" w:space="0" w:color="auto"/>
                  </w:divBdr>
                </w:div>
              </w:divsChild>
            </w:div>
            <w:div w:id="1421832747">
              <w:marLeft w:val="0"/>
              <w:marRight w:val="0"/>
              <w:marTop w:val="0"/>
              <w:marBottom w:val="0"/>
              <w:divBdr>
                <w:top w:val="none" w:sz="0" w:space="0" w:color="auto"/>
                <w:left w:val="none" w:sz="0" w:space="0" w:color="auto"/>
                <w:bottom w:val="none" w:sz="0" w:space="0" w:color="auto"/>
                <w:right w:val="none" w:sz="0" w:space="0" w:color="auto"/>
              </w:divBdr>
              <w:divsChild>
                <w:div w:id="1233852390">
                  <w:marLeft w:val="255"/>
                  <w:marRight w:val="0"/>
                  <w:marTop w:val="0"/>
                  <w:marBottom w:val="0"/>
                  <w:divBdr>
                    <w:top w:val="none" w:sz="0" w:space="0" w:color="auto"/>
                    <w:left w:val="none" w:sz="0" w:space="0" w:color="auto"/>
                    <w:bottom w:val="none" w:sz="0" w:space="0" w:color="auto"/>
                    <w:right w:val="none" w:sz="0" w:space="0" w:color="auto"/>
                  </w:divBdr>
                </w:div>
              </w:divsChild>
            </w:div>
            <w:div w:id="812403975">
              <w:marLeft w:val="0"/>
              <w:marRight w:val="0"/>
              <w:marTop w:val="0"/>
              <w:marBottom w:val="0"/>
              <w:divBdr>
                <w:top w:val="none" w:sz="0" w:space="0" w:color="auto"/>
                <w:left w:val="none" w:sz="0" w:space="0" w:color="auto"/>
                <w:bottom w:val="none" w:sz="0" w:space="0" w:color="auto"/>
                <w:right w:val="none" w:sz="0" w:space="0" w:color="auto"/>
              </w:divBdr>
              <w:divsChild>
                <w:div w:id="177895113">
                  <w:marLeft w:val="255"/>
                  <w:marRight w:val="0"/>
                  <w:marTop w:val="0"/>
                  <w:marBottom w:val="0"/>
                  <w:divBdr>
                    <w:top w:val="none" w:sz="0" w:space="0" w:color="auto"/>
                    <w:left w:val="none" w:sz="0" w:space="0" w:color="auto"/>
                    <w:bottom w:val="none" w:sz="0" w:space="0" w:color="auto"/>
                    <w:right w:val="none" w:sz="0" w:space="0" w:color="auto"/>
                  </w:divBdr>
                </w:div>
              </w:divsChild>
            </w:div>
            <w:div w:id="641882744">
              <w:marLeft w:val="0"/>
              <w:marRight w:val="0"/>
              <w:marTop w:val="0"/>
              <w:marBottom w:val="0"/>
              <w:divBdr>
                <w:top w:val="none" w:sz="0" w:space="0" w:color="auto"/>
                <w:left w:val="none" w:sz="0" w:space="0" w:color="auto"/>
                <w:bottom w:val="none" w:sz="0" w:space="0" w:color="auto"/>
                <w:right w:val="none" w:sz="0" w:space="0" w:color="auto"/>
              </w:divBdr>
              <w:divsChild>
                <w:div w:id="411585892">
                  <w:marLeft w:val="255"/>
                  <w:marRight w:val="0"/>
                  <w:marTop w:val="0"/>
                  <w:marBottom w:val="0"/>
                  <w:divBdr>
                    <w:top w:val="none" w:sz="0" w:space="0" w:color="auto"/>
                    <w:left w:val="none" w:sz="0" w:space="0" w:color="auto"/>
                    <w:bottom w:val="none" w:sz="0" w:space="0" w:color="auto"/>
                    <w:right w:val="none" w:sz="0" w:space="0" w:color="auto"/>
                  </w:divBdr>
                </w:div>
              </w:divsChild>
            </w:div>
            <w:div w:id="662010664">
              <w:marLeft w:val="0"/>
              <w:marRight w:val="0"/>
              <w:marTop w:val="0"/>
              <w:marBottom w:val="0"/>
              <w:divBdr>
                <w:top w:val="none" w:sz="0" w:space="0" w:color="auto"/>
                <w:left w:val="none" w:sz="0" w:space="0" w:color="auto"/>
                <w:bottom w:val="none" w:sz="0" w:space="0" w:color="auto"/>
                <w:right w:val="none" w:sz="0" w:space="0" w:color="auto"/>
              </w:divBdr>
              <w:divsChild>
                <w:div w:id="1272394133">
                  <w:marLeft w:val="255"/>
                  <w:marRight w:val="0"/>
                  <w:marTop w:val="0"/>
                  <w:marBottom w:val="0"/>
                  <w:divBdr>
                    <w:top w:val="none" w:sz="0" w:space="0" w:color="auto"/>
                    <w:left w:val="none" w:sz="0" w:space="0" w:color="auto"/>
                    <w:bottom w:val="none" w:sz="0" w:space="0" w:color="auto"/>
                    <w:right w:val="none" w:sz="0" w:space="0" w:color="auto"/>
                  </w:divBdr>
                </w:div>
              </w:divsChild>
            </w:div>
            <w:div w:id="122501164">
              <w:marLeft w:val="0"/>
              <w:marRight w:val="0"/>
              <w:marTop w:val="0"/>
              <w:marBottom w:val="0"/>
              <w:divBdr>
                <w:top w:val="none" w:sz="0" w:space="0" w:color="auto"/>
                <w:left w:val="none" w:sz="0" w:space="0" w:color="auto"/>
                <w:bottom w:val="none" w:sz="0" w:space="0" w:color="auto"/>
                <w:right w:val="none" w:sz="0" w:space="0" w:color="auto"/>
              </w:divBdr>
              <w:divsChild>
                <w:div w:id="17880444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099246">
          <w:marLeft w:val="0"/>
          <w:marRight w:val="0"/>
          <w:marTop w:val="0"/>
          <w:marBottom w:val="0"/>
          <w:divBdr>
            <w:top w:val="none" w:sz="0" w:space="0" w:color="auto"/>
            <w:left w:val="none" w:sz="0" w:space="0" w:color="auto"/>
            <w:bottom w:val="none" w:sz="0" w:space="0" w:color="auto"/>
            <w:right w:val="none" w:sz="0" w:space="0" w:color="auto"/>
          </w:divBdr>
          <w:divsChild>
            <w:div w:id="487093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1703479">
      <w:bodyDiv w:val="1"/>
      <w:marLeft w:val="0"/>
      <w:marRight w:val="0"/>
      <w:marTop w:val="0"/>
      <w:marBottom w:val="0"/>
      <w:divBdr>
        <w:top w:val="none" w:sz="0" w:space="0" w:color="auto"/>
        <w:left w:val="none" w:sz="0" w:space="0" w:color="auto"/>
        <w:bottom w:val="none" w:sz="0" w:space="0" w:color="auto"/>
        <w:right w:val="none" w:sz="0" w:space="0" w:color="auto"/>
      </w:divBdr>
      <w:divsChild>
        <w:div w:id="779690747">
          <w:marLeft w:val="0"/>
          <w:marRight w:val="0"/>
          <w:marTop w:val="0"/>
          <w:marBottom w:val="0"/>
          <w:divBdr>
            <w:top w:val="none" w:sz="0" w:space="0" w:color="auto"/>
            <w:left w:val="none" w:sz="0" w:space="0" w:color="auto"/>
            <w:bottom w:val="none" w:sz="0" w:space="0" w:color="auto"/>
            <w:right w:val="none" w:sz="0" w:space="0" w:color="auto"/>
          </w:divBdr>
          <w:divsChild>
            <w:div w:id="2024622887">
              <w:marLeft w:val="0"/>
              <w:marRight w:val="0"/>
              <w:marTop w:val="105"/>
              <w:marBottom w:val="0"/>
              <w:divBdr>
                <w:top w:val="none" w:sz="0" w:space="0" w:color="auto"/>
                <w:left w:val="none" w:sz="0" w:space="0" w:color="auto"/>
                <w:bottom w:val="none" w:sz="0" w:space="0" w:color="auto"/>
                <w:right w:val="none" w:sz="0" w:space="0" w:color="auto"/>
              </w:divBdr>
            </w:div>
            <w:div w:id="1635675301">
              <w:marLeft w:val="0"/>
              <w:marRight w:val="0"/>
              <w:marTop w:val="0"/>
              <w:marBottom w:val="0"/>
              <w:divBdr>
                <w:top w:val="none" w:sz="0" w:space="0" w:color="auto"/>
                <w:left w:val="none" w:sz="0" w:space="0" w:color="auto"/>
                <w:bottom w:val="none" w:sz="0" w:space="0" w:color="auto"/>
                <w:right w:val="none" w:sz="0" w:space="0" w:color="auto"/>
              </w:divBdr>
              <w:divsChild>
                <w:div w:id="620191343">
                  <w:marLeft w:val="255"/>
                  <w:marRight w:val="0"/>
                  <w:marTop w:val="0"/>
                  <w:marBottom w:val="0"/>
                  <w:divBdr>
                    <w:top w:val="none" w:sz="0" w:space="0" w:color="auto"/>
                    <w:left w:val="none" w:sz="0" w:space="0" w:color="auto"/>
                    <w:bottom w:val="none" w:sz="0" w:space="0" w:color="auto"/>
                    <w:right w:val="none" w:sz="0" w:space="0" w:color="auto"/>
                  </w:divBdr>
                </w:div>
              </w:divsChild>
            </w:div>
            <w:div w:id="1905483070">
              <w:marLeft w:val="0"/>
              <w:marRight w:val="0"/>
              <w:marTop w:val="0"/>
              <w:marBottom w:val="0"/>
              <w:divBdr>
                <w:top w:val="none" w:sz="0" w:space="0" w:color="auto"/>
                <w:left w:val="none" w:sz="0" w:space="0" w:color="auto"/>
                <w:bottom w:val="none" w:sz="0" w:space="0" w:color="auto"/>
                <w:right w:val="none" w:sz="0" w:space="0" w:color="auto"/>
              </w:divBdr>
              <w:divsChild>
                <w:div w:id="2890196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5834097">
          <w:marLeft w:val="0"/>
          <w:marRight w:val="0"/>
          <w:marTop w:val="0"/>
          <w:marBottom w:val="0"/>
          <w:divBdr>
            <w:top w:val="none" w:sz="0" w:space="0" w:color="auto"/>
            <w:left w:val="none" w:sz="0" w:space="0" w:color="auto"/>
            <w:bottom w:val="none" w:sz="0" w:space="0" w:color="auto"/>
            <w:right w:val="none" w:sz="0" w:space="0" w:color="auto"/>
          </w:divBdr>
          <w:divsChild>
            <w:div w:id="35931196">
              <w:marLeft w:val="0"/>
              <w:marRight w:val="0"/>
              <w:marTop w:val="105"/>
              <w:marBottom w:val="0"/>
              <w:divBdr>
                <w:top w:val="none" w:sz="0" w:space="0" w:color="auto"/>
                <w:left w:val="none" w:sz="0" w:space="0" w:color="auto"/>
                <w:bottom w:val="none" w:sz="0" w:space="0" w:color="auto"/>
                <w:right w:val="none" w:sz="0" w:space="0" w:color="auto"/>
              </w:divBdr>
            </w:div>
          </w:divsChild>
        </w:div>
        <w:div w:id="1912037340">
          <w:marLeft w:val="0"/>
          <w:marRight w:val="0"/>
          <w:marTop w:val="0"/>
          <w:marBottom w:val="0"/>
          <w:divBdr>
            <w:top w:val="none" w:sz="0" w:space="0" w:color="auto"/>
            <w:left w:val="none" w:sz="0" w:space="0" w:color="auto"/>
            <w:bottom w:val="none" w:sz="0" w:space="0" w:color="auto"/>
            <w:right w:val="none" w:sz="0" w:space="0" w:color="auto"/>
          </w:divBdr>
          <w:divsChild>
            <w:div w:id="175535506">
              <w:marLeft w:val="0"/>
              <w:marRight w:val="0"/>
              <w:marTop w:val="105"/>
              <w:marBottom w:val="0"/>
              <w:divBdr>
                <w:top w:val="none" w:sz="0" w:space="0" w:color="auto"/>
                <w:left w:val="none" w:sz="0" w:space="0" w:color="auto"/>
                <w:bottom w:val="none" w:sz="0" w:space="0" w:color="auto"/>
                <w:right w:val="none" w:sz="0" w:space="0" w:color="auto"/>
              </w:divBdr>
            </w:div>
            <w:div w:id="701054449">
              <w:marLeft w:val="0"/>
              <w:marRight w:val="0"/>
              <w:marTop w:val="0"/>
              <w:marBottom w:val="0"/>
              <w:divBdr>
                <w:top w:val="none" w:sz="0" w:space="0" w:color="auto"/>
                <w:left w:val="none" w:sz="0" w:space="0" w:color="auto"/>
                <w:bottom w:val="none" w:sz="0" w:space="0" w:color="auto"/>
                <w:right w:val="none" w:sz="0" w:space="0" w:color="auto"/>
              </w:divBdr>
              <w:divsChild>
                <w:div w:id="384571401">
                  <w:marLeft w:val="255"/>
                  <w:marRight w:val="0"/>
                  <w:marTop w:val="0"/>
                  <w:marBottom w:val="0"/>
                  <w:divBdr>
                    <w:top w:val="none" w:sz="0" w:space="0" w:color="auto"/>
                    <w:left w:val="none" w:sz="0" w:space="0" w:color="auto"/>
                    <w:bottom w:val="none" w:sz="0" w:space="0" w:color="auto"/>
                    <w:right w:val="none" w:sz="0" w:space="0" w:color="auto"/>
                  </w:divBdr>
                  <w:divsChild>
                    <w:div w:id="88543783">
                      <w:marLeft w:val="300"/>
                      <w:marRight w:val="0"/>
                      <w:marTop w:val="0"/>
                      <w:marBottom w:val="0"/>
                      <w:divBdr>
                        <w:top w:val="none" w:sz="0" w:space="0" w:color="auto"/>
                        <w:left w:val="none" w:sz="0" w:space="0" w:color="auto"/>
                        <w:bottom w:val="none" w:sz="0" w:space="0" w:color="auto"/>
                        <w:right w:val="none" w:sz="0" w:space="0" w:color="auto"/>
                      </w:divBdr>
                    </w:div>
                    <w:div w:id="1584532858">
                      <w:marLeft w:val="300"/>
                      <w:marRight w:val="0"/>
                      <w:marTop w:val="0"/>
                      <w:marBottom w:val="0"/>
                      <w:divBdr>
                        <w:top w:val="none" w:sz="0" w:space="0" w:color="auto"/>
                        <w:left w:val="none" w:sz="0" w:space="0" w:color="auto"/>
                        <w:bottom w:val="none" w:sz="0" w:space="0" w:color="auto"/>
                        <w:right w:val="none" w:sz="0" w:space="0" w:color="auto"/>
                      </w:divBdr>
                    </w:div>
                    <w:div w:id="2533190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5736930">
              <w:marLeft w:val="0"/>
              <w:marRight w:val="0"/>
              <w:marTop w:val="0"/>
              <w:marBottom w:val="0"/>
              <w:divBdr>
                <w:top w:val="none" w:sz="0" w:space="0" w:color="auto"/>
                <w:left w:val="none" w:sz="0" w:space="0" w:color="auto"/>
                <w:bottom w:val="none" w:sz="0" w:space="0" w:color="auto"/>
                <w:right w:val="none" w:sz="0" w:space="0" w:color="auto"/>
              </w:divBdr>
              <w:divsChild>
                <w:div w:id="1489396775">
                  <w:marLeft w:val="255"/>
                  <w:marRight w:val="0"/>
                  <w:marTop w:val="0"/>
                  <w:marBottom w:val="0"/>
                  <w:divBdr>
                    <w:top w:val="none" w:sz="0" w:space="0" w:color="auto"/>
                    <w:left w:val="none" w:sz="0" w:space="0" w:color="auto"/>
                    <w:bottom w:val="none" w:sz="0" w:space="0" w:color="auto"/>
                    <w:right w:val="none" w:sz="0" w:space="0" w:color="auto"/>
                  </w:divBdr>
                </w:div>
              </w:divsChild>
            </w:div>
            <w:div w:id="1423574306">
              <w:marLeft w:val="0"/>
              <w:marRight w:val="0"/>
              <w:marTop w:val="0"/>
              <w:marBottom w:val="0"/>
              <w:divBdr>
                <w:top w:val="none" w:sz="0" w:space="0" w:color="auto"/>
                <w:left w:val="none" w:sz="0" w:space="0" w:color="auto"/>
                <w:bottom w:val="none" w:sz="0" w:space="0" w:color="auto"/>
                <w:right w:val="none" w:sz="0" w:space="0" w:color="auto"/>
              </w:divBdr>
              <w:divsChild>
                <w:div w:id="16591096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3090427">
          <w:marLeft w:val="0"/>
          <w:marRight w:val="0"/>
          <w:marTop w:val="0"/>
          <w:marBottom w:val="0"/>
          <w:divBdr>
            <w:top w:val="none" w:sz="0" w:space="0" w:color="auto"/>
            <w:left w:val="none" w:sz="0" w:space="0" w:color="auto"/>
            <w:bottom w:val="none" w:sz="0" w:space="0" w:color="auto"/>
            <w:right w:val="none" w:sz="0" w:space="0" w:color="auto"/>
          </w:divBdr>
          <w:divsChild>
            <w:div w:id="830485623">
              <w:marLeft w:val="0"/>
              <w:marRight w:val="0"/>
              <w:marTop w:val="105"/>
              <w:marBottom w:val="0"/>
              <w:divBdr>
                <w:top w:val="none" w:sz="0" w:space="0" w:color="auto"/>
                <w:left w:val="none" w:sz="0" w:space="0" w:color="auto"/>
                <w:bottom w:val="none" w:sz="0" w:space="0" w:color="auto"/>
                <w:right w:val="none" w:sz="0" w:space="0" w:color="auto"/>
              </w:divBdr>
            </w:div>
            <w:div w:id="138426577">
              <w:marLeft w:val="0"/>
              <w:marRight w:val="0"/>
              <w:marTop w:val="0"/>
              <w:marBottom w:val="0"/>
              <w:divBdr>
                <w:top w:val="none" w:sz="0" w:space="0" w:color="auto"/>
                <w:left w:val="none" w:sz="0" w:space="0" w:color="auto"/>
                <w:bottom w:val="none" w:sz="0" w:space="0" w:color="auto"/>
                <w:right w:val="none" w:sz="0" w:space="0" w:color="auto"/>
              </w:divBdr>
              <w:divsChild>
                <w:div w:id="1206790234">
                  <w:marLeft w:val="255"/>
                  <w:marRight w:val="0"/>
                  <w:marTop w:val="0"/>
                  <w:marBottom w:val="0"/>
                  <w:divBdr>
                    <w:top w:val="none" w:sz="0" w:space="0" w:color="auto"/>
                    <w:left w:val="none" w:sz="0" w:space="0" w:color="auto"/>
                    <w:bottom w:val="none" w:sz="0" w:space="0" w:color="auto"/>
                    <w:right w:val="none" w:sz="0" w:space="0" w:color="auto"/>
                  </w:divBdr>
                </w:div>
              </w:divsChild>
            </w:div>
            <w:div w:id="1428037355">
              <w:marLeft w:val="0"/>
              <w:marRight w:val="0"/>
              <w:marTop w:val="0"/>
              <w:marBottom w:val="0"/>
              <w:divBdr>
                <w:top w:val="none" w:sz="0" w:space="0" w:color="auto"/>
                <w:left w:val="none" w:sz="0" w:space="0" w:color="auto"/>
                <w:bottom w:val="none" w:sz="0" w:space="0" w:color="auto"/>
                <w:right w:val="none" w:sz="0" w:space="0" w:color="auto"/>
              </w:divBdr>
              <w:divsChild>
                <w:div w:id="1222709581">
                  <w:marLeft w:val="255"/>
                  <w:marRight w:val="0"/>
                  <w:marTop w:val="0"/>
                  <w:marBottom w:val="0"/>
                  <w:divBdr>
                    <w:top w:val="none" w:sz="0" w:space="0" w:color="auto"/>
                    <w:left w:val="none" w:sz="0" w:space="0" w:color="auto"/>
                    <w:bottom w:val="none" w:sz="0" w:space="0" w:color="auto"/>
                    <w:right w:val="none" w:sz="0" w:space="0" w:color="auto"/>
                  </w:divBdr>
                </w:div>
              </w:divsChild>
            </w:div>
            <w:div w:id="307051613">
              <w:marLeft w:val="0"/>
              <w:marRight w:val="0"/>
              <w:marTop w:val="0"/>
              <w:marBottom w:val="0"/>
              <w:divBdr>
                <w:top w:val="none" w:sz="0" w:space="0" w:color="auto"/>
                <w:left w:val="none" w:sz="0" w:space="0" w:color="auto"/>
                <w:bottom w:val="none" w:sz="0" w:space="0" w:color="auto"/>
                <w:right w:val="none" w:sz="0" w:space="0" w:color="auto"/>
              </w:divBdr>
              <w:divsChild>
                <w:div w:id="628898066">
                  <w:marLeft w:val="255"/>
                  <w:marRight w:val="0"/>
                  <w:marTop w:val="0"/>
                  <w:marBottom w:val="0"/>
                  <w:divBdr>
                    <w:top w:val="none" w:sz="0" w:space="0" w:color="auto"/>
                    <w:left w:val="none" w:sz="0" w:space="0" w:color="auto"/>
                    <w:bottom w:val="none" w:sz="0" w:space="0" w:color="auto"/>
                    <w:right w:val="none" w:sz="0" w:space="0" w:color="auto"/>
                  </w:divBdr>
                </w:div>
              </w:divsChild>
            </w:div>
            <w:div w:id="1301575814">
              <w:marLeft w:val="0"/>
              <w:marRight w:val="0"/>
              <w:marTop w:val="0"/>
              <w:marBottom w:val="0"/>
              <w:divBdr>
                <w:top w:val="none" w:sz="0" w:space="0" w:color="auto"/>
                <w:left w:val="none" w:sz="0" w:space="0" w:color="auto"/>
                <w:bottom w:val="none" w:sz="0" w:space="0" w:color="auto"/>
                <w:right w:val="none" w:sz="0" w:space="0" w:color="auto"/>
              </w:divBdr>
              <w:divsChild>
                <w:div w:id="1495142396">
                  <w:marLeft w:val="255"/>
                  <w:marRight w:val="0"/>
                  <w:marTop w:val="0"/>
                  <w:marBottom w:val="0"/>
                  <w:divBdr>
                    <w:top w:val="none" w:sz="0" w:space="0" w:color="auto"/>
                    <w:left w:val="none" w:sz="0" w:space="0" w:color="auto"/>
                    <w:bottom w:val="none" w:sz="0" w:space="0" w:color="auto"/>
                    <w:right w:val="none" w:sz="0" w:space="0" w:color="auto"/>
                  </w:divBdr>
                </w:div>
              </w:divsChild>
            </w:div>
            <w:div w:id="1121612387">
              <w:marLeft w:val="0"/>
              <w:marRight w:val="0"/>
              <w:marTop w:val="0"/>
              <w:marBottom w:val="0"/>
              <w:divBdr>
                <w:top w:val="none" w:sz="0" w:space="0" w:color="auto"/>
                <w:left w:val="none" w:sz="0" w:space="0" w:color="auto"/>
                <w:bottom w:val="none" w:sz="0" w:space="0" w:color="auto"/>
                <w:right w:val="none" w:sz="0" w:space="0" w:color="auto"/>
              </w:divBdr>
              <w:divsChild>
                <w:div w:id="1654330458">
                  <w:marLeft w:val="255"/>
                  <w:marRight w:val="0"/>
                  <w:marTop w:val="0"/>
                  <w:marBottom w:val="0"/>
                  <w:divBdr>
                    <w:top w:val="none" w:sz="0" w:space="0" w:color="auto"/>
                    <w:left w:val="none" w:sz="0" w:space="0" w:color="auto"/>
                    <w:bottom w:val="none" w:sz="0" w:space="0" w:color="auto"/>
                    <w:right w:val="none" w:sz="0" w:space="0" w:color="auto"/>
                  </w:divBdr>
                </w:div>
              </w:divsChild>
            </w:div>
            <w:div w:id="1164859128">
              <w:marLeft w:val="0"/>
              <w:marRight w:val="0"/>
              <w:marTop w:val="0"/>
              <w:marBottom w:val="0"/>
              <w:divBdr>
                <w:top w:val="none" w:sz="0" w:space="0" w:color="auto"/>
                <w:left w:val="none" w:sz="0" w:space="0" w:color="auto"/>
                <w:bottom w:val="none" w:sz="0" w:space="0" w:color="auto"/>
                <w:right w:val="none" w:sz="0" w:space="0" w:color="auto"/>
              </w:divBdr>
              <w:divsChild>
                <w:div w:id="1848787948">
                  <w:marLeft w:val="255"/>
                  <w:marRight w:val="0"/>
                  <w:marTop w:val="0"/>
                  <w:marBottom w:val="0"/>
                  <w:divBdr>
                    <w:top w:val="none" w:sz="0" w:space="0" w:color="auto"/>
                    <w:left w:val="none" w:sz="0" w:space="0" w:color="auto"/>
                    <w:bottom w:val="none" w:sz="0" w:space="0" w:color="auto"/>
                    <w:right w:val="none" w:sz="0" w:space="0" w:color="auto"/>
                  </w:divBdr>
                </w:div>
              </w:divsChild>
            </w:div>
            <w:div w:id="1210534364">
              <w:marLeft w:val="0"/>
              <w:marRight w:val="0"/>
              <w:marTop w:val="0"/>
              <w:marBottom w:val="0"/>
              <w:divBdr>
                <w:top w:val="none" w:sz="0" w:space="0" w:color="auto"/>
                <w:left w:val="none" w:sz="0" w:space="0" w:color="auto"/>
                <w:bottom w:val="none" w:sz="0" w:space="0" w:color="auto"/>
                <w:right w:val="none" w:sz="0" w:space="0" w:color="auto"/>
              </w:divBdr>
              <w:divsChild>
                <w:div w:id="447774654">
                  <w:marLeft w:val="255"/>
                  <w:marRight w:val="0"/>
                  <w:marTop w:val="0"/>
                  <w:marBottom w:val="0"/>
                  <w:divBdr>
                    <w:top w:val="none" w:sz="0" w:space="0" w:color="auto"/>
                    <w:left w:val="none" w:sz="0" w:space="0" w:color="auto"/>
                    <w:bottom w:val="none" w:sz="0" w:space="0" w:color="auto"/>
                    <w:right w:val="none" w:sz="0" w:space="0" w:color="auto"/>
                  </w:divBdr>
                </w:div>
              </w:divsChild>
            </w:div>
            <w:div w:id="1956475675">
              <w:marLeft w:val="0"/>
              <w:marRight w:val="0"/>
              <w:marTop w:val="0"/>
              <w:marBottom w:val="0"/>
              <w:divBdr>
                <w:top w:val="none" w:sz="0" w:space="0" w:color="auto"/>
                <w:left w:val="none" w:sz="0" w:space="0" w:color="auto"/>
                <w:bottom w:val="none" w:sz="0" w:space="0" w:color="auto"/>
                <w:right w:val="none" w:sz="0" w:space="0" w:color="auto"/>
              </w:divBdr>
              <w:divsChild>
                <w:div w:id="7002824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1073769">
          <w:marLeft w:val="0"/>
          <w:marRight w:val="0"/>
          <w:marTop w:val="0"/>
          <w:marBottom w:val="0"/>
          <w:divBdr>
            <w:top w:val="none" w:sz="0" w:space="0" w:color="auto"/>
            <w:left w:val="none" w:sz="0" w:space="0" w:color="auto"/>
            <w:bottom w:val="none" w:sz="0" w:space="0" w:color="auto"/>
            <w:right w:val="none" w:sz="0" w:space="0" w:color="auto"/>
          </w:divBdr>
          <w:divsChild>
            <w:div w:id="599490109">
              <w:marLeft w:val="0"/>
              <w:marRight w:val="0"/>
              <w:marTop w:val="105"/>
              <w:marBottom w:val="0"/>
              <w:divBdr>
                <w:top w:val="none" w:sz="0" w:space="0" w:color="auto"/>
                <w:left w:val="none" w:sz="0" w:space="0" w:color="auto"/>
                <w:bottom w:val="none" w:sz="0" w:space="0" w:color="auto"/>
                <w:right w:val="none" w:sz="0" w:space="0" w:color="auto"/>
              </w:divBdr>
            </w:div>
          </w:divsChild>
        </w:div>
        <w:div w:id="1074397532">
          <w:marLeft w:val="0"/>
          <w:marRight w:val="0"/>
          <w:marTop w:val="0"/>
          <w:marBottom w:val="0"/>
          <w:divBdr>
            <w:top w:val="none" w:sz="0" w:space="0" w:color="auto"/>
            <w:left w:val="none" w:sz="0" w:space="0" w:color="auto"/>
            <w:bottom w:val="none" w:sz="0" w:space="0" w:color="auto"/>
            <w:right w:val="none" w:sz="0" w:space="0" w:color="auto"/>
          </w:divBdr>
          <w:divsChild>
            <w:div w:id="540947354">
              <w:marLeft w:val="0"/>
              <w:marRight w:val="0"/>
              <w:marTop w:val="105"/>
              <w:marBottom w:val="0"/>
              <w:divBdr>
                <w:top w:val="none" w:sz="0" w:space="0" w:color="auto"/>
                <w:left w:val="none" w:sz="0" w:space="0" w:color="auto"/>
                <w:bottom w:val="none" w:sz="0" w:space="0" w:color="auto"/>
                <w:right w:val="none" w:sz="0" w:space="0" w:color="auto"/>
              </w:divBdr>
            </w:div>
          </w:divsChild>
        </w:div>
        <w:div w:id="199436500">
          <w:marLeft w:val="0"/>
          <w:marRight w:val="0"/>
          <w:marTop w:val="0"/>
          <w:marBottom w:val="0"/>
          <w:divBdr>
            <w:top w:val="none" w:sz="0" w:space="0" w:color="auto"/>
            <w:left w:val="none" w:sz="0" w:space="0" w:color="auto"/>
            <w:bottom w:val="none" w:sz="0" w:space="0" w:color="auto"/>
            <w:right w:val="none" w:sz="0" w:space="0" w:color="auto"/>
          </w:divBdr>
          <w:divsChild>
            <w:div w:id="5925170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5195803">
      <w:bodyDiv w:val="1"/>
      <w:marLeft w:val="0"/>
      <w:marRight w:val="0"/>
      <w:marTop w:val="0"/>
      <w:marBottom w:val="0"/>
      <w:divBdr>
        <w:top w:val="none" w:sz="0" w:space="0" w:color="auto"/>
        <w:left w:val="none" w:sz="0" w:space="0" w:color="auto"/>
        <w:bottom w:val="none" w:sz="0" w:space="0" w:color="auto"/>
        <w:right w:val="none" w:sz="0" w:space="0" w:color="auto"/>
      </w:divBdr>
      <w:divsChild>
        <w:div w:id="1364282943">
          <w:marLeft w:val="0"/>
          <w:marRight w:val="0"/>
          <w:marTop w:val="0"/>
          <w:marBottom w:val="0"/>
          <w:divBdr>
            <w:top w:val="none" w:sz="0" w:space="0" w:color="auto"/>
            <w:left w:val="none" w:sz="0" w:space="0" w:color="auto"/>
            <w:bottom w:val="none" w:sz="0" w:space="0" w:color="auto"/>
            <w:right w:val="none" w:sz="0" w:space="0" w:color="auto"/>
          </w:divBdr>
          <w:divsChild>
            <w:div w:id="265890037">
              <w:marLeft w:val="0"/>
              <w:marRight w:val="0"/>
              <w:marTop w:val="105"/>
              <w:marBottom w:val="0"/>
              <w:divBdr>
                <w:top w:val="none" w:sz="0" w:space="0" w:color="auto"/>
                <w:left w:val="none" w:sz="0" w:space="0" w:color="auto"/>
                <w:bottom w:val="none" w:sz="0" w:space="0" w:color="auto"/>
                <w:right w:val="none" w:sz="0" w:space="0" w:color="auto"/>
              </w:divBdr>
            </w:div>
          </w:divsChild>
        </w:div>
        <w:div w:id="2065792272">
          <w:marLeft w:val="0"/>
          <w:marRight w:val="0"/>
          <w:marTop w:val="0"/>
          <w:marBottom w:val="0"/>
          <w:divBdr>
            <w:top w:val="none" w:sz="0" w:space="0" w:color="auto"/>
            <w:left w:val="none" w:sz="0" w:space="0" w:color="auto"/>
            <w:bottom w:val="none" w:sz="0" w:space="0" w:color="auto"/>
            <w:right w:val="none" w:sz="0" w:space="0" w:color="auto"/>
          </w:divBdr>
          <w:divsChild>
            <w:div w:id="1787890959">
              <w:marLeft w:val="0"/>
              <w:marRight w:val="0"/>
              <w:marTop w:val="105"/>
              <w:marBottom w:val="0"/>
              <w:divBdr>
                <w:top w:val="none" w:sz="0" w:space="0" w:color="auto"/>
                <w:left w:val="none" w:sz="0" w:space="0" w:color="auto"/>
                <w:bottom w:val="none" w:sz="0" w:space="0" w:color="auto"/>
                <w:right w:val="none" w:sz="0" w:space="0" w:color="auto"/>
              </w:divBdr>
            </w:div>
          </w:divsChild>
        </w:div>
        <w:div w:id="283584765">
          <w:marLeft w:val="0"/>
          <w:marRight w:val="0"/>
          <w:marTop w:val="0"/>
          <w:marBottom w:val="0"/>
          <w:divBdr>
            <w:top w:val="none" w:sz="0" w:space="0" w:color="auto"/>
            <w:left w:val="none" w:sz="0" w:space="0" w:color="auto"/>
            <w:bottom w:val="none" w:sz="0" w:space="0" w:color="auto"/>
            <w:right w:val="none" w:sz="0" w:space="0" w:color="auto"/>
          </w:divBdr>
          <w:divsChild>
            <w:div w:id="141653187">
              <w:marLeft w:val="0"/>
              <w:marRight w:val="0"/>
              <w:marTop w:val="105"/>
              <w:marBottom w:val="0"/>
              <w:divBdr>
                <w:top w:val="none" w:sz="0" w:space="0" w:color="auto"/>
                <w:left w:val="none" w:sz="0" w:space="0" w:color="auto"/>
                <w:bottom w:val="none" w:sz="0" w:space="0" w:color="auto"/>
                <w:right w:val="none" w:sz="0" w:space="0" w:color="auto"/>
              </w:divBdr>
            </w:div>
          </w:divsChild>
        </w:div>
        <w:div w:id="93944250">
          <w:marLeft w:val="0"/>
          <w:marRight w:val="0"/>
          <w:marTop w:val="0"/>
          <w:marBottom w:val="0"/>
          <w:divBdr>
            <w:top w:val="none" w:sz="0" w:space="0" w:color="auto"/>
            <w:left w:val="none" w:sz="0" w:space="0" w:color="auto"/>
            <w:bottom w:val="none" w:sz="0" w:space="0" w:color="auto"/>
            <w:right w:val="none" w:sz="0" w:space="0" w:color="auto"/>
          </w:divBdr>
          <w:divsChild>
            <w:div w:id="2170093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0489866">
      <w:bodyDiv w:val="1"/>
      <w:marLeft w:val="0"/>
      <w:marRight w:val="0"/>
      <w:marTop w:val="0"/>
      <w:marBottom w:val="0"/>
      <w:divBdr>
        <w:top w:val="none" w:sz="0" w:space="0" w:color="auto"/>
        <w:left w:val="none" w:sz="0" w:space="0" w:color="auto"/>
        <w:bottom w:val="none" w:sz="0" w:space="0" w:color="auto"/>
        <w:right w:val="none" w:sz="0" w:space="0" w:color="auto"/>
      </w:divBdr>
      <w:divsChild>
        <w:div w:id="64954632">
          <w:marLeft w:val="0"/>
          <w:marRight w:val="0"/>
          <w:marTop w:val="0"/>
          <w:marBottom w:val="0"/>
          <w:divBdr>
            <w:top w:val="none" w:sz="0" w:space="0" w:color="auto"/>
            <w:left w:val="none" w:sz="0" w:space="0" w:color="auto"/>
            <w:bottom w:val="none" w:sz="0" w:space="0" w:color="auto"/>
            <w:right w:val="none" w:sz="0" w:space="0" w:color="auto"/>
          </w:divBdr>
          <w:divsChild>
            <w:div w:id="1534657336">
              <w:marLeft w:val="0"/>
              <w:marRight w:val="0"/>
              <w:marTop w:val="105"/>
              <w:marBottom w:val="0"/>
              <w:divBdr>
                <w:top w:val="none" w:sz="0" w:space="0" w:color="auto"/>
                <w:left w:val="none" w:sz="0" w:space="0" w:color="auto"/>
                <w:bottom w:val="none" w:sz="0" w:space="0" w:color="auto"/>
                <w:right w:val="none" w:sz="0" w:space="0" w:color="auto"/>
              </w:divBdr>
            </w:div>
          </w:divsChild>
        </w:div>
        <w:div w:id="1100759401">
          <w:marLeft w:val="0"/>
          <w:marRight w:val="0"/>
          <w:marTop w:val="0"/>
          <w:marBottom w:val="0"/>
          <w:divBdr>
            <w:top w:val="none" w:sz="0" w:space="0" w:color="auto"/>
            <w:left w:val="none" w:sz="0" w:space="0" w:color="auto"/>
            <w:bottom w:val="none" w:sz="0" w:space="0" w:color="auto"/>
            <w:right w:val="none" w:sz="0" w:space="0" w:color="auto"/>
          </w:divBdr>
          <w:divsChild>
            <w:div w:id="1324511211">
              <w:marLeft w:val="0"/>
              <w:marRight w:val="0"/>
              <w:marTop w:val="105"/>
              <w:marBottom w:val="0"/>
              <w:divBdr>
                <w:top w:val="none" w:sz="0" w:space="0" w:color="auto"/>
                <w:left w:val="none" w:sz="0" w:space="0" w:color="auto"/>
                <w:bottom w:val="none" w:sz="0" w:space="0" w:color="auto"/>
                <w:right w:val="none" w:sz="0" w:space="0" w:color="auto"/>
              </w:divBdr>
            </w:div>
          </w:divsChild>
        </w:div>
        <w:div w:id="323818966">
          <w:marLeft w:val="0"/>
          <w:marRight w:val="0"/>
          <w:marTop w:val="0"/>
          <w:marBottom w:val="0"/>
          <w:divBdr>
            <w:top w:val="none" w:sz="0" w:space="0" w:color="auto"/>
            <w:left w:val="none" w:sz="0" w:space="0" w:color="auto"/>
            <w:bottom w:val="none" w:sz="0" w:space="0" w:color="auto"/>
            <w:right w:val="none" w:sz="0" w:space="0" w:color="auto"/>
          </w:divBdr>
          <w:divsChild>
            <w:div w:id="1868988033">
              <w:marLeft w:val="0"/>
              <w:marRight w:val="0"/>
              <w:marTop w:val="105"/>
              <w:marBottom w:val="0"/>
              <w:divBdr>
                <w:top w:val="none" w:sz="0" w:space="0" w:color="auto"/>
                <w:left w:val="none" w:sz="0" w:space="0" w:color="auto"/>
                <w:bottom w:val="none" w:sz="0" w:space="0" w:color="auto"/>
                <w:right w:val="none" w:sz="0" w:space="0" w:color="auto"/>
              </w:divBdr>
            </w:div>
            <w:div w:id="418675188">
              <w:marLeft w:val="0"/>
              <w:marRight w:val="0"/>
              <w:marTop w:val="0"/>
              <w:marBottom w:val="0"/>
              <w:divBdr>
                <w:top w:val="none" w:sz="0" w:space="0" w:color="auto"/>
                <w:left w:val="none" w:sz="0" w:space="0" w:color="auto"/>
                <w:bottom w:val="none" w:sz="0" w:space="0" w:color="auto"/>
                <w:right w:val="none" w:sz="0" w:space="0" w:color="auto"/>
              </w:divBdr>
              <w:divsChild>
                <w:div w:id="1257052943">
                  <w:marLeft w:val="255"/>
                  <w:marRight w:val="0"/>
                  <w:marTop w:val="0"/>
                  <w:marBottom w:val="0"/>
                  <w:divBdr>
                    <w:top w:val="none" w:sz="0" w:space="0" w:color="auto"/>
                    <w:left w:val="none" w:sz="0" w:space="0" w:color="auto"/>
                    <w:bottom w:val="none" w:sz="0" w:space="0" w:color="auto"/>
                    <w:right w:val="none" w:sz="0" w:space="0" w:color="auto"/>
                  </w:divBdr>
                </w:div>
              </w:divsChild>
            </w:div>
            <w:div w:id="1506556542">
              <w:marLeft w:val="0"/>
              <w:marRight w:val="0"/>
              <w:marTop w:val="0"/>
              <w:marBottom w:val="0"/>
              <w:divBdr>
                <w:top w:val="none" w:sz="0" w:space="0" w:color="auto"/>
                <w:left w:val="none" w:sz="0" w:space="0" w:color="auto"/>
                <w:bottom w:val="none" w:sz="0" w:space="0" w:color="auto"/>
                <w:right w:val="none" w:sz="0" w:space="0" w:color="auto"/>
              </w:divBdr>
              <w:divsChild>
                <w:div w:id="743070158">
                  <w:marLeft w:val="255"/>
                  <w:marRight w:val="0"/>
                  <w:marTop w:val="0"/>
                  <w:marBottom w:val="0"/>
                  <w:divBdr>
                    <w:top w:val="none" w:sz="0" w:space="0" w:color="auto"/>
                    <w:left w:val="none" w:sz="0" w:space="0" w:color="auto"/>
                    <w:bottom w:val="none" w:sz="0" w:space="0" w:color="auto"/>
                    <w:right w:val="none" w:sz="0" w:space="0" w:color="auto"/>
                  </w:divBdr>
                </w:div>
              </w:divsChild>
            </w:div>
            <w:div w:id="1409838526">
              <w:marLeft w:val="0"/>
              <w:marRight w:val="0"/>
              <w:marTop w:val="0"/>
              <w:marBottom w:val="0"/>
              <w:divBdr>
                <w:top w:val="none" w:sz="0" w:space="0" w:color="auto"/>
                <w:left w:val="none" w:sz="0" w:space="0" w:color="auto"/>
                <w:bottom w:val="none" w:sz="0" w:space="0" w:color="auto"/>
                <w:right w:val="none" w:sz="0" w:space="0" w:color="auto"/>
              </w:divBdr>
              <w:divsChild>
                <w:div w:id="247737970">
                  <w:marLeft w:val="255"/>
                  <w:marRight w:val="0"/>
                  <w:marTop w:val="0"/>
                  <w:marBottom w:val="0"/>
                  <w:divBdr>
                    <w:top w:val="none" w:sz="0" w:space="0" w:color="auto"/>
                    <w:left w:val="none" w:sz="0" w:space="0" w:color="auto"/>
                    <w:bottom w:val="none" w:sz="0" w:space="0" w:color="auto"/>
                    <w:right w:val="none" w:sz="0" w:space="0" w:color="auto"/>
                  </w:divBdr>
                </w:div>
              </w:divsChild>
            </w:div>
            <w:div w:id="943459759">
              <w:marLeft w:val="0"/>
              <w:marRight w:val="0"/>
              <w:marTop w:val="0"/>
              <w:marBottom w:val="0"/>
              <w:divBdr>
                <w:top w:val="none" w:sz="0" w:space="0" w:color="auto"/>
                <w:left w:val="none" w:sz="0" w:space="0" w:color="auto"/>
                <w:bottom w:val="none" w:sz="0" w:space="0" w:color="auto"/>
                <w:right w:val="none" w:sz="0" w:space="0" w:color="auto"/>
              </w:divBdr>
              <w:divsChild>
                <w:div w:id="1052001099">
                  <w:marLeft w:val="255"/>
                  <w:marRight w:val="0"/>
                  <w:marTop w:val="0"/>
                  <w:marBottom w:val="0"/>
                  <w:divBdr>
                    <w:top w:val="none" w:sz="0" w:space="0" w:color="auto"/>
                    <w:left w:val="none" w:sz="0" w:space="0" w:color="auto"/>
                    <w:bottom w:val="none" w:sz="0" w:space="0" w:color="auto"/>
                    <w:right w:val="none" w:sz="0" w:space="0" w:color="auto"/>
                  </w:divBdr>
                </w:div>
              </w:divsChild>
            </w:div>
            <w:div w:id="866219500">
              <w:marLeft w:val="0"/>
              <w:marRight w:val="0"/>
              <w:marTop w:val="0"/>
              <w:marBottom w:val="0"/>
              <w:divBdr>
                <w:top w:val="none" w:sz="0" w:space="0" w:color="auto"/>
                <w:left w:val="none" w:sz="0" w:space="0" w:color="auto"/>
                <w:bottom w:val="none" w:sz="0" w:space="0" w:color="auto"/>
                <w:right w:val="none" w:sz="0" w:space="0" w:color="auto"/>
              </w:divBdr>
              <w:divsChild>
                <w:div w:id="140580827">
                  <w:marLeft w:val="255"/>
                  <w:marRight w:val="0"/>
                  <w:marTop w:val="0"/>
                  <w:marBottom w:val="0"/>
                  <w:divBdr>
                    <w:top w:val="none" w:sz="0" w:space="0" w:color="auto"/>
                    <w:left w:val="none" w:sz="0" w:space="0" w:color="auto"/>
                    <w:bottom w:val="none" w:sz="0" w:space="0" w:color="auto"/>
                    <w:right w:val="none" w:sz="0" w:space="0" w:color="auto"/>
                  </w:divBdr>
                </w:div>
              </w:divsChild>
            </w:div>
            <w:div w:id="2082211777">
              <w:marLeft w:val="0"/>
              <w:marRight w:val="0"/>
              <w:marTop w:val="0"/>
              <w:marBottom w:val="0"/>
              <w:divBdr>
                <w:top w:val="none" w:sz="0" w:space="0" w:color="auto"/>
                <w:left w:val="none" w:sz="0" w:space="0" w:color="auto"/>
                <w:bottom w:val="none" w:sz="0" w:space="0" w:color="auto"/>
                <w:right w:val="none" w:sz="0" w:space="0" w:color="auto"/>
              </w:divBdr>
              <w:divsChild>
                <w:div w:id="46982853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09994138">
          <w:marLeft w:val="0"/>
          <w:marRight w:val="0"/>
          <w:marTop w:val="0"/>
          <w:marBottom w:val="0"/>
          <w:divBdr>
            <w:top w:val="none" w:sz="0" w:space="0" w:color="auto"/>
            <w:left w:val="none" w:sz="0" w:space="0" w:color="auto"/>
            <w:bottom w:val="none" w:sz="0" w:space="0" w:color="auto"/>
            <w:right w:val="none" w:sz="0" w:space="0" w:color="auto"/>
          </w:divBdr>
          <w:divsChild>
            <w:div w:id="1405957306">
              <w:marLeft w:val="0"/>
              <w:marRight w:val="0"/>
              <w:marTop w:val="105"/>
              <w:marBottom w:val="0"/>
              <w:divBdr>
                <w:top w:val="none" w:sz="0" w:space="0" w:color="auto"/>
                <w:left w:val="none" w:sz="0" w:space="0" w:color="auto"/>
                <w:bottom w:val="none" w:sz="0" w:space="0" w:color="auto"/>
                <w:right w:val="none" w:sz="0" w:space="0" w:color="auto"/>
              </w:divBdr>
            </w:div>
          </w:divsChild>
        </w:div>
        <w:div w:id="146752361">
          <w:marLeft w:val="0"/>
          <w:marRight w:val="0"/>
          <w:marTop w:val="0"/>
          <w:marBottom w:val="0"/>
          <w:divBdr>
            <w:top w:val="none" w:sz="0" w:space="0" w:color="auto"/>
            <w:left w:val="none" w:sz="0" w:space="0" w:color="auto"/>
            <w:bottom w:val="none" w:sz="0" w:space="0" w:color="auto"/>
            <w:right w:val="none" w:sz="0" w:space="0" w:color="auto"/>
          </w:divBdr>
          <w:divsChild>
            <w:div w:id="455150049">
              <w:marLeft w:val="0"/>
              <w:marRight w:val="0"/>
              <w:marTop w:val="105"/>
              <w:marBottom w:val="0"/>
              <w:divBdr>
                <w:top w:val="none" w:sz="0" w:space="0" w:color="auto"/>
                <w:left w:val="none" w:sz="0" w:space="0" w:color="auto"/>
                <w:bottom w:val="none" w:sz="0" w:space="0" w:color="auto"/>
                <w:right w:val="none" w:sz="0" w:space="0" w:color="auto"/>
              </w:divBdr>
            </w:div>
          </w:divsChild>
        </w:div>
        <w:div w:id="565074312">
          <w:marLeft w:val="0"/>
          <w:marRight w:val="0"/>
          <w:marTop w:val="0"/>
          <w:marBottom w:val="0"/>
          <w:divBdr>
            <w:top w:val="none" w:sz="0" w:space="0" w:color="auto"/>
            <w:left w:val="none" w:sz="0" w:space="0" w:color="auto"/>
            <w:bottom w:val="none" w:sz="0" w:space="0" w:color="auto"/>
            <w:right w:val="none" w:sz="0" w:space="0" w:color="auto"/>
          </w:divBdr>
          <w:divsChild>
            <w:div w:id="895552797">
              <w:marLeft w:val="0"/>
              <w:marRight w:val="0"/>
              <w:marTop w:val="105"/>
              <w:marBottom w:val="0"/>
              <w:divBdr>
                <w:top w:val="none" w:sz="0" w:space="0" w:color="auto"/>
                <w:left w:val="none" w:sz="0" w:space="0" w:color="auto"/>
                <w:bottom w:val="none" w:sz="0" w:space="0" w:color="auto"/>
                <w:right w:val="none" w:sz="0" w:space="0" w:color="auto"/>
              </w:divBdr>
            </w:div>
          </w:divsChild>
        </w:div>
        <w:div w:id="1424958409">
          <w:marLeft w:val="0"/>
          <w:marRight w:val="0"/>
          <w:marTop w:val="0"/>
          <w:marBottom w:val="0"/>
          <w:divBdr>
            <w:top w:val="none" w:sz="0" w:space="0" w:color="auto"/>
            <w:left w:val="none" w:sz="0" w:space="0" w:color="auto"/>
            <w:bottom w:val="none" w:sz="0" w:space="0" w:color="auto"/>
            <w:right w:val="none" w:sz="0" w:space="0" w:color="auto"/>
          </w:divBdr>
          <w:divsChild>
            <w:div w:id="15339563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1145145">
      <w:bodyDiv w:val="1"/>
      <w:marLeft w:val="0"/>
      <w:marRight w:val="0"/>
      <w:marTop w:val="0"/>
      <w:marBottom w:val="0"/>
      <w:divBdr>
        <w:top w:val="none" w:sz="0" w:space="0" w:color="auto"/>
        <w:left w:val="none" w:sz="0" w:space="0" w:color="auto"/>
        <w:bottom w:val="none" w:sz="0" w:space="0" w:color="auto"/>
        <w:right w:val="none" w:sz="0" w:space="0" w:color="auto"/>
      </w:divBdr>
      <w:divsChild>
        <w:div w:id="1268809668">
          <w:marLeft w:val="0"/>
          <w:marRight w:val="0"/>
          <w:marTop w:val="0"/>
          <w:marBottom w:val="0"/>
          <w:divBdr>
            <w:top w:val="none" w:sz="0" w:space="0" w:color="auto"/>
            <w:left w:val="none" w:sz="0" w:space="0" w:color="auto"/>
            <w:bottom w:val="none" w:sz="0" w:space="0" w:color="auto"/>
            <w:right w:val="none" w:sz="0" w:space="0" w:color="auto"/>
          </w:divBdr>
          <w:divsChild>
            <w:div w:id="408431975">
              <w:marLeft w:val="0"/>
              <w:marRight w:val="0"/>
              <w:marTop w:val="105"/>
              <w:marBottom w:val="0"/>
              <w:divBdr>
                <w:top w:val="none" w:sz="0" w:space="0" w:color="auto"/>
                <w:left w:val="none" w:sz="0" w:space="0" w:color="auto"/>
                <w:bottom w:val="none" w:sz="0" w:space="0" w:color="auto"/>
                <w:right w:val="none" w:sz="0" w:space="0" w:color="auto"/>
              </w:divBdr>
            </w:div>
          </w:divsChild>
        </w:div>
        <w:div w:id="471022602">
          <w:marLeft w:val="0"/>
          <w:marRight w:val="0"/>
          <w:marTop w:val="0"/>
          <w:marBottom w:val="0"/>
          <w:divBdr>
            <w:top w:val="none" w:sz="0" w:space="0" w:color="auto"/>
            <w:left w:val="none" w:sz="0" w:space="0" w:color="auto"/>
            <w:bottom w:val="none" w:sz="0" w:space="0" w:color="auto"/>
            <w:right w:val="none" w:sz="0" w:space="0" w:color="auto"/>
          </w:divBdr>
          <w:divsChild>
            <w:div w:id="653029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7763435">
      <w:bodyDiv w:val="1"/>
      <w:marLeft w:val="0"/>
      <w:marRight w:val="0"/>
      <w:marTop w:val="0"/>
      <w:marBottom w:val="0"/>
      <w:divBdr>
        <w:top w:val="none" w:sz="0" w:space="0" w:color="auto"/>
        <w:left w:val="none" w:sz="0" w:space="0" w:color="auto"/>
        <w:bottom w:val="none" w:sz="0" w:space="0" w:color="auto"/>
        <w:right w:val="none" w:sz="0" w:space="0" w:color="auto"/>
      </w:divBdr>
      <w:divsChild>
        <w:div w:id="1898927550">
          <w:marLeft w:val="0"/>
          <w:marRight w:val="0"/>
          <w:marTop w:val="0"/>
          <w:marBottom w:val="0"/>
          <w:divBdr>
            <w:top w:val="none" w:sz="0" w:space="0" w:color="auto"/>
            <w:left w:val="none" w:sz="0" w:space="0" w:color="auto"/>
            <w:bottom w:val="none" w:sz="0" w:space="0" w:color="auto"/>
            <w:right w:val="none" w:sz="0" w:space="0" w:color="auto"/>
          </w:divBdr>
          <w:divsChild>
            <w:div w:id="16350820">
              <w:marLeft w:val="0"/>
              <w:marRight w:val="0"/>
              <w:marTop w:val="105"/>
              <w:marBottom w:val="0"/>
              <w:divBdr>
                <w:top w:val="none" w:sz="0" w:space="0" w:color="auto"/>
                <w:left w:val="none" w:sz="0" w:space="0" w:color="auto"/>
                <w:bottom w:val="none" w:sz="0" w:space="0" w:color="auto"/>
                <w:right w:val="none" w:sz="0" w:space="0" w:color="auto"/>
              </w:divBdr>
            </w:div>
            <w:div w:id="1571966411">
              <w:marLeft w:val="0"/>
              <w:marRight w:val="0"/>
              <w:marTop w:val="0"/>
              <w:marBottom w:val="0"/>
              <w:divBdr>
                <w:top w:val="none" w:sz="0" w:space="0" w:color="auto"/>
                <w:left w:val="none" w:sz="0" w:space="0" w:color="auto"/>
                <w:bottom w:val="none" w:sz="0" w:space="0" w:color="auto"/>
                <w:right w:val="none" w:sz="0" w:space="0" w:color="auto"/>
              </w:divBdr>
              <w:divsChild>
                <w:div w:id="1645043471">
                  <w:marLeft w:val="255"/>
                  <w:marRight w:val="0"/>
                  <w:marTop w:val="0"/>
                  <w:marBottom w:val="0"/>
                  <w:divBdr>
                    <w:top w:val="none" w:sz="0" w:space="0" w:color="auto"/>
                    <w:left w:val="none" w:sz="0" w:space="0" w:color="auto"/>
                    <w:bottom w:val="none" w:sz="0" w:space="0" w:color="auto"/>
                    <w:right w:val="none" w:sz="0" w:space="0" w:color="auto"/>
                  </w:divBdr>
                </w:div>
              </w:divsChild>
            </w:div>
            <w:div w:id="1384867760">
              <w:marLeft w:val="0"/>
              <w:marRight w:val="0"/>
              <w:marTop w:val="0"/>
              <w:marBottom w:val="0"/>
              <w:divBdr>
                <w:top w:val="none" w:sz="0" w:space="0" w:color="auto"/>
                <w:left w:val="none" w:sz="0" w:space="0" w:color="auto"/>
                <w:bottom w:val="none" w:sz="0" w:space="0" w:color="auto"/>
                <w:right w:val="none" w:sz="0" w:space="0" w:color="auto"/>
              </w:divBdr>
              <w:divsChild>
                <w:div w:id="1189577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32201806">
          <w:marLeft w:val="0"/>
          <w:marRight w:val="0"/>
          <w:marTop w:val="0"/>
          <w:marBottom w:val="0"/>
          <w:divBdr>
            <w:top w:val="none" w:sz="0" w:space="0" w:color="auto"/>
            <w:left w:val="none" w:sz="0" w:space="0" w:color="auto"/>
            <w:bottom w:val="none" w:sz="0" w:space="0" w:color="auto"/>
            <w:right w:val="none" w:sz="0" w:space="0" w:color="auto"/>
          </w:divBdr>
          <w:divsChild>
            <w:div w:id="2110734555">
              <w:marLeft w:val="0"/>
              <w:marRight w:val="0"/>
              <w:marTop w:val="105"/>
              <w:marBottom w:val="0"/>
              <w:divBdr>
                <w:top w:val="none" w:sz="0" w:space="0" w:color="auto"/>
                <w:left w:val="none" w:sz="0" w:space="0" w:color="auto"/>
                <w:bottom w:val="none" w:sz="0" w:space="0" w:color="auto"/>
                <w:right w:val="none" w:sz="0" w:space="0" w:color="auto"/>
              </w:divBdr>
            </w:div>
          </w:divsChild>
        </w:div>
        <w:div w:id="353961236">
          <w:marLeft w:val="0"/>
          <w:marRight w:val="0"/>
          <w:marTop w:val="0"/>
          <w:marBottom w:val="0"/>
          <w:divBdr>
            <w:top w:val="none" w:sz="0" w:space="0" w:color="auto"/>
            <w:left w:val="none" w:sz="0" w:space="0" w:color="auto"/>
            <w:bottom w:val="none" w:sz="0" w:space="0" w:color="auto"/>
            <w:right w:val="none" w:sz="0" w:space="0" w:color="auto"/>
          </w:divBdr>
          <w:divsChild>
            <w:div w:id="1363214613">
              <w:marLeft w:val="0"/>
              <w:marRight w:val="0"/>
              <w:marTop w:val="105"/>
              <w:marBottom w:val="0"/>
              <w:divBdr>
                <w:top w:val="none" w:sz="0" w:space="0" w:color="auto"/>
                <w:left w:val="none" w:sz="0" w:space="0" w:color="auto"/>
                <w:bottom w:val="none" w:sz="0" w:space="0" w:color="auto"/>
                <w:right w:val="none" w:sz="0" w:space="0" w:color="auto"/>
              </w:divBdr>
            </w:div>
          </w:divsChild>
        </w:div>
        <w:div w:id="1760757460">
          <w:marLeft w:val="0"/>
          <w:marRight w:val="0"/>
          <w:marTop w:val="0"/>
          <w:marBottom w:val="0"/>
          <w:divBdr>
            <w:top w:val="none" w:sz="0" w:space="0" w:color="auto"/>
            <w:left w:val="none" w:sz="0" w:space="0" w:color="auto"/>
            <w:bottom w:val="none" w:sz="0" w:space="0" w:color="auto"/>
            <w:right w:val="none" w:sz="0" w:space="0" w:color="auto"/>
          </w:divBdr>
          <w:divsChild>
            <w:div w:id="15926600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3321051">
      <w:bodyDiv w:val="1"/>
      <w:marLeft w:val="0"/>
      <w:marRight w:val="0"/>
      <w:marTop w:val="0"/>
      <w:marBottom w:val="0"/>
      <w:divBdr>
        <w:top w:val="none" w:sz="0" w:space="0" w:color="auto"/>
        <w:left w:val="none" w:sz="0" w:space="0" w:color="auto"/>
        <w:bottom w:val="none" w:sz="0" w:space="0" w:color="auto"/>
        <w:right w:val="none" w:sz="0" w:space="0" w:color="auto"/>
      </w:divBdr>
      <w:divsChild>
        <w:div w:id="463699133">
          <w:marLeft w:val="0"/>
          <w:marRight w:val="0"/>
          <w:marTop w:val="0"/>
          <w:marBottom w:val="0"/>
          <w:divBdr>
            <w:top w:val="none" w:sz="0" w:space="0" w:color="auto"/>
            <w:left w:val="none" w:sz="0" w:space="0" w:color="auto"/>
            <w:bottom w:val="none" w:sz="0" w:space="0" w:color="auto"/>
            <w:right w:val="none" w:sz="0" w:space="0" w:color="auto"/>
          </w:divBdr>
          <w:divsChild>
            <w:div w:id="1151020619">
              <w:marLeft w:val="0"/>
              <w:marRight w:val="0"/>
              <w:marTop w:val="105"/>
              <w:marBottom w:val="0"/>
              <w:divBdr>
                <w:top w:val="none" w:sz="0" w:space="0" w:color="auto"/>
                <w:left w:val="none" w:sz="0" w:space="0" w:color="auto"/>
                <w:bottom w:val="none" w:sz="0" w:space="0" w:color="auto"/>
                <w:right w:val="none" w:sz="0" w:space="0" w:color="auto"/>
              </w:divBdr>
            </w:div>
          </w:divsChild>
        </w:div>
        <w:div w:id="264122078">
          <w:marLeft w:val="0"/>
          <w:marRight w:val="0"/>
          <w:marTop w:val="0"/>
          <w:marBottom w:val="0"/>
          <w:divBdr>
            <w:top w:val="none" w:sz="0" w:space="0" w:color="auto"/>
            <w:left w:val="none" w:sz="0" w:space="0" w:color="auto"/>
            <w:bottom w:val="none" w:sz="0" w:space="0" w:color="auto"/>
            <w:right w:val="none" w:sz="0" w:space="0" w:color="auto"/>
          </w:divBdr>
          <w:divsChild>
            <w:div w:id="234240561">
              <w:marLeft w:val="0"/>
              <w:marRight w:val="0"/>
              <w:marTop w:val="105"/>
              <w:marBottom w:val="0"/>
              <w:divBdr>
                <w:top w:val="none" w:sz="0" w:space="0" w:color="auto"/>
                <w:left w:val="none" w:sz="0" w:space="0" w:color="auto"/>
                <w:bottom w:val="none" w:sz="0" w:space="0" w:color="auto"/>
                <w:right w:val="none" w:sz="0" w:space="0" w:color="auto"/>
              </w:divBdr>
            </w:div>
          </w:divsChild>
        </w:div>
        <w:div w:id="1362391823">
          <w:marLeft w:val="0"/>
          <w:marRight w:val="0"/>
          <w:marTop w:val="0"/>
          <w:marBottom w:val="0"/>
          <w:divBdr>
            <w:top w:val="none" w:sz="0" w:space="0" w:color="auto"/>
            <w:left w:val="none" w:sz="0" w:space="0" w:color="auto"/>
            <w:bottom w:val="none" w:sz="0" w:space="0" w:color="auto"/>
            <w:right w:val="none" w:sz="0" w:space="0" w:color="auto"/>
          </w:divBdr>
          <w:divsChild>
            <w:div w:id="282076351">
              <w:marLeft w:val="0"/>
              <w:marRight w:val="0"/>
              <w:marTop w:val="105"/>
              <w:marBottom w:val="0"/>
              <w:divBdr>
                <w:top w:val="none" w:sz="0" w:space="0" w:color="auto"/>
                <w:left w:val="none" w:sz="0" w:space="0" w:color="auto"/>
                <w:bottom w:val="none" w:sz="0" w:space="0" w:color="auto"/>
                <w:right w:val="none" w:sz="0" w:space="0" w:color="auto"/>
              </w:divBdr>
            </w:div>
          </w:divsChild>
        </w:div>
        <w:div w:id="586309456">
          <w:marLeft w:val="0"/>
          <w:marRight w:val="0"/>
          <w:marTop w:val="0"/>
          <w:marBottom w:val="0"/>
          <w:divBdr>
            <w:top w:val="none" w:sz="0" w:space="0" w:color="auto"/>
            <w:left w:val="none" w:sz="0" w:space="0" w:color="auto"/>
            <w:bottom w:val="none" w:sz="0" w:space="0" w:color="auto"/>
            <w:right w:val="none" w:sz="0" w:space="0" w:color="auto"/>
          </w:divBdr>
          <w:divsChild>
            <w:div w:id="1069229396">
              <w:marLeft w:val="0"/>
              <w:marRight w:val="0"/>
              <w:marTop w:val="105"/>
              <w:marBottom w:val="0"/>
              <w:divBdr>
                <w:top w:val="none" w:sz="0" w:space="0" w:color="auto"/>
                <w:left w:val="none" w:sz="0" w:space="0" w:color="auto"/>
                <w:bottom w:val="none" w:sz="0" w:space="0" w:color="auto"/>
                <w:right w:val="none" w:sz="0" w:space="0" w:color="auto"/>
              </w:divBdr>
            </w:div>
          </w:divsChild>
        </w:div>
        <w:div w:id="433938754">
          <w:marLeft w:val="0"/>
          <w:marRight w:val="0"/>
          <w:marTop w:val="0"/>
          <w:marBottom w:val="0"/>
          <w:divBdr>
            <w:top w:val="none" w:sz="0" w:space="0" w:color="auto"/>
            <w:left w:val="none" w:sz="0" w:space="0" w:color="auto"/>
            <w:bottom w:val="none" w:sz="0" w:space="0" w:color="auto"/>
            <w:right w:val="none" w:sz="0" w:space="0" w:color="auto"/>
          </w:divBdr>
          <w:divsChild>
            <w:div w:id="835222876">
              <w:marLeft w:val="0"/>
              <w:marRight w:val="0"/>
              <w:marTop w:val="105"/>
              <w:marBottom w:val="0"/>
              <w:divBdr>
                <w:top w:val="none" w:sz="0" w:space="0" w:color="auto"/>
                <w:left w:val="none" w:sz="0" w:space="0" w:color="auto"/>
                <w:bottom w:val="none" w:sz="0" w:space="0" w:color="auto"/>
                <w:right w:val="none" w:sz="0" w:space="0" w:color="auto"/>
              </w:divBdr>
            </w:div>
            <w:div w:id="1743944817">
              <w:marLeft w:val="0"/>
              <w:marRight w:val="0"/>
              <w:marTop w:val="0"/>
              <w:marBottom w:val="0"/>
              <w:divBdr>
                <w:top w:val="none" w:sz="0" w:space="0" w:color="auto"/>
                <w:left w:val="none" w:sz="0" w:space="0" w:color="auto"/>
                <w:bottom w:val="none" w:sz="0" w:space="0" w:color="auto"/>
                <w:right w:val="none" w:sz="0" w:space="0" w:color="auto"/>
              </w:divBdr>
              <w:divsChild>
                <w:div w:id="1459297525">
                  <w:marLeft w:val="255"/>
                  <w:marRight w:val="0"/>
                  <w:marTop w:val="0"/>
                  <w:marBottom w:val="0"/>
                  <w:divBdr>
                    <w:top w:val="none" w:sz="0" w:space="0" w:color="auto"/>
                    <w:left w:val="none" w:sz="0" w:space="0" w:color="auto"/>
                    <w:bottom w:val="none" w:sz="0" w:space="0" w:color="auto"/>
                    <w:right w:val="none" w:sz="0" w:space="0" w:color="auto"/>
                  </w:divBdr>
                </w:div>
              </w:divsChild>
            </w:div>
            <w:div w:id="263849114">
              <w:marLeft w:val="0"/>
              <w:marRight w:val="0"/>
              <w:marTop w:val="0"/>
              <w:marBottom w:val="0"/>
              <w:divBdr>
                <w:top w:val="none" w:sz="0" w:space="0" w:color="auto"/>
                <w:left w:val="none" w:sz="0" w:space="0" w:color="auto"/>
                <w:bottom w:val="none" w:sz="0" w:space="0" w:color="auto"/>
                <w:right w:val="none" w:sz="0" w:space="0" w:color="auto"/>
              </w:divBdr>
              <w:divsChild>
                <w:div w:id="7571685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62827426">
          <w:marLeft w:val="0"/>
          <w:marRight w:val="0"/>
          <w:marTop w:val="0"/>
          <w:marBottom w:val="0"/>
          <w:divBdr>
            <w:top w:val="none" w:sz="0" w:space="0" w:color="auto"/>
            <w:left w:val="none" w:sz="0" w:space="0" w:color="auto"/>
            <w:bottom w:val="none" w:sz="0" w:space="0" w:color="auto"/>
            <w:right w:val="none" w:sz="0" w:space="0" w:color="auto"/>
          </w:divBdr>
          <w:divsChild>
            <w:div w:id="1176723995">
              <w:marLeft w:val="0"/>
              <w:marRight w:val="0"/>
              <w:marTop w:val="105"/>
              <w:marBottom w:val="0"/>
              <w:divBdr>
                <w:top w:val="none" w:sz="0" w:space="0" w:color="auto"/>
                <w:left w:val="none" w:sz="0" w:space="0" w:color="auto"/>
                <w:bottom w:val="none" w:sz="0" w:space="0" w:color="auto"/>
                <w:right w:val="none" w:sz="0" w:space="0" w:color="auto"/>
              </w:divBdr>
            </w:div>
          </w:divsChild>
        </w:div>
        <w:div w:id="1948152416">
          <w:marLeft w:val="0"/>
          <w:marRight w:val="0"/>
          <w:marTop w:val="0"/>
          <w:marBottom w:val="0"/>
          <w:divBdr>
            <w:top w:val="none" w:sz="0" w:space="0" w:color="auto"/>
            <w:left w:val="none" w:sz="0" w:space="0" w:color="auto"/>
            <w:bottom w:val="none" w:sz="0" w:space="0" w:color="auto"/>
            <w:right w:val="none" w:sz="0" w:space="0" w:color="auto"/>
          </w:divBdr>
          <w:divsChild>
            <w:div w:id="447629120">
              <w:marLeft w:val="0"/>
              <w:marRight w:val="0"/>
              <w:marTop w:val="105"/>
              <w:marBottom w:val="0"/>
              <w:divBdr>
                <w:top w:val="none" w:sz="0" w:space="0" w:color="auto"/>
                <w:left w:val="none" w:sz="0" w:space="0" w:color="auto"/>
                <w:bottom w:val="none" w:sz="0" w:space="0" w:color="auto"/>
                <w:right w:val="none" w:sz="0" w:space="0" w:color="auto"/>
              </w:divBdr>
            </w:div>
          </w:divsChild>
        </w:div>
        <w:div w:id="1897547580">
          <w:marLeft w:val="0"/>
          <w:marRight w:val="0"/>
          <w:marTop w:val="0"/>
          <w:marBottom w:val="0"/>
          <w:divBdr>
            <w:top w:val="none" w:sz="0" w:space="0" w:color="auto"/>
            <w:left w:val="none" w:sz="0" w:space="0" w:color="auto"/>
            <w:bottom w:val="none" w:sz="0" w:space="0" w:color="auto"/>
            <w:right w:val="none" w:sz="0" w:space="0" w:color="auto"/>
          </w:divBdr>
          <w:divsChild>
            <w:div w:id="1868517072">
              <w:marLeft w:val="0"/>
              <w:marRight w:val="0"/>
              <w:marTop w:val="105"/>
              <w:marBottom w:val="0"/>
              <w:divBdr>
                <w:top w:val="none" w:sz="0" w:space="0" w:color="auto"/>
                <w:left w:val="none" w:sz="0" w:space="0" w:color="auto"/>
                <w:bottom w:val="none" w:sz="0" w:space="0" w:color="auto"/>
                <w:right w:val="none" w:sz="0" w:space="0" w:color="auto"/>
              </w:divBdr>
            </w:div>
            <w:div w:id="1579442942">
              <w:marLeft w:val="0"/>
              <w:marRight w:val="0"/>
              <w:marTop w:val="0"/>
              <w:marBottom w:val="0"/>
              <w:divBdr>
                <w:top w:val="none" w:sz="0" w:space="0" w:color="auto"/>
                <w:left w:val="none" w:sz="0" w:space="0" w:color="auto"/>
                <w:bottom w:val="none" w:sz="0" w:space="0" w:color="auto"/>
                <w:right w:val="none" w:sz="0" w:space="0" w:color="auto"/>
              </w:divBdr>
              <w:divsChild>
                <w:div w:id="470484498">
                  <w:marLeft w:val="255"/>
                  <w:marRight w:val="0"/>
                  <w:marTop w:val="0"/>
                  <w:marBottom w:val="0"/>
                  <w:divBdr>
                    <w:top w:val="none" w:sz="0" w:space="0" w:color="auto"/>
                    <w:left w:val="none" w:sz="0" w:space="0" w:color="auto"/>
                    <w:bottom w:val="none" w:sz="0" w:space="0" w:color="auto"/>
                    <w:right w:val="none" w:sz="0" w:space="0" w:color="auto"/>
                  </w:divBdr>
                </w:div>
              </w:divsChild>
            </w:div>
            <w:div w:id="59906565">
              <w:marLeft w:val="0"/>
              <w:marRight w:val="0"/>
              <w:marTop w:val="0"/>
              <w:marBottom w:val="0"/>
              <w:divBdr>
                <w:top w:val="none" w:sz="0" w:space="0" w:color="auto"/>
                <w:left w:val="none" w:sz="0" w:space="0" w:color="auto"/>
                <w:bottom w:val="none" w:sz="0" w:space="0" w:color="auto"/>
                <w:right w:val="none" w:sz="0" w:space="0" w:color="auto"/>
              </w:divBdr>
              <w:divsChild>
                <w:div w:id="1583442931">
                  <w:marLeft w:val="255"/>
                  <w:marRight w:val="0"/>
                  <w:marTop w:val="0"/>
                  <w:marBottom w:val="0"/>
                  <w:divBdr>
                    <w:top w:val="none" w:sz="0" w:space="0" w:color="auto"/>
                    <w:left w:val="none" w:sz="0" w:space="0" w:color="auto"/>
                    <w:bottom w:val="none" w:sz="0" w:space="0" w:color="auto"/>
                    <w:right w:val="none" w:sz="0" w:space="0" w:color="auto"/>
                  </w:divBdr>
                </w:div>
              </w:divsChild>
            </w:div>
            <w:div w:id="1045563156">
              <w:marLeft w:val="0"/>
              <w:marRight w:val="0"/>
              <w:marTop w:val="0"/>
              <w:marBottom w:val="0"/>
              <w:divBdr>
                <w:top w:val="none" w:sz="0" w:space="0" w:color="auto"/>
                <w:left w:val="none" w:sz="0" w:space="0" w:color="auto"/>
                <w:bottom w:val="none" w:sz="0" w:space="0" w:color="auto"/>
                <w:right w:val="none" w:sz="0" w:space="0" w:color="auto"/>
              </w:divBdr>
              <w:divsChild>
                <w:div w:id="1155023598">
                  <w:marLeft w:val="255"/>
                  <w:marRight w:val="0"/>
                  <w:marTop w:val="0"/>
                  <w:marBottom w:val="0"/>
                  <w:divBdr>
                    <w:top w:val="none" w:sz="0" w:space="0" w:color="auto"/>
                    <w:left w:val="none" w:sz="0" w:space="0" w:color="auto"/>
                    <w:bottom w:val="none" w:sz="0" w:space="0" w:color="auto"/>
                    <w:right w:val="none" w:sz="0" w:space="0" w:color="auto"/>
                  </w:divBdr>
                </w:div>
              </w:divsChild>
            </w:div>
            <w:div w:id="1715233725">
              <w:marLeft w:val="0"/>
              <w:marRight w:val="0"/>
              <w:marTop w:val="0"/>
              <w:marBottom w:val="0"/>
              <w:divBdr>
                <w:top w:val="none" w:sz="0" w:space="0" w:color="auto"/>
                <w:left w:val="none" w:sz="0" w:space="0" w:color="auto"/>
                <w:bottom w:val="none" w:sz="0" w:space="0" w:color="auto"/>
                <w:right w:val="none" w:sz="0" w:space="0" w:color="auto"/>
              </w:divBdr>
              <w:divsChild>
                <w:div w:id="398215386">
                  <w:marLeft w:val="255"/>
                  <w:marRight w:val="0"/>
                  <w:marTop w:val="0"/>
                  <w:marBottom w:val="0"/>
                  <w:divBdr>
                    <w:top w:val="none" w:sz="0" w:space="0" w:color="auto"/>
                    <w:left w:val="none" w:sz="0" w:space="0" w:color="auto"/>
                    <w:bottom w:val="none" w:sz="0" w:space="0" w:color="auto"/>
                    <w:right w:val="none" w:sz="0" w:space="0" w:color="auto"/>
                  </w:divBdr>
                </w:div>
              </w:divsChild>
            </w:div>
            <w:div w:id="1273632412">
              <w:marLeft w:val="0"/>
              <w:marRight w:val="0"/>
              <w:marTop w:val="0"/>
              <w:marBottom w:val="0"/>
              <w:divBdr>
                <w:top w:val="none" w:sz="0" w:space="0" w:color="auto"/>
                <w:left w:val="none" w:sz="0" w:space="0" w:color="auto"/>
                <w:bottom w:val="none" w:sz="0" w:space="0" w:color="auto"/>
                <w:right w:val="none" w:sz="0" w:space="0" w:color="auto"/>
              </w:divBdr>
              <w:divsChild>
                <w:div w:id="1859932057">
                  <w:marLeft w:val="255"/>
                  <w:marRight w:val="0"/>
                  <w:marTop w:val="0"/>
                  <w:marBottom w:val="0"/>
                  <w:divBdr>
                    <w:top w:val="none" w:sz="0" w:space="0" w:color="auto"/>
                    <w:left w:val="none" w:sz="0" w:space="0" w:color="auto"/>
                    <w:bottom w:val="none" w:sz="0" w:space="0" w:color="auto"/>
                    <w:right w:val="none" w:sz="0" w:space="0" w:color="auto"/>
                  </w:divBdr>
                </w:div>
              </w:divsChild>
            </w:div>
            <w:div w:id="1592474034">
              <w:marLeft w:val="0"/>
              <w:marRight w:val="0"/>
              <w:marTop w:val="0"/>
              <w:marBottom w:val="0"/>
              <w:divBdr>
                <w:top w:val="none" w:sz="0" w:space="0" w:color="auto"/>
                <w:left w:val="none" w:sz="0" w:space="0" w:color="auto"/>
                <w:bottom w:val="none" w:sz="0" w:space="0" w:color="auto"/>
                <w:right w:val="none" w:sz="0" w:space="0" w:color="auto"/>
              </w:divBdr>
              <w:divsChild>
                <w:div w:id="1691443179">
                  <w:marLeft w:val="255"/>
                  <w:marRight w:val="0"/>
                  <w:marTop w:val="0"/>
                  <w:marBottom w:val="0"/>
                  <w:divBdr>
                    <w:top w:val="none" w:sz="0" w:space="0" w:color="auto"/>
                    <w:left w:val="none" w:sz="0" w:space="0" w:color="auto"/>
                    <w:bottom w:val="none" w:sz="0" w:space="0" w:color="auto"/>
                    <w:right w:val="none" w:sz="0" w:space="0" w:color="auto"/>
                  </w:divBdr>
                </w:div>
              </w:divsChild>
            </w:div>
            <w:div w:id="1088505551">
              <w:marLeft w:val="0"/>
              <w:marRight w:val="0"/>
              <w:marTop w:val="0"/>
              <w:marBottom w:val="0"/>
              <w:divBdr>
                <w:top w:val="none" w:sz="0" w:space="0" w:color="auto"/>
                <w:left w:val="none" w:sz="0" w:space="0" w:color="auto"/>
                <w:bottom w:val="none" w:sz="0" w:space="0" w:color="auto"/>
                <w:right w:val="none" w:sz="0" w:space="0" w:color="auto"/>
              </w:divBdr>
              <w:divsChild>
                <w:div w:id="2112621090">
                  <w:marLeft w:val="255"/>
                  <w:marRight w:val="0"/>
                  <w:marTop w:val="0"/>
                  <w:marBottom w:val="0"/>
                  <w:divBdr>
                    <w:top w:val="none" w:sz="0" w:space="0" w:color="auto"/>
                    <w:left w:val="none" w:sz="0" w:space="0" w:color="auto"/>
                    <w:bottom w:val="none" w:sz="0" w:space="0" w:color="auto"/>
                    <w:right w:val="none" w:sz="0" w:space="0" w:color="auto"/>
                  </w:divBdr>
                </w:div>
              </w:divsChild>
            </w:div>
            <w:div w:id="863638902">
              <w:marLeft w:val="0"/>
              <w:marRight w:val="0"/>
              <w:marTop w:val="0"/>
              <w:marBottom w:val="0"/>
              <w:divBdr>
                <w:top w:val="none" w:sz="0" w:space="0" w:color="auto"/>
                <w:left w:val="none" w:sz="0" w:space="0" w:color="auto"/>
                <w:bottom w:val="none" w:sz="0" w:space="0" w:color="auto"/>
                <w:right w:val="none" w:sz="0" w:space="0" w:color="auto"/>
              </w:divBdr>
              <w:divsChild>
                <w:div w:id="3368077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0473518">
          <w:marLeft w:val="0"/>
          <w:marRight w:val="0"/>
          <w:marTop w:val="0"/>
          <w:marBottom w:val="0"/>
          <w:divBdr>
            <w:top w:val="none" w:sz="0" w:space="0" w:color="auto"/>
            <w:left w:val="none" w:sz="0" w:space="0" w:color="auto"/>
            <w:bottom w:val="none" w:sz="0" w:space="0" w:color="auto"/>
            <w:right w:val="none" w:sz="0" w:space="0" w:color="auto"/>
          </w:divBdr>
          <w:divsChild>
            <w:div w:id="2006275788">
              <w:marLeft w:val="0"/>
              <w:marRight w:val="0"/>
              <w:marTop w:val="105"/>
              <w:marBottom w:val="0"/>
              <w:divBdr>
                <w:top w:val="none" w:sz="0" w:space="0" w:color="auto"/>
                <w:left w:val="none" w:sz="0" w:space="0" w:color="auto"/>
                <w:bottom w:val="none" w:sz="0" w:space="0" w:color="auto"/>
                <w:right w:val="none" w:sz="0" w:space="0" w:color="auto"/>
              </w:divBdr>
            </w:div>
          </w:divsChild>
        </w:div>
        <w:div w:id="1096637794">
          <w:marLeft w:val="0"/>
          <w:marRight w:val="0"/>
          <w:marTop w:val="0"/>
          <w:marBottom w:val="0"/>
          <w:divBdr>
            <w:top w:val="none" w:sz="0" w:space="0" w:color="auto"/>
            <w:left w:val="none" w:sz="0" w:space="0" w:color="auto"/>
            <w:bottom w:val="none" w:sz="0" w:space="0" w:color="auto"/>
            <w:right w:val="none" w:sz="0" w:space="0" w:color="auto"/>
          </w:divBdr>
          <w:divsChild>
            <w:div w:id="1449156463">
              <w:marLeft w:val="0"/>
              <w:marRight w:val="0"/>
              <w:marTop w:val="105"/>
              <w:marBottom w:val="0"/>
              <w:divBdr>
                <w:top w:val="none" w:sz="0" w:space="0" w:color="auto"/>
                <w:left w:val="none" w:sz="0" w:space="0" w:color="auto"/>
                <w:bottom w:val="none" w:sz="0" w:space="0" w:color="auto"/>
                <w:right w:val="none" w:sz="0" w:space="0" w:color="auto"/>
              </w:divBdr>
            </w:div>
          </w:divsChild>
        </w:div>
        <w:div w:id="140081509">
          <w:marLeft w:val="0"/>
          <w:marRight w:val="0"/>
          <w:marTop w:val="0"/>
          <w:marBottom w:val="0"/>
          <w:divBdr>
            <w:top w:val="none" w:sz="0" w:space="0" w:color="auto"/>
            <w:left w:val="none" w:sz="0" w:space="0" w:color="auto"/>
            <w:bottom w:val="none" w:sz="0" w:space="0" w:color="auto"/>
            <w:right w:val="none" w:sz="0" w:space="0" w:color="auto"/>
          </w:divBdr>
          <w:divsChild>
            <w:div w:id="186144360">
              <w:marLeft w:val="0"/>
              <w:marRight w:val="0"/>
              <w:marTop w:val="105"/>
              <w:marBottom w:val="0"/>
              <w:divBdr>
                <w:top w:val="none" w:sz="0" w:space="0" w:color="auto"/>
                <w:left w:val="none" w:sz="0" w:space="0" w:color="auto"/>
                <w:bottom w:val="none" w:sz="0" w:space="0" w:color="auto"/>
                <w:right w:val="none" w:sz="0" w:space="0" w:color="auto"/>
              </w:divBdr>
            </w:div>
          </w:divsChild>
        </w:div>
        <w:div w:id="618799825">
          <w:marLeft w:val="0"/>
          <w:marRight w:val="0"/>
          <w:marTop w:val="0"/>
          <w:marBottom w:val="0"/>
          <w:divBdr>
            <w:top w:val="none" w:sz="0" w:space="0" w:color="auto"/>
            <w:left w:val="none" w:sz="0" w:space="0" w:color="auto"/>
            <w:bottom w:val="none" w:sz="0" w:space="0" w:color="auto"/>
            <w:right w:val="none" w:sz="0" w:space="0" w:color="auto"/>
          </w:divBdr>
          <w:divsChild>
            <w:div w:id="1315376884">
              <w:marLeft w:val="0"/>
              <w:marRight w:val="0"/>
              <w:marTop w:val="105"/>
              <w:marBottom w:val="0"/>
              <w:divBdr>
                <w:top w:val="none" w:sz="0" w:space="0" w:color="auto"/>
                <w:left w:val="none" w:sz="0" w:space="0" w:color="auto"/>
                <w:bottom w:val="none" w:sz="0" w:space="0" w:color="auto"/>
                <w:right w:val="none" w:sz="0" w:space="0" w:color="auto"/>
              </w:divBdr>
            </w:div>
          </w:divsChild>
        </w:div>
        <w:div w:id="135343851">
          <w:marLeft w:val="0"/>
          <w:marRight w:val="0"/>
          <w:marTop w:val="0"/>
          <w:marBottom w:val="0"/>
          <w:divBdr>
            <w:top w:val="none" w:sz="0" w:space="0" w:color="auto"/>
            <w:left w:val="none" w:sz="0" w:space="0" w:color="auto"/>
            <w:bottom w:val="none" w:sz="0" w:space="0" w:color="auto"/>
            <w:right w:val="none" w:sz="0" w:space="0" w:color="auto"/>
          </w:divBdr>
          <w:divsChild>
            <w:div w:id="8552688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3675445">
      <w:bodyDiv w:val="1"/>
      <w:marLeft w:val="0"/>
      <w:marRight w:val="0"/>
      <w:marTop w:val="0"/>
      <w:marBottom w:val="0"/>
      <w:divBdr>
        <w:top w:val="none" w:sz="0" w:space="0" w:color="auto"/>
        <w:left w:val="none" w:sz="0" w:space="0" w:color="auto"/>
        <w:bottom w:val="none" w:sz="0" w:space="0" w:color="auto"/>
        <w:right w:val="none" w:sz="0" w:space="0" w:color="auto"/>
      </w:divBdr>
      <w:divsChild>
        <w:div w:id="1973948404">
          <w:marLeft w:val="0"/>
          <w:marRight w:val="0"/>
          <w:marTop w:val="0"/>
          <w:marBottom w:val="0"/>
          <w:divBdr>
            <w:top w:val="none" w:sz="0" w:space="0" w:color="auto"/>
            <w:left w:val="none" w:sz="0" w:space="0" w:color="auto"/>
            <w:bottom w:val="none" w:sz="0" w:space="0" w:color="auto"/>
            <w:right w:val="none" w:sz="0" w:space="0" w:color="auto"/>
          </w:divBdr>
          <w:divsChild>
            <w:div w:id="678779941">
              <w:marLeft w:val="0"/>
              <w:marRight w:val="0"/>
              <w:marTop w:val="105"/>
              <w:marBottom w:val="0"/>
              <w:divBdr>
                <w:top w:val="none" w:sz="0" w:space="0" w:color="auto"/>
                <w:left w:val="none" w:sz="0" w:space="0" w:color="auto"/>
                <w:bottom w:val="none" w:sz="0" w:space="0" w:color="auto"/>
                <w:right w:val="none" w:sz="0" w:space="0" w:color="auto"/>
              </w:divBdr>
            </w:div>
            <w:div w:id="108357611">
              <w:marLeft w:val="0"/>
              <w:marRight w:val="0"/>
              <w:marTop w:val="0"/>
              <w:marBottom w:val="0"/>
              <w:divBdr>
                <w:top w:val="none" w:sz="0" w:space="0" w:color="auto"/>
                <w:left w:val="none" w:sz="0" w:space="0" w:color="auto"/>
                <w:bottom w:val="none" w:sz="0" w:space="0" w:color="auto"/>
                <w:right w:val="none" w:sz="0" w:space="0" w:color="auto"/>
              </w:divBdr>
              <w:divsChild>
                <w:div w:id="143476471">
                  <w:marLeft w:val="255"/>
                  <w:marRight w:val="0"/>
                  <w:marTop w:val="0"/>
                  <w:marBottom w:val="0"/>
                  <w:divBdr>
                    <w:top w:val="none" w:sz="0" w:space="0" w:color="auto"/>
                    <w:left w:val="none" w:sz="0" w:space="0" w:color="auto"/>
                    <w:bottom w:val="none" w:sz="0" w:space="0" w:color="auto"/>
                    <w:right w:val="none" w:sz="0" w:space="0" w:color="auto"/>
                  </w:divBdr>
                </w:div>
              </w:divsChild>
            </w:div>
            <w:div w:id="2037191147">
              <w:marLeft w:val="0"/>
              <w:marRight w:val="0"/>
              <w:marTop w:val="0"/>
              <w:marBottom w:val="0"/>
              <w:divBdr>
                <w:top w:val="none" w:sz="0" w:space="0" w:color="auto"/>
                <w:left w:val="none" w:sz="0" w:space="0" w:color="auto"/>
                <w:bottom w:val="none" w:sz="0" w:space="0" w:color="auto"/>
                <w:right w:val="none" w:sz="0" w:space="0" w:color="auto"/>
              </w:divBdr>
              <w:divsChild>
                <w:div w:id="9456493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24739891">
          <w:marLeft w:val="0"/>
          <w:marRight w:val="0"/>
          <w:marTop w:val="0"/>
          <w:marBottom w:val="0"/>
          <w:divBdr>
            <w:top w:val="none" w:sz="0" w:space="0" w:color="auto"/>
            <w:left w:val="none" w:sz="0" w:space="0" w:color="auto"/>
            <w:bottom w:val="none" w:sz="0" w:space="0" w:color="auto"/>
            <w:right w:val="none" w:sz="0" w:space="0" w:color="auto"/>
          </w:divBdr>
          <w:divsChild>
            <w:div w:id="136920028">
              <w:marLeft w:val="0"/>
              <w:marRight w:val="0"/>
              <w:marTop w:val="105"/>
              <w:marBottom w:val="0"/>
              <w:divBdr>
                <w:top w:val="none" w:sz="0" w:space="0" w:color="auto"/>
                <w:left w:val="none" w:sz="0" w:space="0" w:color="auto"/>
                <w:bottom w:val="none" w:sz="0" w:space="0" w:color="auto"/>
                <w:right w:val="none" w:sz="0" w:space="0" w:color="auto"/>
              </w:divBdr>
            </w:div>
          </w:divsChild>
        </w:div>
        <w:div w:id="379860255">
          <w:marLeft w:val="0"/>
          <w:marRight w:val="0"/>
          <w:marTop w:val="0"/>
          <w:marBottom w:val="0"/>
          <w:divBdr>
            <w:top w:val="none" w:sz="0" w:space="0" w:color="auto"/>
            <w:left w:val="none" w:sz="0" w:space="0" w:color="auto"/>
            <w:bottom w:val="none" w:sz="0" w:space="0" w:color="auto"/>
            <w:right w:val="none" w:sz="0" w:space="0" w:color="auto"/>
          </w:divBdr>
          <w:divsChild>
            <w:div w:id="1885213394">
              <w:marLeft w:val="0"/>
              <w:marRight w:val="0"/>
              <w:marTop w:val="105"/>
              <w:marBottom w:val="0"/>
              <w:divBdr>
                <w:top w:val="none" w:sz="0" w:space="0" w:color="auto"/>
                <w:left w:val="none" w:sz="0" w:space="0" w:color="auto"/>
                <w:bottom w:val="none" w:sz="0" w:space="0" w:color="auto"/>
                <w:right w:val="none" w:sz="0" w:space="0" w:color="auto"/>
              </w:divBdr>
            </w:div>
          </w:divsChild>
        </w:div>
        <w:div w:id="924649731">
          <w:marLeft w:val="0"/>
          <w:marRight w:val="0"/>
          <w:marTop w:val="0"/>
          <w:marBottom w:val="0"/>
          <w:divBdr>
            <w:top w:val="none" w:sz="0" w:space="0" w:color="auto"/>
            <w:left w:val="none" w:sz="0" w:space="0" w:color="auto"/>
            <w:bottom w:val="none" w:sz="0" w:space="0" w:color="auto"/>
            <w:right w:val="none" w:sz="0" w:space="0" w:color="auto"/>
          </w:divBdr>
          <w:divsChild>
            <w:div w:id="2048949171">
              <w:marLeft w:val="0"/>
              <w:marRight w:val="0"/>
              <w:marTop w:val="105"/>
              <w:marBottom w:val="0"/>
              <w:divBdr>
                <w:top w:val="none" w:sz="0" w:space="0" w:color="auto"/>
                <w:left w:val="none" w:sz="0" w:space="0" w:color="auto"/>
                <w:bottom w:val="none" w:sz="0" w:space="0" w:color="auto"/>
                <w:right w:val="none" w:sz="0" w:space="0" w:color="auto"/>
              </w:divBdr>
            </w:div>
          </w:divsChild>
        </w:div>
        <w:div w:id="1208370601">
          <w:marLeft w:val="0"/>
          <w:marRight w:val="0"/>
          <w:marTop w:val="0"/>
          <w:marBottom w:val="0"/>
          <w:divBdr>
            <w:top w:val="none" w:sz="0" w:space="0" w:color="auto"/>
            <w:left w:val="none" w:sz="0" w:space="0" w:color="auto"/>
            <w:bottom w:val="none" w:sz="0" w:space="0" w:color="auto"/>
            <w:right w:val="none" w:sz="0" w:space="0" w:color="auto"/>
          </w:divBdr>
          <w:divsChild>
            <w:div w:id="11795446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764377">
      <w:bodyDiv w:val="1"/>
      <w:marLeft w:val="0"/>
      <w:marRight w:val="0"/>
      <w:marTop w:val="0"/>
      <w:marBottom w:val="0"/>
      <w:divBdr>
        <w:top w:val="none" w:sz="0" w:space="0" w:color="auto"/>
        <w:left w:val="none" w:sz="0" w:space="0" w:color="auto"/>
        <w:bottom w:val="none" w:sz="0" w:space="0" w:color="auto"/>
        <w:right w:val="none" w:sz="0" w:space="0" w:color="auto"/>
      </w:divBdr>
      <w:divsChild>
        <w:div w:id="646059551">
          <w:marLeft w:val="0"/>
          <w:marRight w:val="0"/>
          <w:marTop w:val="0"/>
          <w:marBottom w:val="0"/>
          <w:divBdr>
            <w:top w:val="none" w:sz="0" w:space="0" w:color="auto"/>
            <w:left w:val="none" w:sz="0" w:space="0" w:color="auto"/>
            <w:bottom w:val="none" w:sz="0" w:space="0" w:color="auto"/>
            <w:right w:val="none" w:sz="0" w:space="0" w:color="auto"/>
          </w:divBdr>
          <w:divsChild>
            <w:div w:id="763188514">
              <w:marLeft w:val="0"/>
              <w:marRight w:val="0"/>
              <w:marTop w:val="105"/>
              <w:marBottom w:val="0"/>
              <w:divBdr>
                <w:top w:val="none" w:sz="0" w:space="0" w:color="auto"/>
                <w:left w:val="none" w:sz="0" w:space="0" w:color="auto"/>
                <w:bottom w:val="none" w:sz="0" w:space="0" w:color="auto"/>
                <w:right w:val="none" w:sz="0" w:space="0" w:color="auto"/>
              </w:divBdr>
            </w:div>
          </w:divsChild>
        </w:div>
        <w:div w:id="1084451030">
          <w:marLeft w:val="0"/>
          <w:marRight w:val="0"/>
          <w:marTop w:val="0"/>
          <w:marBottom w:val="0"/>
          <w:divBdr>
            <w:top w:val="none" w:sz="0" w:space="0" w:color="auto"/>
            <w:left w:val="none" w:sz="0" w:space="0" w:color="auto"/>
            <w:bottom w:val="none" w:sz="0" w:space="0" w:color="auto"/>
            <w:right w:val="none" w:sz="0" w:space="0" w:color="auto"/>
          </w:divBdr>
          <w:divsChild>
            <w:div w:id="1049955874">
              <w:marLeft w:val="0"/>
              <w:marRight w:val="0"/>
              <w:marTop w:val="105"/>
              <w:marBottom w:val="0"/>
              <w:divBdr>
                <w:top w:val="none" w:sz="0" w:space="0" w:color="auto"/>
                <w:left w:val="none" w:sz="0" w:space="0" w:color="auto"/>
                <w:bottom w:val="none" w:sz="0" w:space="0" w:color="auto"/>
                <w:right w:val="none" w:sz="0" w:space="0" w:color="auto"/>
              </w:divBdr>
            </w:div>
          </w:divsChild>
        </w:div>
        <w:div w:id="1315797995">
          <w:marLeft w:val="0"/>
          <w:marRight w:val="0"/>
          <w:marTop w:val="0"/>
          <w:marBottom w:val="0"/>
          <w:divBdr>
            <w:top w:val="none" w:sz="0" w:space="0" w:color="auto"/>
            <w:left w:val="none" w:sz="0" w:space="0" w:color="auto"/>
            <w:bottom w:val="none" w:sz="0" w:space="0" w:color="auto"/>
            <w:right w:val="none" w:sz="0" w:space="0" w:color="auto"/>
          </w:divBdr>
          <w:divsChild>
            <w:div w:id="73211402">
              <w:marLeft w:val="0"/>
              <w:marRight w:val="0"/>
              <w:marTop w:val="105"/>
              <w:marBottom w:val="0"/>
              <w:divBdr>
                <w:top w:val="none" w:sz="0" w:space="0" w:color="auto"/>
                <w:left w:val="none" w:sz="0" w:space="0" w:color="auto"/>
                <w:bottom w:val="none" w:sz="0" w:space="0" w:color="auto"/>
                <w:right w:val="none" w:sz="0" w:space="0" w:color="auto"/>
              </w:divBdr>
            </w:div>
            <w:div w:id="95369631">
              <w:marLeft w:val="0"/>
              <w:marRight w:val="0"/>
              <w:marTop w:val="0"/>
              <w:marBottom w:val="0"/>
              <w:divBdr>
                <w:top w:val="none" w:sz="0" w:space="0" w:color="auto"/>
                <w:left w:val="none" w:sz="0" w:space="0" w:color="auto"/>
                <w:bottom w:val="none" w:sz="0" w:space="0" w:color="auto"/>
                <w:right w:val="none" w:sz="0" w:space="0" w:color="auto"/>
              </w:divBdr>
              <w:divsChild>
                <w:div w:id="1686982328">
                  <w:marLeft w:val="255"/>
                  <w:marRight w:val="0"/>
                  <w:marTop w:val="0"/>
                  <w:marBottom w:val="0"/>
                  <w:divBdr>
                    <w:top w:val="none" w:sz="0" w:space="0" w:color="auto"/>
                    <w:left w:val="none" w:sz="0" w:space="0" w:color="auto"/>
                    <w:bottom w:val="none" w:sz="0" w:space="0" w:color="auto"/>
                    <w:right w:val="none" w:sz="0" w:space="0" w:color="auto"/>
                  </w:divBdr>
                </w:div>
              </w:divsChild>
            </w:div>
            <w:div w:id="1966234576">
              <w:marLeft w:val="0"/>
              <w:marRight w:val="0"/>
              <w:marTop w:val="0"/>
              <w:marBottom w:val="0"/>
              <w:divBdr>
                <w:top w:val="none" w:sz="0" w:space="0" w:color="auto"/>
                <w:left w:val="none" w:sz="0" w:space="0" w:color="auto"/>
                <w:bottom w:val="none" w:sz="0" w:space="0" w:color="auto"/>
                <w:right w:val="none" w:sz="0" w:space="0" w:color="auto"/>
              </w:divBdr>
              <w:divsChild>
                <w:div w:id="332103572">
                  <w:marLeft w:val="255"/>
                  <w:marRight w:val="0"/>
                  <w:marTop w:val="0"/>
                  <w:marBottom w:val="0"/>
                  <w:divBdr>
                    <w:top w:val="none" w:sz="0" w:space="0" w:color="auto"/>
                    <w:left w:val="none" w:sz="0" w:space="0" w:color="auto"/>
                    <w:bottom w:val="none" w:sz="0" w:space="0" w:color="auto"/>
                    <w:right w:val="none" w:sz="0" w:space="0" w:color="auto"/>
                  </w:divBdr>
                </w:div>
              </w:divsChild>
            </w:div>
            <w:div w:id="12608892">
              <w:marLeft w:val="0"/>
              <w:marRight w:val="0"/>
              <w:marTop w:val="0"/>
              <w:marBottom w:val="0"/>
              <w:divBdr>
                <w:top w:val="none" w:sz="0" w:space="0" w:color="auto"/>
                <w:left w:val="none" w:sz="0" w:space="0" w:color="auto"/>
                <w:bottom w:val="none" w:sz="0" w:space="0" w:color="auto"/>
                <w:right w:val="none" w:sz="0" w:space="0" w:color="auto"/>
              </w:divBdr>
              <w:divsChild>
                <w:div w:id="1707753787">
                  <w:marLeft w:val="255"/>
                  <w:marRight w:val="0"/>
                  <w:marTop w:val="0"/>
                  <w:marBottom w:val="0"/>
                  <w:divBdr>
                    <w:top w:val="none" w:sz="0" w:space="0" w:color="auto"/>
                    <w:left w:val="none" w:sz="0" w:space="0" w:color="auto"/>
                    <w:bottom w:val="none" w:sz="0" w:space="0" w:color="auto"/>
                    <w:right w:val="none" w:sz="0" w:space="0" w:color="auto"/>
                  </w:divBdr>
                </w:div>
              </w:divsChild>
            </w:div>
            <w:div w:id="946931044">
              <w:marLeft w:val="0"/>
              <w:marRight w:val="0"/>
              <w:marTop w:val="0"/>
              <w:marBottom w:val="0"/>
              <w:divBdr>
                <w:top w:val="none" w:sz="0" w:space="0" w:color="auto"/>
                <w:left w:val="none" w:sz="0" w:space="0" w:color="auto"/>
                <w:bottom w:val="none" w:sz="0" w:space="0" w:color="auto"/>
                <w:right w:val="none" w:sz="0" w:space="0" w:color="auto"/>
              </w:divBdr>
              <w:divsChild>
                <w:div w:id="16975341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9074110">
          <w:marLeft w:val="0"/>
          <w:marRight w:val="0"/>
          <w:marTop w:val="0"/>
          <w:marBottom w:val="0"/>
          <w:divBdr>
            <w:top w:val="none" w:sz="0" w:space="0" w:color="auto"/>
            <w:left w:val="none" w:sz="0" w:space="0" w:color="auto"/>
            <w:bottom w:val="none" w:sz="0" w:space="0" w:color="auto"/>
            <w:right w:val="none" w:sz="0" w:space="0" w:color="auto"/>
          </w:divBdr>
          <w:divsChild>
            <w:div w:id="4125575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8924021">
      <w:bodyDiv w:val="1"/>
      <w:marLeft w:val="0"/>
      <w:marRight w:val="0"/>
      <w:marTop w:val="0"/>
      <w:marBottom w:val="0"/>
      <w:divBdr>
        <w:top w:val="none" w:sz="0" w:space="0" w:color="auto"/>
        <w:left w:val="none" w:sz="0" w:space="0" w:color="auto"/>
        <w:bottom w:val="none" w:sz="0" w:space="0" w:color="auto"/>
        <w:right w:val="none" w:sz="0" w:space="0" w:color="auto"/>
      </w:divBdr>
      <w:divsChild>
        <w:div w:id="1795126565">
          <w:marLeft w:val="0"/>
          <w:marRight w:val="0"/>
          <w:marTop w:val="0"/>
          <w:marBottom w:val="0"/>
          <w:divBdr>
            <w:top w:val="none" w:sz="0" w:space="0" w:color="auto"/>
            <w:left w:val="none" w:sz="0" w:space="0" w:color="auto"/>
            <w:bottom w:val="none" w:sz="0" w:space="0" w:color="auto"/>
            <w:right w:val="none" w:sz="0" w:space="0" w:color="auto"/>
          </w:divBdr>
          <w:divsChild>
            <w:div w:id="972062421">
              <w:marLeft w:val="0"/>
              <w:marRight w:val="0"/>
              <w:marTop w:val="105"/>
              <w:marBottom w:val="0"/>
              <w:divBdr>
                <w:top w:val="none" w:sz="0" w:space="0" w:color="auto"/>
                <w:left w:val="none" w:sz="0" w:space="0" w:color="auto"/>
                <w:bottom w:val="none" w:sz="0" w:space="0" w:color="auto"/>
                <w:right w:val="none" w:sz="0" w:space="0" w:color="auto"/>
              </w:divBdr>
            </w:div>
          </w:divsChild>
        </w:div>
        <w:div w:id="1995528945">
          <w:marLeft w:val="0"/>
          <w:marRight w:val="0"/>
          <w:marTop w:val="0"/>
          <w:marBottom w:val="0"/>
          <w:divBdr>
            <w:top w:val="none" w:sz="0" w:space="0" w:color="auto"/>
            <w:left w:val="none" w:sz="0" w:space="0" w:color="auto"/>
            <w:bottom w:val="none" w:sz="0" w:space="0" w:color="auto"/>
            <w:right w:val="none" w:sz="0" w:space="0" w:color="auto"/>
          </w:divBdr>
          <w:divsChild>
            <w:div w:id="1190073672">
              <w:marLeft w:val="0"/>
              <w:marRight w:val="0"/>
              <w:marTop w:val="105"/>
              <w:marBottom w:val="0"/>
              <w:divBdr>
                <w:top w:val="none" w:sz="0" w:space="0" w:color="auto"/>
                <w:left w:val="none" w:sz="0" w:space="0" w:color="auto"/>
                <w:bottom w:val="none" w:sz="0" w:space="0" w:color="auto"/>
                <w:right w:val="none" w:sz="0" w:space="0" w:color="auto"/>
              </w:divBdr>
            </w:div>
            <w:div w:id="110590993">
              <w:marLeft w:val="0"/>
              <w:marRight w:val="0"/>
              <w:marTop w:val="0"/>
              <w:marBottom w:val="0"/>
              <w:divBdr>
                <w:top w:val="none" w:sz="0" w:space="0" w:color="auto"/>
                <w:left w:val="none" w:sz="0" w:space="0" w:color="auto"/>
                <w:bottom w:val="none" w:sz="0" w:space="0" w:color="auto"/>
                <w:right w:val="none" w:sz="0" w:space="0" w:color="auto"/>
              </w:divBdr>
              <w:divsChild>
                <w:div w:id="1868133014">
                  <w:marLeft w:val="255"/>
                  <w:marRight w:val="0"/>
                  <w:marTop w:val="0"/>
                  <w:marBottom w:val="0"/>
                  <w:divBdr>
                    <w:top w:val="none" w:sz="0" w:space="0" w:color="auto"/>
                    <w:left w:val="none" w:sz="0" w:space="0" w:color="auto"/>
                    <w:bottom w:val="none" w:sz="0" w:space="0" w:color="auto"/>
                    <w:right w:val="none" w:sz="0" w:space="0" w:color="auto"/>
                  </w:divBdr>
                </w:div>
              </w:divsChild>
            </w:div>
            <w:div w:id="2085763324">
              <w:marLeft w:val="0"/>
              <w:marRight w:val="0"/>
              <w:marTop w:val="0"/>
              <w:marBottom w:val="0"/>
              <w:divBdr>
                <w:top w:val="none" w:sz="0" w:space="0" w:color="auto"/>
                <w:left w:val="none" w:sz="0" w:space="0" w:color="auto"/>
                <w:bottom w:val="none" w:sz="0" w:space="0" w:color="auto"/>
                <w:right w:val="none" w:sz="0" w:space="0" w:color="auto"/>
              </w:divBdr>
              <w:divsChild>
                <w:div w:id="1406760591">
                  <w:marLeft w:val="255"/>
                  <w:marRight w:val="0"/>
                  <w:marTop w:val="0"/>
                  <w:marBottom w:val="0"/>
                  <w:divBdr>
                    <w:top w:val="none" w:sz="0" w:space="0" w:color="auto"/>
                    <w:left w:val="none" w:sz="0" w:space="0" w:color="auto"/>
                    <w:bottom w:val="none" w:sz="0" w:space="0" w:color="auto"/>
                    <w:right w:val="none" w:sz="0" w:space="0" w:color="auto"/>
                  </w:divBdr>
                </w:div>
              </w:divsChild>
            </w:div>
            <w:div w:id="561790026">
              <w:marLeft w:val="0"/>
              <w:marRight w:val="0"/>
              <w:marTop w:val="0"/>
              <w:marBottom w:val="0"/>
              <w:divBdr>
                <w:top w:val="none" w:sz="0" w:space="0" w:color="auto"/>
                <w:left w:val="none" w:sz="0" w:space="0" w:color="auto"/>
                <w:bottom w:val="none" w:sz="0" w:space="0" w:color="auto"/>
                <w:right w:val="none" w:sz="0" w:space="0" w:color="auto"/>
              </w:divBdr>
              <w:divsChild>
                <w:div w:id="6007962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534316">
          <w:marLeft w:val="0"/>
          <w:marRight w:val="0"/>
          <w:marTop w:val="0"/>
          <w:marBottom w:val="0"/>
          <w:divBdr>
            <w:top w:val="none" w:sz="0" w:space="0" w:color="auto"/>
            <w:left w:val="none" w:sz="0" w:space="0" w:color="auto"/>
            <w:bottom w:val="none" w:sz="0" w:space="0" w:color="auto"/>
            <w:right w:val="none" w:sz="0" w:space="0" w:color="auto"/>
          </w:divBdr>
          <w:divsChild>
            <w:div w:id="17528934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5374342">
      <w:bodyDiv w:val="1"/>
      <w:marLeft w:val="0"/>
      <w:marRight w:val="0"/>
      <w:marTop w:val="0"/>
      <w:marBottom w:val="0"/>
      <w:divBdr>
        <w:top w:val="none" w:sz="0" w:space="0" w:color="auto"/>
        <w:left w:val="none" w:sz="0" w:space="0" w:color="auto"/>
        <w:bottom w:val="none" w:sz="0" w:space="0" w:color="auto"/>
        <w:right w:val="none" w:sz="0" w:space="0" w:color="auto"/>
      </w:divBdr>
      <w:divsChild>
        <w:div w:id="1138183579">
          <w:marLeft w:val="0"/>
          <w:marRight w:val="0"/>
          <w:marTop w:val="0"/>
          <w:marBottom w:val="0"/>
          <w:divBdr>
            <w:top w:val="none" w:sz="0" w:space="0" w:color="auto"/>
            <w:left w:val="none" w:sz="0" w:space="0" w:color="auto"/>
            <w:bottom w:val="none" w:sz="0" w:space="0" w:color="auto"/>
            <w:right w:val="none" w:sz="0" w:space="0" w:color="auto"/>
          </w:divBdr>
          <w:divsChild>
            <w:div w:id="603079713">
              <w:marLeft w:val="0"/>
              <w:marRight w:val="0"/>
              <w:marTop w:val="105"/>
              <w:marBottom w:val="0"/>
              <w:divBdr>
                <w:top w:val="none" w:sz="0" w:space="0" w:color="auto"/>
                <w:left w:val="none" w:sz="0" w:space="0" w:color="auto"/>
                <w:bottom w:val="none" w:sz="0" w:space="0" w:color="auto"/>
                <w:right w:val="none" w:sz="0" w:space="0" w:color="auto"/>
              </w:divBdr>
            </w:div>
          </w:divsChild>
        </w:div>
        <w:div w:id="2121412985">
          <w:marLeft w:val="0"/>
          <w:marRight w:val="0"/>
          <w:marTop w:val="0"/>
          <w:marBottom w:val="0"/>
          <w:divBdr>
            <w:top w:val="none" w:sz="0" w:space="0" w:color="auto"/>
            <w:left w:val="none" w:sz="0" w:space="0" w:color="auto"/>
            <w:bottom w:val="none" w:sz="0" w:space="0" w:color="auto"/>
            <w:right w:val="none" w:sz="0" w:space="0" w:color="auto"/>
          </w:divBdr>
          <w:divsChild>
            <w:div w:id="15425974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7415498">
      <w:bodyDiv w:val="1"/>
      <w:marLeft w:val="0"/>
      <w:marRight w:val="0"/>
      <w:marTop w:val="0"/>
      <w:marBottom w:val="0"/>
      <w:divBdr>
        <w:top w:val="none" w:sz="0" w:space="0" w:color="auto"/>
        <w:left w:val="none" w:sz="0" w:space="0" w:color="auto"/>
        <w:bottom w:val="none" w:sz="0" w:space="0" w:color="auto"/>
        <w:right w:val="none" w:sz="0" w:space="0" w:color="auto"/>
      </w:divBdr>
      <w:divsChild>
        <w:div w:id="912660558">
          <w:marLeft w:val="0"/>
          <w:marRight w:val="0"/>
          <w:marTop w:val="0"/>
          <w:marBottom w:val="0"/>
          <w:divBdr>
            <w:top w:val="none" w:sz="0" w:space="0" w:color="auto"/>
            <w:left w:val="none" w:sz="0" w:space="0" w:color="auto"/>
            <w:bottom w:val="none" w:sz="0" w:space="0" w:color="auto"/>
            <w:right w:val="none" w:sz="0" w:space="0" w:color="auto"/>
          </w:divBdr>
          <w:divsChild>
            <w:div w:id="886917673">
              <w:marLeft w:val="0"/>
              <w:marRight w:val="0"/>
              <w:marTop w:val="105"/>
              <w:marBottom w:val="0"/>
              <w:divBdr>
                <w:top w:val="none" w:sz="0" w:space="0" w:color="auto"/>
                <w:left w:val="none" w:sz="0" w:space="0" w:color="auto"/>
                <w:bottom w:val="none" w:sz="0" w:space="0" w:color="auto"/>
                <w:right w:val="none" w:sz="0" w:space="0" w:color="auto"/>
              </w:divBdr>
            </w:div>
            <w:div w:id="1376082827">
              <w:marLeft w:val="0"/>
              <w:marRight w:val="0"/>
              <w:marTop w:val="0"/>
              <w:marBottom w:val="0"/>
              <w:divBdr>
                <w:top w:val="none" w:sz="0" w:space="0" w:color="auto"/>
                <w:left w:val="none" w:sz="0" w:space="0" w:color="auto"/>
                <w:bottom w:val="none" w:sz="0" w:space="0" w:color="auto"/>
                <w:right w:val="none" w:sz="0" w:space="0" w:color="auto"/>
              </w:divBdr>
              <w:divsChild>
                <w:div w:id="833496522">
                  <w:marLeft w:val="255"/>
                  <w:marRight w:val="0"/>
                  <w:marTop w:val="0"/>
                  <w:marBottom w:val="0"/>
                  <w:divBdr>
                    <w:top w:val="none" w:sz="0" w:space="0" w:color="auto"/>
                    <w:left w:val="none" w:sz="0" w:space="0" w:color="auto"/>
                    <w:bottom w:val="none" w:sz="0" w:space="0" w:color="auto"/>
                    <w:right w:val="none" w:sz="0" w:space="0" w:color="auto"/>
                  </w:divBdr>
                </w:div>
              </w:divsChild>
            </w:div>
            <w:div w:id="198511417">
              <w:marLeft w:val="0"/>
              <w:marRight w:val="0"/>
              <w:marTop w:val="0"/>
              <w:marBottom w:val="0"/>
              <w:divBdr>
                <w:top w:val="none" w:sz="0" w:space="0" w:color="auto"/>
                <w:left w:val="none" w:sz="0" w:space="0" w:color="auto"/>
                <w:bottom w:val="none" w:sz="0" w:space="0" w:color="auto"/>
                <w:right w:val="none" w:sz="0" w:space="0" w:color="auto"/>
              </w:divBdr>
              <w:divsChild>
                <w:div w:id="380204764">
                  <w:marLeft w:val="255"/>
                  <w:marRight w:val="0"/>
                  <w:marTop w:val="0"/>
                  <w:marBottom w:val="0"/>
                  <w:divBdr>
                    <w:top w:val="none" w:sz="0" w:space="0" w:color="auto"/>
                    <w:left w:val="none" w:sz="0" w:space="0" w:color="auto"/>
                    <w:bottom w:val="none" w:sz="0" w:space="0" w:color="auto"/>
                    <w:right w:val="none" w:sz="0" w:space="0" w:color="auto"/>
                  </w:divBdr>
                </w:div>
              </w:divsChild>
            </w:div>
            <w:div w:id="1046028953">
              <w:marLeft w:val="0"/>
              <w:marRight w:val="0"/>
              <w:marTop w:val="0"/>
              <w:marBottom w:val="0"/>
              <w:divBdr>
                <w:top w:val="none" w:sz="0" w:space="0" w:color="auto"/>
                <w:left w:val="none" w:sz="0" w:space="0" w:color="auto"/>
                <w:bottom w:val="none" w:sz="0" w:space="0" w:color="auto"/>
                <w:right w:val="none" w:sz="0" w:space="0" w:color="auto"/>
              </w:divBdr>
              <w:divsChild>
                <w:div w:id="155608343">
                  <w:marLeft w:val="255"/>
                  <w:marRight w:val="0"/>
                  <w:marTop w:val="0"/>
                  <w:marBottom w:val="0"/>
                  <w:divBdr>
                    <w:top w:val="none" w:sz="0" w:space="0" w:color="auto"/>
                    <w:left w:val="none" w:sz="0" w:space="0" w:color="auto"/>
                    <w:bottom w:val="none" w:sz="0" w:space="0" w:color="auto"/>
                    <w:right w:val="none" w:sz="0" w:space="0" w:color="auto"/>
                  </w:divBdr>
                </w:div>
              </w:divsChild>
            </w:div>
            <w:div w:id="321473435">
              <w:marLeft w:val="0"/>
              <w:marRight w:val="0"/>
              <w:marTop w:val="0"/>
              <w:marBottom w:val="0"/>
              <w:divBdr>
                <w:top w:val="none" w:sz="0" w:space="0" w:color="auto"/>
                <w:left w:val="none" w:sz="0" w:space="0" w:color="auto"/>
                <w:bottom w:val="none" w:sz="0" w:space="0" w:color="auto"/>
                <w:right w:val="none" w:sz="0" w:space="0" w:color="auto"/>
              </w:divBdr>
              <w:divsChild>
                <w:div w:id="1611937139">
                  <w:marLeft w:val="255"/>
                  <w:marRight w:val="0"/>
                  <w:marTop w:val="0"/>
                  <w:marBottom w:val="0"/>
                  <w:divBdr>
                    <w:top w:val="none" w:sz="0" w:space="0" w:color="auto"/>
                    <w:left w:val="none" w:sz="0" w:space="0" w:color="auto"/>
                    <w:bottom w:val="none" w:sz="0" w:space="0" w:color="auto"/>
                    <w:right w:val="none" w:sz="0" w:space="0" w:color="auto"/>
                  </w:divBdr>
                </w:div>
              </w:divsChild>
            </w:div>
            <w:div w:id="302466962">
              <w:marLeft w:val="0"/>
              <w:marRight w:val="0"/>
              <w:marTop w:val="0"/>
              <w:marBottom w:val="0"/>
              <w:divBdr>
                <w:top w:val="none" w:sz="0" w:space="0" w:color="auto"/>
                <w:left w:val="none" w:sz="0" w:space="0" w:color="auto"/>
                <w:bottom w:val="none" w:sz="0" w:space="0" w:color="auto"/>
                <w:right w:val="none" w:sz="0" w:space="0" w:color="auto"/>
              </w:divBdr>
              <w:divsChild>
                <w:div w:id="600837872">
                  <w:marLeft w:val="255"/>
                  <w:marRight w:val="0"/>
                  <w:marTop w:val="0"/>
                  <w:marBottom w:val="0"/>
                  <w:divBdr>
                    <w:top w:val="none" w:sz="0" w:space="0" w:color="auto"/>
                    <w:left w:val="none" w:sz="0" w:space="0" w:color="auto"/>
                    <w:bottom w:val="none" w:sz="0" w:space="0" w:color="auto"/>
                    <w:right w:val="none" w:sz="0" w:space="0" w:color="auto"/>
                  </w:divBdr>
                </w:div>
              </w:divsChild>
            </w:div>
            <w:div w:id="781530009">
              <w:marLeft w:val="0"/>
              <w:marRight w:val="0"/>
              <w:marTop w:val="0"/>
              <w:marBottom w:val="0"/>
              <w:divBdr>
                <w:top w:val="none" w:sz="0" w:space="0" w:color="auto"/>
                <w:left w:val="none" w:sz="0" w:space="0" w:color="auto"/>
                <w:bottom w:val="none" w:sz="0" w:space="0" w:color="auto"/>
                <w:right w:val="none" w:sz="0" w:space="0" w:color="auto"/>
              </w:divBdr>
              <w:divsChild>
                <w:div w:id="1198154096">
                  <w:marLeft w:val="255"/>
                  <w:marRight w:val="0"/>
                  <w:marTop w:val="0"/>
                  <w:marBottom w:val="0"/>
                  <w:divBdr>
                    <w:top w:val="none" w:sz="0" w:space="0" w:color="auto"/>
                    <w:left w:val="none" w:sz="0" w:space="0" w:color="auto"/>
                    <w:bottom w:val="none" w:sz="0" w:space="0" w:color="auto"/>
                    <w:right w:val="none" w:sz="0" w:space="0" w:color="auto"/>
                  </w:divBdr>
                </w:div>
              </w:divsChild>
            </w:div>
            <w:div w:id="2057266826">
              <w:marLeft w:val="0"/>
              <w:marRight w:val="0"/>
              <w:marTop w:val="0"/>
              <w:marBottom w:val="0"/>
              <w:divBdr>
                <w:top w:val="none" w:sz="0" w:space="0" w:color="auto"/>
                <w:left w:val="none" w:sz="0" w:space="0" w:color="auto"/>
                <w:bottom w:val="none" w:sz="0" w:space="0" w:color="auto"/>
                <w:right w:val="none" w:sz="0" w:space="0" w:color="auto"/>
              </w:divBdr>
              <w:divsChild>
                <w:div w:id="205525700">
                  <w:marLeft w:val="255"/>
                  <w:marRight w:val="0"/>
                  <w:marTop w:val="0"/>
                  <w:marBottom w:val="0"/>
                  <w:divBdr>
                    <w:top w:val="none" w:sz="0" w:space="0" w:color="auto"/>
                    <w:left w:val="none" w:sz="0" w:space="0" w:color="auto"/>
                    <w:bottom w:val="none" w:sz="0" w:space="0" w:color="auto"/>
                    <w:right w:val="none" w:sz="0" w:space="0" w:color="auto"/>
                  </w:divBdr>
                </w:div>
              </w:divsChild>
            </w:div>
            <w:div w:id="2004502015">
              <w:marLeft w:val="0"/>
              <w:marRight w:val="0"/>
              <w:marTop w:val="0"/>
              <w:marBottom w:val="0"/>
              <w:divBdr>
                <w:top w:val="none" w:sz="0" w:space="0" w:color="auto"/>
                <w:left w:val="none" w:sz="0" w:space="0" w:color="auto"/>
                <w:bottom w:val="none" w:sz="0" w:space="0" w:color="auto"/>
                <w:right w:val="none" w:sz="0" w:space="0" w:color="auto"/>
              </w:divBdr>
              <w:divsChild>
                <w:div w:id="1845512107">
                  <w:marLeft w:val="255"/>
                  <w:marRight w:val="0"/>
                  <w:marTop w:val="0"/>
                  <w:marBottom w:val="0"/>
                  <w:divBdr>
                    <w:top w:val="none" w:sz="0" w:space="0" w:color="auto"/>
                    <w:left w:val="none" w:sz="0" w:space="0" w:color="auto"/>
                    <w:bottom w:val="none" w:sz="0" w:space="0" w:color="auto"/>
                    <w:right w:val="none" w:sz="0" w:space="0" w:color="auto"/>
                  </w:divBdr>
                </w:div>
              </w:divsChild>
            </w:div>
            <w:div w:id="2050449375">
              <w:marLeft w:val="0"/>
              <w:marRight w:val="0"/>
              <w:marTop w:val="0"/>
              <w:marBottom w:val="0"/>
              <w:divBdr>
                <w:top w:val="none" w:sz="0" w:space="0" w:color="auto"/>
                <w:left w:val="none" w:sz="0" w:space="0" w:color="auto"/>
                <w:bottom w:val="none" w:sz="0" w:space="0" w:color="auto"/>
                <w:right w:val="none" w:sz="0" w:space="0" w:color="auto"/>
              </w:divBdr>
              <w:divsChild>
                <w:div w:id="1993172175">
                  <w:marLeft w:val="255"/>
                  <w:marRight w:val="0"/>
                  <w:marTop w:val="0"/>
                  <w:marBottom w:val="0"/>
                  <w:divBdr>
                    <w:top w:val="none" w:sz="0" w:space="0" w:color="auto"/>
                    <w:left w:val="none" w:sz="0" w:space="0" w:color="auto"/>
                    <w:bottom w:val="none" w:sz="0" w:space="0" w:color="auto"/>
                    <w:right w:val="none" w:sz="0" w:space="0" w:color="auto"/>
                  </w:divBdr>
                </w:div>
              </w:divsChild>
            </w:div>
            <w:div w:id="2141148007">
              <w:marLeft w:val="0"/>
              <w:marRight w:val="0"/>
              <w:marTop w:val="0"/>
              <w:marBottom w:val="0"/>
              <w:divBdr>
                <w:top w:val="none" w:sz="0" w:space="0" w:color="auto"/>
                <w:left w:val="none" w:sz="0" w:space="0" w:color="auto"/>
                <w:bottom w:val="none" w:sz="0" w:space="0" w:color="auto"/>
                <w:right w:val="none" w:sz="0" w:space="0" w:color="auto"/>
              </w:divBdr>
              <w:divsChild>
                <w:div w:id="2425728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1058377">
          <w:marLeft w:val="0"/>
          <w:marRight w:val="0"/>
          <w:marTop w:val="0"/>
          <w:marBottom w:val="0"/>
          <w:divBdr>
            <w:top w:val="none" w:sz="0" w:space="0" w:color="auto"/>
            <w:left w:val="none" w:sz="0" w:space="0" w:color="auto"/>
            <w:bottom w:val="none" w:sz="0" w:space="0" w:color="auto"/>
            <w:right w:val="none" w:sz="0" w:space="0" w:color="auto"/>
          </w:divBdr>
          <w:divsChild>
            <w:div w:id="21450732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8219475">
      <w:bodyDiv w:val="1"/>
      <w:marLeft w:val="0"/>
      <w:marRight w:val="0"/>
      <w:marTop w:val="0"/>
      <w:marBottom w:val="0"/>
      <w:divBdr>
        <w:top w:val="none" w:sz="0" w:space="0" w:color="auto"/>
        <w:left w:val="none" w:sz="0" w:space="0" w:color="auto"/>
        <w:bottom w:val="none" w:sz="0" w:space="0" w:color="auto"/>
        <w:right w:val="none" w:sz="0" w:space="0" w:color="auto"/>
      </w:divBdr>
      <w:divsChild>
        <w:div w:id="820851434">
          <w:marLeft w:val="0"/>
          <w:marRight w:val="0"/>
          <w:marTop w:val="0"/>
          <w:marBottom w:val="0"/>
          <w:divBdr>
            <w:top w:val="none" w:sz="0" w:space="0" w:color="auto"/>
            <w:left w:val="none" w:sz="0" w:space="0" w:color="auto"/>
            <w:bottom w:val="none" w:sz="0" w:space="0" w:color="auto"/>
            <w:right w:val="none" w:sz="0" w:space="0" w:color="auto"/>
          </w:divBdr>
          <w:divsChild>
            <w:div w:id="374357865">
              <w:marLeft w:val="0"/>
              <w:marRight w:val="0"/>
              <w:marTop w:val="105"/>
              <w:marBottom w:val="0"/>
              <w:divBdr>
                <w:top w:val="none" w:sz="0" w:space="0" w:color="auto"/>
                <w:left w:val="none" w:sz="0" w:space="0" w:color="auto"/>
                <w:bottom w:val="none" w:sz="0" w:space="0" w:color="auto"/>
                <w:right w:val="none" w:sz="0" w:space="0" w:color="auto"/>
              </w:divBdr>
            </w:div>
          </w:divsChild>
        </w:div>
        <w:div w:id="1949466214">
          <w:marLeft w:val="0"/>
          <w:marRight w:val="0"/>
          <w:marTop w:val="0"/>
          <w:marBottom w:val="0"/>
          <w:divBdr>
            <w:top w:val="none" w:sz="0" w:space="0" w:color="auto"/>
            <w:left w:val="none" w:sz="0" w:space="0" w:color="auto"/>
            <w:bottom w:val="none" w:sz="0" w:space="0" w:color="auto"/>
            <w:right w:val="none" w:sz="0" w:space="0" w:color="auto"/>
          </w:divBdr>
          <w:divsChild>
            <w:div w:id="1469934412">
              <w:marLeft w:val="0"/>
              <w:marRight w:val="0"/>
              <w:marTop w:val="105"/>
              <w:marBottom w:val="0"/>
              <w:divBdr>
                <w:top w:val="none" w:sz="0" w:space="0" w:color="auto"/>
                <w:left w:val="none" w:sz="0" w:space="0" w:color="auto"/>
                <w:bottom w:val="none" w:sz="0" w:space="0" w:color="auto"/>
                <w:right w:val="none" w:sz="0" w:space="0" w:color="auto"/>
              </w:divBdr>
            </w:div>
          </w:divsChild>
        </w:div>
        <w:div w:id="190848117">
          <w:marLeft w:val="0"/>
          <w:marRight w:val="0"/>
          <w:marTop w:val="0"/>
          <w:marBottom w:val="0"/>
          <w:divBdr>
            <w:top w:val="none" w:sz="0" w:space="0" w:color="auto"/>
            <w:left w:val="none" w:sz="0" w:space="0" w:color="auto"/>
            <w:bottom w:val="none" w:sz="0" w:space="0" w:color="auto"/>
            <w:right w:val="none" w:sz="0" w:space="0" w:color="auto"/>
          </w:divBdr>
          <w:divsChild>
            <w:div w:id="811602008">
              <w:marLeft w:val="0"/>
              <w:marRight w:val="0"/>
              <w:marTop w:val="105"/>
              <w:marBottom w:val="0"/>
              <w:divBdr>
                <w:top w:val="none" w:sz="0" w:space="0" w:color="auto"/>
                <w:left w:val="none" w:sz="0" w:space="0" w:color="auto"/>
                <w:bottom w:val="none" w:sz="0" w:space="0" w:color="auto"/>
                <w:right w:val="none" w:sz="0" w:space="0" w:color="auto"/>
              </w:divBdr>
            </w:div>
          </w:divsChild>
        </w:div>
        <w:div w:id="305548847">
          <w:marLeft w:val="0"/>
          <w:marRight w:val="0"/>
          <w:marTop w:val="0"/>
          <w:marBottom w:val="0"/>
          <w:divBdr>
            <w:top w:val="none" w:sz="0" w:space="0" w:color="auto"/>
            <w:left w:val="none" w:sz="0" w:space="0" w:color="auto"/>
            <w:bottom w:val="none" w:sz="0" w:space="0" w:color="auto"/>
            <w:right w:val="none" w:sz="0" w:space="0" w:color="auto"/>
          </w:divBdr>
          <w:divsChild>
            <w:div w:id="11290852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54768422">
      <w:bodyDiv w:val="1"/>
      <w:marLeft w:val="0"/>
      <w:marRight w:val="0"/>
      <w:marTop w:val="0"/>
      <w:marBottom w:val="0"/>
      <w:divBdr>
        <w:top w:val="none" w:sz="0" w:space="0" w:color="auto"/>
        <w:left w:val="none" w:sz="0" w:space="0" w:color="auto"/>
        <w:bottom w:val="none" w:sz="0" w:space="0" w:color="auto"/>
        <w:right w:val="none" w:sz="0" w:space="0" w:color="auto"/>
      </w:divBdr>
      <w:divsChild>
        <w:div w:id="98454066">
          <w:marLeft w:val="0"/>
          <w:marRight w:val="0"/>
          <w:marTop w:val="0"/>
          <w:marBottom w:val="0"/>
          <w:divBdr>
            <w:top w:val="none" w:sz="0" w:space="0" w:color="auto"/>
            <w:left w:val="none" w:sz="0" w:space="0" w:color="auto"/>
            <w:bottom w:val="none" w:sz="0" w:space="0" w:color="auto"/>
            <w:right w:val="none" w:sz="0" w:space="0" w:color="auto"/>
          </w:divBdr>
          <w:divsChild>
            <w:div w:id="751969473">
              <w:marLeft w:val="0"/>
              <w:marRight w:val="0"/>
              <w:marTop w:val="105"/>
              <w:marBottom w:val="0"/>
              <w:divBdr>
                <w:top w:val="none" w:sz="0" w:space="0" w:color="auto"/>
                <w:left w:val="none" w:sz="0" w:space="0" w:color="auto"/>
                <w:bottom w:val="none" w:sz="0" w:space="0" w:color="auto"/>
                <w:right w:val="none" w:sz="0" w:space="0" w:color="auto"/>
              </w:divBdr>
            </w:div>
          </w:divsChild>
        </w:div>
        <w:div w:id="120345356">
          <w:marLeft w:val="0"/>
          <w:marRight w:val="0"/>
          <w:marTop w:val="0"/>
          <w:marBottom w:val="0"/>
          <w:divBdr>
            <w:top w:val="none" w:sz="0" w:space="0" w:color="auto"/>
            <w:left w:val="none" w:sz="0" w:space="0" w:color="auto"/>
            <w:bottom w:val="none" w:sz="0" w:space="0" w:color="auto"/>
            <w:right w:val="none" w:sz="0" w:space="0" w:color="auto"/>
          </w:divBdr>
          <w:divsChild>
            <w:div w:id="59522276">
              <w:marLeft w:val="0"/>
              <w:marRight w:val="0"/>
              <w:marTop w:val="105"/>
              <w:marBottom w:val="0"/>
              <w:divBdr>
                <w:top w:val="none" w:sz="0" w:space="0" w:color="auto"/>
                <w:left w:val="none" w:sz="0" w:space="0" w:color="auto"/>
                <w:bottom w:val="none" w:sz="0" w:space="0" w:color="auto"/>
                <w:right w:val="none" w:sz="0" w:space="0" w:color="auto"/>
              </w:divBdr>
            </w:div>
          </w:divsChild>
        </w:div>
        <w:div w:id="25495518">
          <w:marLeft w:val="0"/>
          <w:marRight w:val="0"/>
          <w:marTop w:val="0"/>
          <w:marBottom w:val="0"/>
          <w:divBdr>
            <w:top w:val="none" w:sz="0" w:space="0" w:color="auto"/>
            <w:left w:val="none" w:sz="0" w:space="0" w:color="auto"/>
            <w:bottom w:val="none" w:sz="0" w:space="0" w:color="auto"/>
            <w:right w:val="none" w:sz="0" w:space="0" w:color="auto"/>
          </w:divBdr>
          <w:divsChild>
            <w:div w:id="78135991">
              <w:marLeft w:val="0"/>
              <w:marRight w:val="0"/>
              <w:marTop w:val="105"/>
              <w:marBottom w:val="0"/>
              <w:divBdr>
                <w:top w:val="none" w:sz="0" w:space="0" w:color="auto"/>
                <w:left w:val="none" w:sz="0" w:space="0" w:color="auto"/>
                <w:bottom w:val="none" w:sz="0" w:space="0" w:color="auto"/>
                <w:right w:val="none" w:sz="0" w:space="0" w:color="auto"/>
              </w:divBdr>
            </w:div>
          </w:divsChild>
        </w:div>
        <w:div w:id="1705402194">
          <w:marLeft w:val="0"/>
          <w:marRight w:val="0"/>
          <w:marTop w:val="0"/>
          <w:marBottom w:val="0"/>
          <w:divBdr>
            <w:top w:val="none" w:sz="0" w:space="0" w:color="auto"/>
            <w:left w:val="none" w:sz="0" w:space="0" w:color="auto"/>
            <w:bottom w:val="none" w:sz="0" w:space="0" w:color="auto"/>
            <w:right w:val="none" w:sz="0" w:space="0" w:color="auto"/>
          </w:divBdr>
          <w:divsChild>
            <w:div w:id="17312693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5835091">
      <w:bodyDiv w:val="1"/>
      <w:marLeft w:val="0"/>
      <w:marRight w:val="0"/>
      <w:marTop w:val="0"/>
      <w:marBottom w:val="0"/>
      <w:divBdr>
        <w:top w:val="none" w:sz="0" w:space="0" w:color="auto"/>
        <w:left w:val="none" w:sz="0" w:space="0" w:color="auto"/>
        <w:bottom w:val="none" w:sz="0" w:space="0" w:color="auto"/>
        <w:right w:val="none" w:sz="0" w:space="0" w:color="auto"/>
      </w:divBdr>
      <w:divsChild>
        <w:div w:id="28722081">
          <w:marLeft w:val="0"/>
          <w:marRight w:val="0"/>
          <w:marTop w:val="0"/>
          <w:marBottom w:val="0"/>
          <w:divBdr>
            <w:top w:val="none" w:sz="0" w:space="0" w:color="auto"/>
            <w:left w:val="none" w:sz="0" w:space="0" w:color="auto"/>
            <w:bottom w:val="none" w:sz="0" w:space="0" w:color="auto"/>
            <w:right w:val="none" w:sz="0" w:space="0" w:color="auto"/>
          </w:divBdr>
          <w:divsChild>
            <w:div w:id="1758211235">
              <w:marLeft w:val="0"/>
              <w:marRight w:val="0"/>
              <w:marTop w:val="105"/>
              <w:marBottom w:val="0"/>
              <w:divBdr>
                <w:top w:val="none" w:sz="0" w:space="0" w:color="auto"/>
                <w:left w:val="none" w:sz="0" w:space="0" w:color="auto"/>
                <w:bottom w:val="none" w:sz="0" w:space="0" w:color="auto"/>
                <w:right w:val="none" w:sz="0" w:space="0" w:color="auto"/>
              </w:divBdr>
            </w:div>
          </w:divsChild>
        </w:div>
        <w:div w:id="1435634512">
          <w:marLeft w:val="0"/>
          <w:marRight w:val="0"/>
          <w:marTop w:val="0"/>
          <w:marBottom w:val="0"/>
          <w:divBdr>
            <w:top w:val="none" w:sz="0" w:space="0" w:color="auto"/>
            <w:left w:val="none" w:sz="0" w:space="0" w:color="auto"/>
            <w:bottom w:val="none" w:sz="0" w:space="0" w:color="auto"/>
            <w:right w:val="none" w:sz="0" w:space="0" w:color="auto"/>
          </w:divBdr>
          <w:divsChild>
            <w:div w:id="177893084">
              <w:marLeft w:val="0"/>
              <w:marRight w:val="0"/>
              <w:marTop w:val="105"/>
              <w:marBottom w:val="0"/>
              <w:divBdr>
                <w:top w:val="none" w:sz="0" w:space="0" w:color="auto"/>
                <w:left w:val="none" w:sz="0" w:space="0" w:color="auto"/>
                <w:bottom w:val="none" w:sz="0" w:space="0" w:color="auto"/>
                <w:right w:val="none" w:sz="0" w:space="0" w:color="auto"/>
              </w:divBdr>
            </w:div>
            <w:div w:id="1206673492">
              <w:marLeft w:val="0"/>
              <w:marRight w:val="0"/>
              <w:marTop w:val="0"/>
              <w:marBottom w:val="0"/>
              <w:divBdr>
                <w:top w:val="none" w:sz="0" w:space="0" w:color="auto"/>
                <w:left w:val="none" w:sz="0" w:space="0" w:color="auto"/>
                <w:bottom w:val="none" w:sz="0" w:space="0" w:color="auto"/>
                <w:right w:val="none" w:sz="0" w:space="0" w:color="auto"/>
              </w:divBdr>
              <w:divsChild>
                <w:div w:id="122622705">
                  <w:marLeft w:val="255"/>
                  <w:marRight w:val="0"/>
                  <w:marTop w:val="0"/>
                  <w:marBottom w:val="0"/>
                  <w:divBdr>
                    <w:top w:val="none" w:sz="0" w:space="0" w:color="auto"/>
                    <w:left w:val="none" w:sz="0" w:space="0" w:color="auto"/>
                    <w:bottom w:val="none" w:sz="0" w:space="0" w:color="auto"/>
                    <w:right w:val="none" w:sz="0" w:space="0" w:color="auto"/>
                  </w:divBdr>
                </w:div>
              </w:divsChild>
            </w:div>
            <w:div w:id="427241322">
              <w:marLeft w:val="0"/>
              <w:marRight w:val="0"/>
              <w:marTop w:val="0"/>
              <w:marBottom w:val="0"/>
              <w:divBdr>
                <w:top w:val="none" w:sz="0" w:space="0" w:color="auto"/>
                <w:left w:val="none" w:sz="0" w:space="0" w:color="auto"/>
                <w:bottom w:val="none" w:sz="0" w:space="0" w:color="auto"/>
                <w:right w:val="none" w:sz="0" w:space="0" w:color="auto"/>
              </w:divBdr>
              <w:divsChild>
                <w:div w:id="229118464">
                  <w:marLeft w:val="255"/>
                  <w:marRight w:val="0"/>
                  <w:marTop w:val="0"/>
                  <w:marBottom w:val="0"/>
                  <w:divBdr>
                    <w:top w:val="none" w:sz="0" w:space="0" w:color="auto"/>
                    <w:left w:val="none" w:sz="0" w:space="0" w:color="auto"/>
                    <w:bottom w:val="none" w:sz="0" w:space="0" w:color="auto"/>
                    <w:right w:val="none" w:sz="0" w:space="0" w:color="auto"/>
                  </w:divBdr>
                </w:div>
              </w:divsChild>
            </w:div>
            <w:div w:id="748310866">
              <w:marLeft w:val="0"/>
              <w:marRight w:val="0"/>
              <w:marTop w:val="0"/>
              <w:marBottom w:val="0"/>
              <w:divBdr>
                <w:top w:val="none" w:sz="0" w:space="0" w:color="auto"/>
                <w:left w:val="none" w:sz="0" w:space="0" w:color="auto"/>
                <w:bottom w:val="none" w:sz="0" w:space="0" w:color="auto"/>
                <w:right w:val="none" w:sz="0" w:space="0" w:color="auto"/>
              </w:divBdr>
              <w:divsChild>
                <w:div w:id="2098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6216">
      <w:bodyDiv w:val="1"/>
      <w:marLeft w:val="0"/>
      <w:marRight w:val="0"/>
      <w:marTop w:val="0"/>
      <w:marBottom w:val="0"/>
      <w:divBdr>
        <w:top w:val="none" w:sz="0" w:space="0" w:color="auto"/>
        <w:left w:val="none" w:sz="0" w:space="0" w:color="auto"/>
        <w:bottom w:val="none" w:sz="0" w:space="0" w:color="auto"/>
        <w:right w:val="none" w:sz="0" w:space="0" w:color="auto"/>
      </w:divBdr>
      <w:divsChild>
        <w:div w:id="1081179710">
          <w:marLeft w:val="0"/>
          <w:marRight w:val="0"/>
          <w:marTop w:val="0"/>
          <w:marBottom w:val="0"/>
          <w:divBdr>
            <w:top w:val="none" w:sz="0" w:space="0" w:color="auto"/>
            <w:left w:val="none" w:sz="0" w:space="0" w:color="auto"/>
            <w:bottom w:val="none" w:sz="0" w:space="0" w:color="auto"/>
            <w:right w:val="none" w:sz="0" w:space="0" w:color="auto"/>
          </w:divBdr>
          <w:divsChild>
            <w:div w:id="900865898">
              <w:marLeft w:val="0"/>
              <w:marRight w:val="0"/>
              <w:marTop w:val="105"/>
              <w:marBottom w:val="0"/>
              <w:divBdr>
                <w:top w:val="none" w:sz="0" w:space="0" w:color="auto"/>
                <w:left w:val="none" w:sz="0" w:space="0" w:color="auto"/>
                <w:bottom w:val="none" w:sz="0" w:space="0" w:color="auto"/>
                <w:right w:val="none" w:sz="0" w:space="0" w:color="auto"/>
              </w:divBdr>
            </w:div>
          </w:divsChild>
        </w:div>
        <w:div w:id="779223921">
          <w:marLeft w:val="0"/>
          <w:marRight w:val="0"/>
          <w:marTop w:val="0"/>
          <w:marBottom w:val="0"/>
          <w:divBdr>
            <w:top w:val="none" w:sz="0" w:space="0" w:color="auto"/>
            <w:left w:val="none" w:sz="0" w:space="0" w:color="auto"/>
            <w:bottom w:val="none" w:sz="0" w:space="0" w:color="auto"/>
            <w:right w:val="none" w:sz="0" w:space="0" w:color="auto"/>
          </w:divBdr>
          <w:divsChild>
            <w:div w:id="8416271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4545826">
      <w:bodyDiv w:val="1"/>
      <w:marLeft w:val="0"/>
      <w:marRight w:val="0"/>
      <w:marTop w:val="0"/>
      <w:marBottom w:val="0"/>
      <w:divBdr>
        <w:top w:val="none" w:sz="0" w:space="0" w:color="auto"/>
        <w:left w:val="none" w:sz="0" w:space="0" w:color="auto"/>
        <w:bottom w:val="none" w:sz="0" w:space="0" w:color="auto"/>
        <w:right w:val="none" w:sz="0" w:space="0" w:color="auto"/>
      </w:divBdr>
      <w:divsChild>
        <w:div w:id="755975280">
          <w:marLeft w:val="0"/>
          <w:marRight w:val="0"/>
          <w:marTop w:val="0"/>
          <w:marBottom w:val="0"/>
          <w:divBdr>
            <w:top w:val="none" w:sz="0" w:space="0" w:color="auto"/>
            <w:left w:val="none" w:sz="0" w:space="0" w:color="auto"/>
            <w:bottom w:val="none" w:sz="0" w:space="0" w:color="auto"/>
            <w:right w:val="none" w:sz="0" w:space="0" w:color="auto"/>
          </w:divBdr>
          <w:divsChild>
            <w:div w:id="598829201">
              <w:marLeft w:val="0"/>
              <w:marRight w:val="0"/>
              <w:marTop w:val="105"/>
              <w:marBottom w:val="0"/>
              <w:divBdr>
                <w:top w:val="none" w:sz="0" w:space="0" w:color="auto"/>
                <w:left w:val="none" w:sz="0" w:space="0" w:color="auto"/>
                <w:bottom w:val="none" w:sz="0" w:space="0" w:color="auto"/>
                <w:right w:val="none" w:sz="0" w:space="0" w:color="auto"/>
              </w:divBdr>
            </w:div>
          </w:divsChild>
        </w:div>
        <w:div w:id="182131519">
          <w:marLeft w:val="0"/>
          <w:marRight w:val="0"/>
          <w:marTop w:val="0"/>
          <w:marBottom w:val="0"/>
          <w:divBdr>
            <w:top w:val="none" w:sz="0" w:space="0" w:color="auto"/>
            <w:left w:val="none" w:sz="0" w:space="0" w:color="auto"/>
            <w:bottom w:val="none" w:sz="0" w:space="0" w:color="auto"/>
            <w:right w:val="none" w:sz="0" w:space="0" w:color="auto"/>
          </w:divBdr>
          <w:divsChild>
            <w:div w:id="121073699">
              <w:marLeft w:val="0"/>
              <w:marRight w:val="0"/>
              <w:marTop w:val="105"/>
              <w:marBottom w:val="0"/>
              <w:divBdr>
                <w:top w:val="none" w:sz="0" w:space="0" w:color="auto"/>
                <w:left w:val="none" w:sz="0" w:space="0" w:color="auto"/>
                <w:bottom w:val="none" w:sz="0" w:space="0" w:color="auto"/>
                <w:right w:val="none" w:sz="0" w:space="0" w:color="auto"/>
              </w:divBdr>
            </w:div>
          </w:divsChild>
        </w:div>
        <w:div w:id="1229463397">
          <w:marLeft w:val="0"/>
          <w:marRight w:val="0"/>
          <w:marTop w:val="0"/>
          <w:marBottom w:val="0"/>
          <w:divBdr>
            <w:top w:val="none" w:sz="0" w:space="0" w:color="auto"/>
            <w:left w:val="none" w:sz="0" w:space="0" w:color="auto"/>
            <w:bottom w:val="none" w:sz="0" w:space="0" w:color="auto"/>
            <w:right w:val="none" w:sz="0" w:space="0" w:color="auto"/>
          </w:divBdr>
          <w:divsChild>
            <w:div w:id="1037849108">
              <w:marLeft w:val="0"/>
              <w:marRight w:val="0"/>
              <w:marTop w:val="105"/>
              <w:marBottom w:val="0"/>
              <w:divBdr>
                <w:top w:val="none" w:sz="0" w:space="0" w:color="auto"/>
                <w:left w:val="none" w:sz="0" w:space="0" w:color="auto"/>
                <w:bottom w:val="none" w:sz="0" w:space="0" w:color="auto"/>
                <w:right w:val="none" w:sz="0" w:space="0" w:color="auto"/>
              </w:divBdr>
            </w:div>
            <w:div w:id="648558463">
              <w:marLeft w:val="0"/>
              <w:marRight w:val="0"/>
              <w:marTop w:val="0"/>
              <w:marBottom w:val="0"/>
              <w:divBdr>
                <w:top w:val="none" w:sz="0" w:space="0" w:color="auto"/>
                <w:left w:val="none" w:sz="0" w:space="0" w:color="auto"/>
                <w:bottom w:val="none" w:sz="0" w:space="0" w:color="auto"/>
                <w:right w:val="none" w:sz="0" w:space="0" w:color="auto"/>
              </w:divBdr>
              <w:divsChild>
                <w:div w:id="1555852970">
                  <w:marLeft w:val="255"/>
                  <w:marRight w:val="0"/>
                  <w:marTop w:val="0"/>
                  <w:marBottom w:val="0"/>
                  <w:divBdr>
                    <w:top w:val="none" w:sz="0" w:space="0" w:color="auto"/>
                    <w:left w:val="none" w:sz="0" w:space="0" w:color="auto"/>
                    <w:bottom w:val="none" w:sz="0" w:space="0" w:color="auto"/>
                    <w:right w:val="none" w:sz="0" w:space="0" w:color="auto"/>
                  </w:divBdr>
                </w:div>
              </w:divsChild>
            </w:div>
            <w:div w:id="1951086652">
              <w:marLeft w:val="0"/>
              <w:marRight w:val="0"/>
              <w:marTop w:val="0"/>
              <w:marBottom w:val="0"/>
              <w:divBdr>
                <w:top w:val="none" w:sz="0" w:space="0" w:color="auto"/>
                <w:left w:val="none" w:sz="0" w:space="0" w:color="auto"/>
                <w:bottom w:val="none" w:sz="0" w:space="0" w:color="auto"/>
                <w:right w:val="none" w:sz="0" w:space="0" w:color="auto"/>
              </w:divBdr>
              <w:divsChild>
                <w:div w:id="418841650">
                  <w:marLeft w:val="255"/>
                  <w:marRight w:val="0"/>
                  <w:marTop w:val="0"/>
                  <w:marBottom w:val="0"/>
                  <w:divBdr>
                    <w:top w:val="none" w:sz="0" w:space="0" w:color="auto"/>
                    <w:left w:val="none" w:sz="0" w:space="0" w:color="auto"/>
                    <w:bottom w:val="none" w:sz="0" w:space="0" w:color="auto"/>
                    <w:right w:val="none" w:sz="0" w:space="0" w:color="auto"/>
                  </w:divBdr>
                </w:div>
              </w:divsChild>
            </w:div>
            <w:div w:id="946623662">
              <w:marLeft w:val="0"/>
              <w:marRight w:val="0"/>
              <w:marTop w:val="0"/>
              <w:marBottom w:val="0"/>
              <w:divBdr>
                <w:top w:val="none" w:sz="0" w:space="0" w:color="auto"/>
                <w:left w:val="none" w:sz="0" w:space="0" w:color="auto"/>
                <w:bottom w:val="none" w:sz="0" w:space="0" w:color="auto"/>
                <w:right w:val="none" w:sz="0" w:space="0" w:color="auto"/>
              </w:divBdr>
              <w:divsChild>
                <w:div w:id="16623928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full.seam?documentId=mfrxilrtg4ytqmbxgm4taltwmvzc4mjzguzto&amp;refSource=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204</Pages>
  <Words>37434</Words>
  <Characters>224604</Characters>
  <Application>Microsoft Office Word</Application>
  <DocSecurity>0</DocSecurity>
  <Lines>1871</Lines>
  <Paragraphs>523</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Malinowska-Wójcicka Magdalena</dc:creator>
  <cp:keywords/>
  <dc:description/>
  <cp:lastModifiedBy>Anna Paździorko</cp:lastModifiedBy>
  <cp:revision>2</cp:revision>
  <dcterms:created xsi:type="dcterms:W3CDTF">2024-03-15T13:22:00Z</dcterms:created>
  <dcterms:modified xsi:type="dcterms:W3CDTF">2024-03-15T13:22:00Z</dcterms:modified>
</cp:coreProperties>
</file>