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0D39" w14:textId="053A80C0" w:rsidR="004572DE" w:rsidRDefault="004572DE" w:rsidP="004572DE">
      <w:pPr>
        <w:pStyle w:val="OZNPROJEKTUwskazaniedatylubwersjiprojektu"/>
      </w:pPr>
      <w:r w:rsidRPr="004572DE">
        <w:t xml:space="preserve">Projekt z dnia </w:t>
      </w:r>
      <w:r w:rsidR="00F83846">
        <w:t>3</w:t>
      </w:r>
      <w:r w:rsidR="00A54D24">
        <w:t xml:space="preserve"> sierpnia</w:t>
      </w:r>
      <w:r w:rsidR="00C333CF" w:rsidRPr="004572DE">
        <w:t xml:space="preserve"> </w:t>
      </w:r>
      <w:r w:rsidRPr="004572DE">
        <w:t>202</w:t>
      </w:r>
      <w:r w:rsidR="003A6FD3">
        <w:t>1</w:t>
      </w:r>
      <w:r w:rsidRPr="004572DE">
        <w:t xml:space="preserve"> r</w:t>
      </w:r>
      <w:r w:rsidR="003526F2">
        <w:t>.</w:t>
      </w:r>
    </w:p>
    <w:p w14:paraId="74B12410" w14:textId="77777777" w:rsidR="007073A2" w:rsidRPr="007073A2" w:rsidRDefault="007073A2" w:rsidP="007073A2">
      <w:pPr>
        <w:pStyle w:val="OZNRODZAKTUtznustawalubrozporzdzenieiorganwydajcy"/>
      </w:pPr>
    </w:p>
    <w:p w14:paraId="4AC16A48" w14:textId="77777777" w:rsidR="004572DE" w:rsidRPr="004572DE" w:rsidRDefault="004572DE" w:rsidP="004572DE">
      <w:pPr>
        <w:pStyle w:val="OZNRODZAKTUtznustawalubrozporzdzenieiorganwydajcy"/>
      </w:pPr>
      <w:r w:rsidRPr="004572DE">
        <w:t>Rozporządzenie</w:t>
      </w:r>
    </w:p>
    <w:p w14:paraId="7917185B" w14:textId="77777777" w:rsidR="004572DE" w:rsidRPr="004572DE" w:rsidRDefault="004572DE" w:rsidP="004572DE">
      <w:pPr>
        <w:pStyle w:val="OZNRODZAKTUtznustawalubrozporzdzenieiorganwydajcy"/>
      </w:pPr>
      <w:r w:rsidRPr="004572DE">
        <w:t>Ministra Cyfryzacji</w:t>
      </w:r>
      <w:r w:rsidRPr="004572DE">
        <w:rPr>
          <w:rStyle w:val="IGindeksgrny"/>
        </w:rPr>
        <w:footnoteReference w:id="1"/>
      </w:r>
      <w:r w:rsidRPr="004572DE">
        <w:rPr>
          <w:rStyle w:val="IGindeksgrny"/>
        </w:rPr>
        <w:t>)</w:t>
      </w:r>
    </w:p>
    <w:p w14:paraId="060E50DA" w14:textId="1D08B4DE" w:rsidR="004572DE" w:rsidRPr="004572DE" w:rsidRDefault="004572DE" w:rsidP="004572DE">
      <w:pPr>
        <w:pStyle w:val="DATAAKTUdatauchwalenialubwydaniaaktu"/>
      </w:pPr>
      <w:r w:rsidRPr="004572DE">
        <w:t>z dnia … 202</w:t>
      </w:r>
      <w:r w:rsidR="00AA7EE6">
        <w:t>1</w:t>
      </w:r>
      <w:r w:rsidRPr="004572DE">
        <w:t xml:space="preserve"> r.</w:t>
      </w:r>
    </w:p>
    <w:p w14:paraId="6E405CFC" w14:textId="4C0A5082" w:rsidR="004572DE" w:rsidRPr="004572DE" w:rsidRDefault="004572DE" w:rsidP="004572DE">
      <w:pPr>
        <w:pStyle w:val="TYTUAKTUprzedmiotregulacjiustawylubrozporzdzenia"/>
      </w:pPr>
      <w:r w:rsidRPr="004572DE">
        <w:t xml:space="preserve">zmieniające rozporządzenie w sprawie </w:t>
      </w:r>
      <w:r w:rsidR="000E551E">
        <w:t xml:space="preserve">planu numeracji krajowej dla publicznych sieci telekomunikacyjnych, w których świadczone są publicznie dostępne usługi </w:t>
      </w:r>
      <w:r w:rsidR="000843A1">
        <w:t>telefoniczne</w:t>
      </w:r>
    </w:p>
    <w:p w14:paraId="363C2CAE" w14:textId="2DD6A462" w:rsidR="004572DE" w:rsidRDefault="004572DE" w:rsidP="007073A2">
      <w:pPr>
        <w:pStyle w:val="NIEARTTEKSTtekstnieartykuowanynppodstprawnarozplubpreambua"/>
      </w:pPr>
      <w:r w:rsidRPr="004572DE">
        <w:t xml:space="preserve">Na podstawie art. </w:t>
      </w:r>
      <w:r w:rsidR="000E551E">
        <w:t>126</w:t>
      </w:r>
      <w:r w:rsidRPr="004572DE">
        <w:t xml:space="preserve"> ust. </w:t>
      </w:r>
      <w:r w:rsidR="000E551E">
        <w:t>12 pkt 1</w:t>
      </w:r>
      <w:r w:rsidRPr="004572DE">
        <w:t xml:space="preserve"> ustawy z dnia 16 lipca 2004 r. - Prawo telekomunikacyjne </w:t>
      </w:r>
      <w:r w:rsidR="00F526BE">
        <w:t>(Dz. U. z 2021</w:t>
      </w:r>
      <w:r w:rsidR="00757EDB">
        <w:t xml:space="preserve"> r. </w:t>
      </w:r>
      <w:r w:rsidR="00F526BE">
        <w:t>poz. 576</w:t>
      </w:r>
      <w:r w:rsidR="007073A2" w:rsidRPr="00AE6FA4">
        <w:t>)</w:t>
      </w:r>
      <w:r w:rsidRPr="004572DE">
        <w:t xml:space="preserve"> zarządza się, co następuje:</w:t>
      </w:r>
    </w:p>
    <w:p w14:paraId="5B95AF2F" w14:textId="509FBDDC" w:rsidR="00A03D2A" w:rsidRPr="00757EDB" w:rsidRDefault="00A8292B" w:rsidP="00757EDB">
      <w:pPr>
        <w:pStyle w:val="ARTartustawynprozporzdzenia"/>
      </w:pPr>
      <w:r w:rsidRPr="007073A2">
        <w:rPr>
          <w:rStyle w:val="Ppogrubienie"/>
        </w:rPr>
        <w:t>§ </w:t>
      </w:r>
      <w:r>
        <w:rPr>
          <w:rStyle w:val="Ppogrubienie"/>
        </w:rPr>
        <w:t>1</w:t>
      </w:r>
      <w:r w:rsidRPr="007073A2">
        <w:rPr>
          <w:rStyle w:val="Ppogrubienie"/>
        </w:rPr>
        <w:t>.</w:t>
      </w:r>
      <w:r>
        <w:rPr>
          <w:rStyle w:val="Ppogrubienie"/>
        </w:rPr>
        <w:t xml:space="preserve"> </w:t>
      </w:r>
      <w:r w:rsidR="000E551E" w:rsidRPr="000E551E">
        <w:rPr>
          <w:rStyle w:val="Ppogrubienie"/>
          <w:b w:val="0"/>
        </w:rPr>
        <w:t xml:space="preserve">W </w:t>
      </w:r>
      <w:r w:rsidR="00A36426">
        <w:rPr>
          <w:rStyle w:val="Ppogrubienie"/>
          <w:b w:val="0"/>
        </w:rPr>
        <w:t>rozporządzeniu</w:t>
      </w:r>
      <w:r w:rsidR="000E551E" w:rsidRPr="000E551E">
        <w:rPr>
          <w:rStyle w:val="Ppogrubienie"/>
          <w:b w:val="0"/>
        </w:rPr>
        <w:t xml:space="preserve"> Ministra Administracji i Cyfryzacji z dnia 30 października 2013 r. w sprawie planu numeracji krajowej dla publicznych sieci telekomunikacyjnych, w których świadczone są publicznie dostępne usługi telefoniczne (Dz.</w:t>
      </w:r>
      <w:r w:rsidR="00CE26C1">
        <w:rPr>
          <w:rStyle w:val="Ppogrubienie"/>
          <w:b w:val="0"/>
        </w:rPr>
        <w:t xml:space="preserve"> </w:t>
      </w:r>
      <w:r w:rsidR="000E551E" w:rsidRPr="000E551E">
        <w:rPr>
          <w:rStyle w:val="Ppogrubienie"/>
          <w:b w:val="0"/>
        </w:rPr>
        <w:t>U. poz. 1281, z 2017 r. poz. 2415, z 2019 r. poz. 699</w:t>
      </w:r>
      <w:r w:rsidR="00F526BE">
        <w:rPr>
          <w:rStyle w:val="Ppogrubienie"/>
          <w:b w:val="0"/>
        </w:rPr>
        <w:t xml:space="preserve"> oraz</w:t>
      </w:r>
      <w:r w:rsidR="000E551E" w:rsidRPr="000E551E">
        <w:rPr>
          <w:rStyle w:val="Ppogrubienie"/>
          <w:b w:val="0"/>
        </w:rPr>
        <w:t xml:space="preserve"> z 2020 r. poz. 1807</w:t>
      </w:r>
      <w:r w:rsidR="00F526BE">
        <w:rPr>
          <w:rStyle w:val="Ppogrubienie"/>
          <w:b w:val="0"/>
        </w:rPr>
        <w:t xml:space="preserve"> i </w:t>
      </w:r>
      <w:r w:rsidR="000E551E">
        <w:rPr>
          <w:rStyle w:val="Ppogrubienie"/>
          <w:b w:val="0"/>
        </w:rPr>
        <w:t>2199</w:t>
      </w:r>
      <w:r w:rsidR="000E551E" w:rsidRPr="000E551E">
        <w:rPr>
          <w:rStyle w:val="Ppogrubienie"/>
          <w:b w:val="0"/>
        </w:rPr>
        <w:t xml:space="preserve">) </w:t>
      </w:r>
      <w:r w:rsidR="00A36426">
        <w:rPr>
          <w:rStyle w:val="Ppogrubienie"/>
          <w:b w:val="0"/>
        </w:rPr>
        <w:t xml:space="preserve">w załączniku </w:t>
      </w:r>
      <w:r w:rsidR="000E551E" w:rsidRPr="000E551E">
        <w:rPr>
          <w:rStyle w:val="Ppogrubienie"/>
          <w:b w:val="0"/>
        </w:rPr>
        <w:t>w § 9 w</w:t>
      </w:r>
      <w:r w:rsidR="00CE26C1">
        <w:rPr>
          <w:rStyle w:val="Ppogrubienie"/>
          <w:b w:val="0"/>
        </w:rPr>
        <w:t> </w:t>
      </w:r>
      <w:r w:rsidR="000E551E" w:rsidRPr="000E551E">
        <w:rPr>
          <w:rStyle w:val="Ppogrubienie"/>
          <w:b w:val="0"/>
        </w:rPr>
        <w:t xml:space="preserve">pkt 1 </w:t>
      </w:r>
      <w:r w:rsidR="00A36426">
        <w:rPr>
          <w:rStyle w:val="Ppogrubienie"/>
          <w:b w:val="0"/>
        </w:rPr>
        <w:t xml:space="preserve">w </w:t>
      </w:r>
      <w:r w:rsidR="000E551E" w:rsidRPr="000E551E">
        <w:rPr>
          <w:rStyle w:val="Ppogrubienie"/>
          <w:b w:val="0"/>
        </w:rPr>
        <w:t xml:space="preserve">lit. </w:t>
      </w:r>
      <w:r w:rsidR="00A03D2A">
        <w:rPr>
          <w:rStyle w:val="Ppogrubienie"/>
          <w:b w:val="0"/>
        </w:rPr>
        <w:t>e</w:t>
      </w:r>
      <w:r w:rsidR="00757EDB">
        <w:rPr>
          <w:rStyle w:val="Ppogrubienie"/>
          <w:b w:val="0"/>
        </w:rPr>
        <w:t xml:space="preserve"> po wyrazach „</w:t>
      </w:r>
      <w:r w:rsidR="00A03D2A" w:rsidRPr="00C346EE">
        <w:rPr>
          <w:rFonts w:cs="Times New Roman"/>
          <w:szCs w:val="24"/>
        </w:rPr>
        <w:t>19115 - usługi informacyjne administracji samorządowej,</w:t>
      </w:r>
      <w:r w:rsidR="00757EDB">
        <w:rPr>
          <w:rFonts w:cs="Times New Roman"/>
          <w:szCs w:val="24"/>
        </w:rPr>
        <w:t>” dodaje się wyrazy:</w:t>
      </w:r>
    </w:p>
    <w:p w14:paraId="186E8A80" w14:textId="54561A6E" w:rsidR="00A03D2A" w:rsidRDefault="00757EDB" w:rsidP="00A03D2A">
      <w:pPr>
        <w:spacing w:after="120" w:line="240" w:lineRule="auto"/>
        <w:ind w:left="143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="00A03D2A" w:rsidRPr="004378B6">
        <w:rPr>
          <w:rFonts w:cs="Times New Roman"/>
          <w:szCs w:val="24"/>
        </w:rPr>
        <w:t>19239</w:t>
      </w:r>
      <w:r w:rsidR="00A03D2A">
        <w:rPr>
          <w:rFonts w:cs="Times New Roman"/>
          <w:szCs w:val="24"/>
        </w:rPr>
        <w:t xml:space="preserve"> - usługi realizowane przez </w:t>
      </w:r>
      <w:r w:rsidR="00A03D2A" w:rsidRPr="005931F6">
        <w:rPr>
          <w:rFonts w:cs="Times New Roman"/>
          <w:szCs w:val="24"/>
        </w:rPr>
        <w:t>Centrum e-Zdrowia</w:t>
      </w:r>
      <w:r w:rsidR="00A03D2A">
        <w:rPr>
          <w:rFonts w:cs="Times New Roman"/>
          <w:szCs w:val="24"/>
        </w:rPr>
        <w:t>,</w:t>
      </w:r>
    </w:p>
    <w:p w14:paraId="7603F915" w14:textId="4A5BE6B1" w:rsidR="00757EDB" w:rsidRPr="00C346EE" w:rsidRDefault="00A03D2A" w:rsidP="002D60D7">
      <w:pPr>
        <w:spacing w:after="120" w:line="240" w:lineRule="auto"/>
        <w:ind w:left="142" w:firstLine="709"/>
        <w:rPr>
          <w:rFonts w:cs="Times New Roman"/>
          <w:szCs w:val="24"/>
        </w:rPr>
      </w:pPr>
      <w:r w:rsidRPr="005931F6">
        <w:rPr>
          <w:rFonts w:cs="Times New Roman"/>
          <w:szCs w:val="24"/>
        </w:rPr>
        <w:t>19457</w:t>
      </w:r>
      <w:r>
        <w:rPr>
          <w:rFonts w:cs="Times New Roman"/>
          <w:szCs w:val="24"/>
        </w:rPr>
        <w:t xml:space="preserve"> - usługi realizowane przez </w:t>
      </w:r>
      <w:r w:rsidRPr="005931F6">
        <w:rPr>
          <w:rFonts w:cs="Times New Roman"/>
          <w:szCs w:val="24"/>
        </w:rPr>
        <w:t>Centrum e-Zdrowia</w:t>
      </w:r>
      <w:r>
        <w:rPr>
          <w:rFonts w:cs="Times New Roman"/>
          <w:szCs w:val="24"/>
        </w:rPr>
        <w:t>,”</w:t>
      </w:r>
      <w:r w:rsidR="00757EDB">
        <w:rPr>
          <w:rFonts w:cs="Times New Roman"/>
          <w:szCs w:val="24"/>
        </w:rPr>
        <w:t>.</w:t>
      </w:r>
    </w:p>
    <w:p w14:paraId="6D5AE2D6" w14:textId="5A38EB50" w:rsidR="00327234" w:rsidRPr="005A6EBA" w:rsidRDefault="00575F8B" w:rsidP="00A03D2A">
      <w:pPr>
        <w:pStyle w:val="ARTartustawynprozporzdzenia"/>
        <w:spacing w:after="120"/>
      </w:pPr>
      <w:r w:rsidRPr="00E52532">
        <w:rPr>
          <w:rStyle w:val="Ppogrubienie"/>
        </w:rPr>
        <w:t>§ </w:t>
      </w:r>
      <w:r w:rsidR="00A03D2A">
        <w:rPr>
          <w:rStyle w:val="Ppogrubienie"/>
        </w:rPr>
        <w:t>2</w:t>
      </w:r>
      <w:r w:rsidRPr="00E52532">
        <w:rPr>
          <w:rStyle w:val="Ppogrubienie"/>
        </w:rPr>
        <w:t>.</w:t>
      </w:r>
      <w:r w:rsidRPr="005A6EBA">
        <w:t xml:space="preserve"> Rozpor</w:t>
      </w:r>
      <w:r w:rsidR="00EA5E59">
        <w:t xml:space="preserve">ządzenie wchodzi w życie </w:t>
      </w:r>
      <w:r w:rsidR="00A36426">
        <w:t>po upływie</w:t>
      </w:r>
      <w:r w:rsidR="00EA5E59">
        <w:t xml:space="preserve"> 14 dni od dnia</w:t>
      </w:r>
      <w:r w:rsidRPr="005A6EBA">
        <w:t xml:space="preserve"> </w:t>
      </w:r>
      <w:r w:rsidR="00A03D2A">
        <w:t>ogłoszenia.</w:t>
      </w:r>
    </w:p>
    <w:p w14:paraId="1F0F02A6" w14:textId="77777777" w:rsidR="00447E3F" w:rsidRPr="005A6EBA" w:rsidRDefault="00447E3F" w:rsidP="005A6EBA"/>
    <w:p w14:paraId="52BD24E7" w14:textId="77777777" w:rsidR="00327234" w:rsidRPr="005A6EBA" w:rsidRDefault="00327234" w:rsidP="00E52532">
      <w:pPr>
        <w:pStyle w:val="NAZORGWYDnazwaorganuwydajcegoprojektowanyakt"/>
      </w:pPr>
      <w:r w:rsidRPr="005A6EBA">
        <w:t>Minister Cyfryzacji</w:t>
      </w:r>
    </w:p>
    <w:p w14:paraId="71305FB6" w14:textId="77777777" w:rsidR="00674F72" w:rsidRPr="00674F72" w:rsidRDefault="00674F72" w:rsidP="00674F72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674F72">
        <w:rPr>
          <w:rFonts w:eastAsia="Times New Roman"/>
          <w:sz w:val="20"/>
        </w:rPr>
        <w:t>ZA ZGODNOŚĆ POD WZGLĘDEM PRAWNYM,</w:t>
      </w:r>
    </w:p>
    <w:p w14:paraId="67D4B9A8" w14:textId="77777777" w:rsidR="00674F72" w:rsidRPr="00674F72" w:rsidRDefault="00674F72" w:rsidP="00674F72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674F72">
        <w:rPr>
          <w:rFonts w:eastAsia="Times New Roman"/>
          <w:sz w:val="20"/>
        </w:rPr>
        <w:t>REDAKCYJNYM I LEGISLACYJNYM</w:t>
      </w:r>
    </w:p>
    <w:p w14:paraId="66E35BA3" w14:textId="77777777" w:rsidR="00674F72" w:rsidRPr="00674F72" w:rsidRDefault="00674F72" w:rsidP="00674F72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674F72">
        <w:rPr>
          <w:rFonts w:eastAsia="Times New Roman"/>
          <w:sz w:val="20"/>
        </w:rPr>
        <w:t>Michał Frączkiewicz</w:t>
      </w:r>
    </w:p>
    <w:p w14:paraId="3B3F74DA" w14:textId="77777777" w:rsidR="00674F72" w:rsidRPr="00674F72" w:rsidRDefault="00674F72" w:rsidP="00674F72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674F72">
        <w:rPr>
          <w:rFonts w:eastAsia="Times New Roman"/>
          <w:sz w:val="20"/>
        </w:rPr>
        <w:t>Dyrektor Departamentu Prawnego</w:t>
      </w:r>
    </w:p>
    <w:p w14:paraId="0C72939C" w14:textId="77777777" w:rsidR="00674F72" w:rsidRPr="00674F72" w:rsidRDefault="00674F72" w:rsidP="00674F72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674F72">
        <w:rPr>
          <w:rFonts w:eastAsia="Times New Roman"/>
          <w:sz w:val="20"/>
        </w:rPr>
        <w:t>w Kancelarii Prezesa Rady Ministrów</w:t>
      </w:r>
    </w:p>
    <w:p w14:paraId="229574EE" w14:textId="77777777" w:rsidR="00674F72" w:rsidRPr="00674F72" w:rsidRDefault="00674F72" w:rsidP="00674F72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674F72">
        <w:rPr>
          <w:rFonts w:eastAsia="Times New Roman"/>
          <w:sz w:val="20"/>
        </w:rPr>
        <w:t>/- podpisano elektronicznie/</w:t>
      </w:r>
    </w:p>
    <w:p w14:paraId="020CD4E1" w14:textId="77777777" w:rsidR="00A233E4" w:rsidRDefault="00A233E4" w:rsidP="00A233E4">
      <w:pPr>
        <w:pStyle w:val="OZNPARAFYADNOTACJE"/>
        <w:rPr>
          <w:rStyle w:val="Ppogrubienie"/>
        </w:rPr>
      </w:pPr>
    </w:p>
    <w:p w14:paraId="0640CA6D" w14:textId="77777777" w:rsidR="00757EDB" w:rsidRDefault="00757EDB" w:rsidP="00A233E4">
      <w:pPr>
        <w:pStyle w:val="OZNPARAFYADNOTACJE"/>
        <w:rPr>
          <w:rStyle w:val="Ppogrubienie"/>
        </w:rPr>
      </w:pPr>
    </w:p>
    <w:p w14:paraId="7EA2709D" w14:textId="77777777" w:rsidR="00757EDB" w:rsidRDefault="00757EDB" w:rsidP="00A233E4">
      <w:pPr>
        <w:pStyle w:val="OZNPARAFYADNOTACJE"/>
        <w:rPr>
          <w:rStyle w:val="Ppogrubienie"/>
        </w:rPr>
      </w:pPr>
    </w:p>
    <w:p w14:paraId="38C74001" w14:textId="77777777" w:rsidR="00757EDB" w:rsidRDefault="00757EDB" w:rsidP="00A233E4">
      <w:pPr>
        <w:pStyle w:val="OZNPARAFYADNOTACJE"/>
        <w:rPr>
          <w:rStyle w:val="Ppogrubienie"/>
        </w:rPr>
      </w:pPr>
    </w:p>
    <w:p w14:paraId="4EEF41B3" w14:textId="77777777" w:rsidR="00757EDB" w:rsidRDefault="00757EDB" w:rsidP="00A233E4">
      <w:pPr>
        <w:pStyle w:val="OZNPARAFYADNOTACJE"/>
        <w:rPr>
          <w:rStyle w:val="Ppogrubienie"/>
        </w:rPr>
      </w:pPr>
    </w:p>
    <w:p w14:paraId="4BB859FA" w14:textId="77777777" w:rsidR="00757EDB" w:rsidRDefault="00757EDB" w:rsidP="00A233E4">
      <w:pPr>
        <w:pStyle w:val="OZNPARAFYADNOTACJE"/>
        <w:rPr>
          <w:rStyle w:val="Ppogrubienie"/>
        </w:rPr>
      </w:pPr>
    </w:p>
    <w:p w14:paraId="209DF4D2" w14:textId="77777777" w:rsidR="00A233E4" w:rsidRDefault="00A233E4" w:rsidP="0021138B">
      <w:pPr>
        <w:pStyle w:val="OZNPARAFYADNOTACJE"/>
        <w:ind w:left="0" w:firstLine="0"/>
        <w:rPr>
          <w:rStyle w:val="Ppogrubienie"/>
        </w:rPr>
      </w:pPr>
    </w:p>
    <w:p w14:paraId="59C2CAF2" w14:textId="77777777" w:rsidR="002D60D7" w:rsidRDefault="002D60D7" w:rsidP="004D6D78">
      <w:pPr>
        <w:spacing w:after="120"/>
        <w:jc w:val="center"/>
        <w:rPr>
          <w:rFonts w:cs="Calibri"/>
          <w:b/>
          <w:szCs w:val="24"/>
        </w:rPr>
      </w:pPr>
    </w:p>
    <w:p w14:paraId="06EB1E29" w14:textId="3D755821" w:rsidR="004D6D78" w:rsidRPr="00F731E4" w:rsidRDefault="004D6D78" w:rsidP="004D6D78">
      <w:pPr>
        <w:spacing w:after="120"/>
        <w:jc w:val="center"/>
        <w:rPr>
          <w:rFonts w:cs="Calibri"/>
          <w:b/>
          <w:szCs w:val="24"/>
        </w:rPr>
      </w:pPr>
      <w:r w:rsidRPr="00F731E4">
        <w:rPr>
          <w:rFonts w:cs="Calibri"/>
          <w:b/>
          <w:szCs w:val="24"/>
        </w:rPr>
        <w:lastRenderedPageBreak/>
        <w:t>UZASADNIENIE</w:t>
      </w:r>
    </w:p>
    <w:p w14:paraId="5073CECF" w14:textId="0E22915C" w:rsidR="00A36426" w:rsidRDefault="004D6D78" w:rsidP="00D50C02">
      <w:pPr>
        <w:pStyle w:val="NIEARTTEKSTtekstnieartykuowanynppodstprawnarozplubpreambua"/>
      </w:pPr>
      <w:r w:rsidRPr="00E856C8">
        <w:t xml:space="preserve">Projektowane rozporządzenie zmienia rozporządzenie Ministra </w:t>
      </w:r>
      <w:r w:rsidR="000843A1">
        <w:t xml:space="preserve">Administracji i </w:t>
      </w:r>
      <w:r w:rsidRPr="00E856C8">
        <w:t xml:space="preserve">Cyfryzacji z dnia </w:t>
      </w:r>
      <w:r w:rsidR="008E7C6C">
        <w:t>30</w:t>
      </w:r>
      <w:r w:rsidRPr="00E856C8">
        <w:t xml:space="preserve"> </w:t>
      </w:r>
      <w:r w:rsidR="00A03D2A">
        <w:t>października</w:t>
      </w:r>
      <w:r w:rsidRPr="00E856C8">
        <w:t xml:space="preserve"> 20</w:t>
      </w:r>
      <w:r w:rsidR="00A03D2A">
        <w:t>13</w:t>
      </w:r>
      <w:r w:rsidRPr="00E856C8">
        <w:t xml:space="preserve"> r. </w:t>
      </w:r>
      <w:r w:rsidR="00A03D2A" w:rsidRPr="00A03D2A">
        <w:t>w sprawie planu numeracji krajowej dla publicznych sieci telekomunikacyjnych, w których świadczone są publicznie d</w:t>
      </w:r>
      <w:r w:rsidR="000843A1">
        <w:t>ostępne usługi telefoniczne</w:t>
      </w:r>
      <w:r w:rsidR="00A03D2A" w:rsidRPr="00A03D2A">
        <w:t xml:space="preserve"> </w:t>
      </w:r>
      <w:r w:rsidR="00A03D2A" w:rsidRPr="000E551E">
        <w:rPr>
          <w:rStyle w:val="Ppogrubienie"/>
          <w:b w:val="0"/>
        </w:rPr>
        <w:t>(Dz.U. poz. 1281, z 2017 r. poz. 2415, z 2019 r. poz. 699</w:t>
      </w:r>
      <w:r w:rsidR="00A03D2A">
        <w:rPr>
          <w:rStyle w:val="Ppogrubienie"/>
          <w:b w:val="0"/>
        </w:rPr>
        <w:t>,</w:t>
      </w:r>
      <w:r w:rsidR="00A03D2A" w:rsidRPr="000E551E">
        <w:rPr>
          <w:rStyle w:val="Ppogrubienie"/>
          <w:b w:val="0"/>
        </w:rPr>
        <w:t xml:space="preserve"> </w:t>
      </w:r>
      <w:r w:rsidR="00A36426">
        <w:rPr>
          <w:rStyle w:val="Ppogrubienie"/>
          <w:b w:val="0"/>
        </w:rPr>
        <w:t xml:space="preserve">oraz </w:t>
      </w:r>
      <w:r w:rsidR="00A03D2A" w:rsidRPr="000E551E">
        <w:rPr>
          <w:rStyle w:val="Ppogrubienie"/>
          <w:b w:val="0"/>
        </w:rPr>
        <w:t>z 2020 r. poz. 1807</w:t>
      </w:r>
      <w:r w:rsidR="00A03D2A">
        <w:rPr>
          <w:rStyle w:val="Ppogrubienie"/>
          <w:b w:val="0"/>
        </w:rPr>
        <w:t xml:space="preserve"> </w:t>
      </w:r>
      <w:r w:rsidR="00A36426">
        <w:rPr>
          <w:rStyle w:val="Ppogrubienie"/>
          <w:b w:val="0"/>
        </w:rPr>
        <w:t>i</w:t>
      </w:r>
      <w:r w:rsidR="00A03D2A">
        <w:rPr>
          <w:rStyle w:val="Ppogrubienie"/>
          <w:b w:val="0"/>
        </w:rPr>
        <w:t xml:space="preserve"> 2199</w:t>
      </w:r>
      <w:r w:rsidR="00A03D2A" w:rsidRPr="000E551E">
        <w:rPr>
          <w:rStyle w:val="Ppogrubienie"/>
          <w:b w:val="0"/>
        </w:rPr>
        <w:t>)</w:t>
      </w:r>
      <w:r w:rsidRPr="00E856C8">
        <w:t xml:space="preserve">. </w:t>
      </w:r>
      <w:r w:rsidR="00A36426">
        <w:t>Projektowane z</w:t>
      </w:r>
      <w:r w:rsidR="00A03D2A">
        <w:t xml:space="preserve">miany dotyczą przypisania usługom realizowanym przez </w:t>
      </w:r>
      <w:r w:rsidR="00A03D2A" w:rsidRPr="00A03D2A">
        <w:t>Centrum e-Zdrowia</w:t>
      </w:r>
      <w:r w:rsidR="00723A70">
        <w:t xml:space="preserve"> (</w:t>
      </w:r>
      <w:proofErr w:type="spellStart"/>
      <w:r w:rsidR="00723A70">
        <w:t>CeZ</w:t>
      </w:r>
      <w:proofErr w:type="spellEnd"/>
      <w:r w:rsidR="00723A70">
        <w:t>)</w:t>
      </w:r>
      <w:r w:rsidR="00527A9C">
        <w:t>,</w:t>
      </w:r>
      <w:r w:rsidR="00EE0C5A">
        <w:t xml:space="preserve"> </w:t>
      </w:r>
      <w:r w:rsidR="00A03D2A">
        <w:t xml:space="preserve">numerów </w:t>
      </w:r>
      <w:r w:rsidR="00BA2CF2">
        <w:t>Abonenckich Usług Specjalnych (</w:t>
      </w:r>
      <w:r w:rsidR="00A03D2A">
        <w:t>AUS</w:t>
      </w:r>
      <w:r w:rsidR="00BA2CF2">
        <w:t>)</w:t>
      </w:r>
      <w:r w:rsidR="00A03D2A">
        <w:t xml:space="preserve"> 19239 oraz 19457.</w:t>
      </w:r>
      <w:r w:rsidR="00EE0C5A">
        <w:t xml:space="preserve"> Pod numerem </w:t>
      </w:r>
      <w:r w:rsidR="00EE0C5A" w:rsidRPr="00EE0C5A">
        <w:t>19457 prowadz</w:t>
      </w:r>
      <w:r w:rsidR="00EE0C5A">
        <w:t>ona jest infolinia dedykowana</w:t>
      </w:r>
      <w:r w:rsidR="00EE0C5A" w:rsidRPr="00EE0C5A">
        <w:t xml:space="preserve"> pacjentom, pracownikom</w:t>
      </w:r>
      <w:r w:rsidR="00EE0C5A">
        <w:t xml:space="preserve"> </w:t>
      </w:r>
      <w:r w:rsidR="00EE0C5A" w:rsidRPr="00EE0C5A">
        <w:t>medycznym, podmiotom wykonującym działalność leczniczą, dostawcom</w:t>
      </w:r>
      <w:r w:rsidR="00EE0C5A">
        <w:t xml:space="preserve"> </w:t>
      </w:r>
      <w:proofErr w:type="spellStart"/>
      <w:r w:rsidR="00EE0C5A" w:rsidRPr="00EE0C5A">
        <w:t>oprogramowań</w:t>
      </w:r>
      <w:proofErr w:type="spellEnd"/>
      <w:r w:rsidR="00EE0C5A" w:rsidRPr="00EE0C5A">
        <w:t xml:space="preserve"> gabinetowych oraz innym podmiotom sektora ochrony zdrowia</w:t>
      </w:r>
      <w:r w:rsidR="00A36426">
        <w:t>.</w:t>
      </w:r>
      <w:r w:rsidR="00EE0C5A">
        <w:t xml:space="preserve"> </w:t>
      </w:r>
      <w:r w:rsidR="00A36426">
        <w:t>Z</w:t>
      </w:r>
      <w:r w:rsidR="00EE0C5A" w:rsidRPr="00EE0C5A">
        <w:t xml:space="preserve">a pośrednictwem </w:t>
      </w:r>
      <w:r w:rsidR="00A36426">
        <w:t>infolinii</w:t>
      </w:r>
      <w:r w:rsidR="00EE0C5A" w:rsidRPr="00EE0C5A">
        <w:t xml:space="preserve"> podmioty te mo</w:t>
      </w:r>
      <w:r w:rsidR="00EE0C5A">
        <w:t>gę uzyskać m.in. informacje dotyczące</w:t>
      </w:r>
      <w:r w:rsidR="00EE0C5A" w:rsidRPr="00EE0C5A">
        <w:t xml:space="preserve"> usług</w:t>
      </w:r>
      <w:r w:rsidR="00EE0C5A">
        <w:t xml:space="preserve"> </w:t>
      </w:r>
      <w:r w:rsidR="00EE0C5A" w:rsidRPr="00EE0C5A">
        <w:t>e-zdrowia, w tym e-recept, elektronicznej dokumentacji medycznej czy</w:t>
      </w:r>
      <w:r w:rsidR="00EE0C5A">
        <w:t xml:space="preserve"> </w:t>
      </w:r>
      <w:r w:rsidR="00EE0C5A" w:rsidRPr="00EE0C5A">
        <w:t>Internetowego Konta Pacjenta, a także otrz</w:t>
      </w:r>
      <w:r w:rsidR="00EE0C5A">
        <w:t xml:space="preserve">ymać odpowiedzi na pytania dotyczące </w:t>
      </w:r>
      <w:r w:rsidR="00EE0C5A" w:rsidRPr="00EE0C5A">
        <w:t>rejestrów</w:t>
      </w:r>
      <w:r w:rsidR="00EE0C5A">
        <w:t xml:space="preserve"> i poszczególnych systemów informatycznych obsługiwanych przez </w:t>
      </w:r>
      <w:proofErr w:type="spellStart"/>
      <w:r w:rsidR="00EE0C5A">
        <w:t>CeZ</w:t>
      </w:r>
      <w:proofErr w:type="spellEnd"/>
      <w:r w:rsidR="00EE0C5A">
        <w:t>. Infolinia na numerze 19457 funkcjonuje już od 2018 r. i przez ten czas numer ten ugruntował się w świadomości pacjentów oraz pracowników medycznych jako numer,</w:t>
      </w:r>
      <w:r w:rsidR="00EE0C5A" w:rsidRPr="00EE0C5A">
        <w:t xml:space="preserve"> </w:t>
      </w:r>
      <w:r w:rsidR="00EE0C5A">
        <w:t xml:space="preserve">pod którym uzyskać mogą wszelkie informacje związane z procesem informatyzacji sektora ochrony zdrowia i usług realizowanych przez </w:t>
      </w:r>
      <w:proofErr w:type="spellStart"/>
      <w:r w:rsidR="00EE0C5A">
        <w:t>CeZ</w:t>
      </w:r>
      <w:proofErr w:type="spellEnd"/>
      <w:r w:rsidR="00D50C02">
        <w:t xml:space="preserve">. </w:t>
      </w:r>
      <w:r w:rsidR="00737139">
        <w:t>Zasadnym jest zatem, aby przeznaczenie tego numeru pozostało niezmienne bez względu na to, który dostawca usług telekomunikacyjnych jest dysponentem numeru.</w:t>
      </w:r>
      <w:r w:rsidR="000E374D">
        <w:t xml:space="preserve"> </w:t>
      </w:r>
    </w:p>
    <w:p w14:paraId="4F3E9426" w14:textId="5326E7E4" w:rsidR="00A03D2A" w:rsidRDefault="000E374D" w:rsidP="00D50C02">
      <w:pPr>
        <w:pStyle w:val="NIEARTTEKSTtekstnieartykuowanynppodstprawnarozplubpreambua"/>
        <w:rPr>
          <w:rFonts w:ascii="ArialMT" w:eastAsia="Times New Roman" w:hAnsi="ArialMT" w:cs="ArialMT"/>
          <w:bCs w:val="0"/>
          <w:sz w:val="22"/>
          <w:szCs w:val="22"/>
        </w:rPr>
      </w:pPr>
      <w:r>
        <w:t>Jednocześnie, biorąc pod uwagę duże zaint</w:t>
      </w:r>
      <w:r w:rsidR="00737139">
        <w:t>eres</w:t>
      </w:r>
      <w:r w:rsidR="00EE0C5A">
        <w:t xml:space="preserve">owanie obsługiwaną przez </w:t>
      </w:r>
      <w:proofErr w:type="spellStart"/>
      <w:r w:rsidR="00EE0C5A">
        <w:t>CeZ</w:t>
      </w:r>
      <w:proofErr w:type="spellEnd"/>
      <w:r>
        <w:t xml:space="preserve"> infolinią, </w:t>
      </w:r>
      <w:r w:rsidR="00A36426">
        <w:t>przewiduje się korzyst</w:t>
      </w:r>
      <w:r w:rsidR="00A54D24">
        <w:t>a</w:t>
      </w:r>
      <w:r w:rsidR="00A36426">
        <w:t>nie</w:t>
      </w:r>
      <w:r>
        <w:t xml:space="preserve"> przez ten podmiot z dodatkowego numeru AUS 1</w:t>
      </w:r>
      <w:r w:rsidR="00737139">
        <w:t>9239. Uwzględnienie w rozporzą</w:t>
      </w:r>
      <w:r w:rsidR="00E119E5">
        <w:t xml:space="preserve">dzeniu przeznaczenia numerów 19239 </w:t>
      </w:r>
      <w:r w:rsidR="00A36426">
        <w:t xml:space="preserve">i 19457 </w:t>
      </w:r>
      <w:r w:rsidR="00E119E5">
        <w:t xml:space="preserve">gwarantuje ich </w:t>
      </w:r>
      <w:r w:rsidR="00737139">
        <w:t>niezmienność i prawidłowe funk</w:t>
      </w:r>
      <w:r w:rsidR="00E119E5">
        <w:t>cjonowanie realizowanych za ich</w:t>
      </w:r>
      <w:r w:rsidR="00737139">
        <w:t xml:space="preserve"> pośrednictwem usług publicznych</w:t>
      </w:r>
      <w:r>
        <w:t>.</w:t>
      </w:r>
      <w:r w:rsidR="00E119E5" w:rsidRPr="00E119E5">
        <w:rPr>
          <w:rFonts w:ascii="ArialMT" w:eastAsia="Times New Roman" w:hAnsi="ArialMT" w:cs="ArialMT"/>
          <w:bCs w:val="0"/>
          <w:sz w:val="22"/>
          <w:szCs w:val="22"/>
        </w:rPr>
        <w:t xml:space="preserve"> </w:t>
      </w:r>
    </w:p>
    <w:p w14:paraId="07C540D4" w14:textId="41D55ABF" w:rsidR="00A36426" w:rsidRPr="00B4304B" w:rsidRDefault="00A36426" w:rsidP="00A36426">
      <w:pPr>
        <w:pStyle w:val="ARTartustawynprozporzdzenia"/>
      </w:pPr>
      <w:r>
        <w:t>Projektowane rozporządzenie wejdzie w życie</w:t>
      </w:r>
      <w:r w:rsidR="002D60D7">
        <w:t xml:space="preserve"> po upływie 14 dnia od dnia</w:t>
      </w:r>
      <w:r>
        <w:t xml:space="preserve"> ogłoszenia.</w:t>
      </w:r>
    </w:p>
    <w:p w14:paraId="57888DDB" w14:textId="77777777" w:rsidR="004D6D78" w:rsidRPr="00E856C8" w:rsidRDefault="004D6D78" w:rsidP="00E856C8">
      <w:pPr>
        <w:pStyle w:val="NIEARTTEKSTtekstnieartykuowanynppodstprawnarozplubpreambua"/>
      </w:pPr>
      <w:r w:rsidRPr="00E856C8">
        <w:t>Projektowane przepisy zostały przeanalizowane pod kątem wpływu na małe i średnie przedsiębiorstwa. Regulacje zawarte w projekcie rozporządzenia nie będą miały bezpośredniego wpływu na funkcjonowanie przedsiębiorstw.</w:t>
      </w:r>
    </w:p>
    <w:p w14:paraId="2CB6E526" w14:textId="23C1160B" w:rsidR="004D6D78" w:rsidRPr="00E856C8" w:rsidRDefault="009A4F75" w:rsidP="00E856C8">
      <w:pPr>
        <w:pStyle w:val="NIEARTTEKSTtekstnieartykuowanynppodstprawnarozplubpreambua"/>
      </w:pPr>
      <w:r>
        <w:t xml:space="preserve">Projektowane rozporządzenie nie ma wpływu </w:t>
      </w:r>
      <w:r w:rsidR="00DB33D0">
        <w:t xml:space="preserve">na sytuację ekonomiczną </w:t>
      </w:r>
      <w:r w:rsidRPr="00E856C8">
        <w:t>rodziny, osób niepełnosprawnych oraz osób starszych</w:t>
      </w:r>
      <w:r>
        <w:t xml:space="preserve">, jednak w wymiarze </w:t>
      </w:r>
      <w:r w:rsidR="004D6D78" w:rsidRPr="00E856C8">
        <w:t>społeczn</w:t>
      </w:r>
      <w:r>
        <w:t>ym</w:t>
      </w:r>
      <w:r w:rsidRPr="009A4F75">
        <w:t xml:space="preserve"> </w:t>
      </w:r>
      <w:r>
        <w:t xml:space="preserve">przypisanie usługom realizowanym przez </w:t>
      </w:r>
      <w:r w:rsidRPr="00A03D2A">
        <w:t>Centrum e-Zdrowia</w:t>
      </w:r>
      <w:r>
        <w:t xml:space="preserve"> (</w:t>
      </w:r>
      <w:proofErr w:type="spellStart"/>
      <w:r>
        <w:t>CeZ</w:t>
      </w:r>
      <w:proofErr w:type="spellEnd"/>
      <w:r>
        <w:t>), numerów AUS może mieć korzystny</w:t>
      </w:r>
      <w:r w:rsidRPr="00E856C8">
        <w:t xml:space="preserve"> w</w:t>
      </w:r>
      <w:r>
        <w:t>pływ obsługę o</w:t>
      </w:r>
      <w:r w:rsidR="002D60D7">
        <w:t>sób korzystających z infolinii.</w:t>
      </w:r>
    </w:p>
    <w:p w14:paraId="7F81AD6E" w14:textId="3726DB1A" w:rsidR="004D6D78" w:rsidRPr="00E856C8" w:rsidRDefault="004D6D78" w:rsidP="00E856C8">
      <w:pPr>
        <w:pStyle w:val="NIEARTTEKSTtekstnieartykuowanynppodstprawnarozplubpreambua"/>
      </w:pPr>
      <w:r w:rsidRPr="00E856C8">
        <w:lastRenderedPageBreak/>
        <w:t xml:space="preserve">Projektowane rozporządzenie </w:t>
      </w:r>
      <w:r w:rsidR="000E374D">
        <w:t xml:space="preserve">nie </w:t>
      </w:r>
      <w:r w:rsidRPr="00E856C8">
        <w:t>zawiera przepis</w:t>
      </w:r>
      <w:r w:rsidR="000E374D">
        <w:t>ów</w:t>
      </w:r>
      <w:r w:rsidRPr="00E856C8">
        <w:t xml:space="preserve"> techniczn</w:t>
      </w:r>
      <w:r w:rsidR="000E374D">
        <w:t>ych</w:t>
      </w:r>
      <w:r w:rsidRPr="00E856C8">
        <w:t xml:space="preserve"> w rozumieniu rozporządzenia Rady Ministrów z dnia 23 grudnia 2002 r. w sprawie sposobu funkcjonowania krajowego systemu notyfikacji norm i aktów prawnych (Dz. U. poz.</w:t>
      </w:r>
      <w:r w:rsidR="002D60D7">
        <w:t xml:space="preserve"> 2039 oraz z 2004 r. poz. 597).</w:t>
      </w:r>
    </w:p>
    <w:p w14:paraId="2CE751DE" w14:textId="4D4E8FD5" w:rsidR="004D6D78" w:rsidRPr="00E856C8" w:rsidRDefault="00A36426" w:rsidP="00E856C8">
      <w:pPr>
        <w:pStyle w:val="NIEARTTEKSTtekstnieartykuowanynppodstprawnarozplubpreambua"/>
      </w:pPr>
      <w:r w:rsidRPr="00E856C8">
        <w:t>Stosownie do postanowień art. 5 ustawy z dnia 7 lipca 2005 r. o działalności lobbingowej w procesie stanowienia prawa (Dz. U. z 2017 r. poz. 248), projekt rozporządzenia został udostępniony w Biuletynie Informacji Publiczn</w:t>
      </w:r>
      <w:r w:rsidR="002D60D7">
        <w:t xml:space="preserve">ej Ministra Cyfryzacji. Ponadto, </w:t>
      </w:r>
      <w:r w:rsidRPr="00E856C8">
        <w:t>zgodnie z § 52 ust. 1 uchwały nr 190 Rady Ministrów z dnia 29 października 2013 r. – Regulamin pracy Rady Ministrów (M.P. z 2016 r. poz. 1006</w:t>
      </w:r>
      <w:r w:rsidR="001029D3">
        <w:t>, z późn. zm.) pr</w:t>
      </w:r>
      <w:r w:rsidRPr="00E856C8">
        <w:t>ojekt rozporządzenia został udostępniony w Biuletynie Informacji Publicznej na stronie podmiotowej Rządowego Centrum Legislacji, w</w:t>
      </w:r>
      <w:r w:rsidR="001029D3">
        <w:t> </w:t>
      </w:r>
      <w:r w:rsidRPr="00E856C8">
        <w:t>serwisie Rządowy Proces Legislacyjny.</w:t>
      </w:r>
    </w:p>
    <w:p w14:paraId="413C83B2" w14:textId="77777777" w:rsidR="00E856C8" w:rsidRDefault="004D6D78" w:rsidP="00E856C8">
      <w:pPr>
        <w:pStyle w:val="NIEARTTEKSTtekstnieartykuowanynppodstprawnarozplubpreambua"/>
      </w:pPr>
      <w:r w:rsidRPr="00E856C8">
        <w:t xml:space="preserve">Projekt rozporządzenia jest zgodny z prawem Unii Europejskiej. </w:t>
      </w:r>
    </w:p>
    <w:p w14:paraId="49951988" w14:textId="77777777" w:rsidR="004D6D78" w:rsidRPr="00E856C8" w:rsidRDefault="004D6D78" w:rsidP="00E856C8">
      <w:pPr>
        <w:pStyle w:val="NIEARTTEKSTtekstnieartykuowanynppodstprawnarozplubpreambua"/>
      </w:pPr>
      <w:r w:rsidRPr="00E856C8">
        <w:t>Projekt rozporządzenia nie wymaga przedstawienia właściwym instytucjom i organom Unii Europejskiej, w tym Europejskiemu Bankowi Centralnemu, celem uzyskania opinii, dokonania powiadomienia, konsultacji albo uzgodnienia.</w:t>
      </w:r>
    </w:p>
    <w:p w14:paraId="78015663" w14:textId="77777777" w:rsidR="004D6D78" w:rsidRPr="00F731E4" w:rsidRDefault="004D6D78" w:rsidP="004D6D78">
      <w:pPr>
        <w:rPr>
          <w:rFonts w:cs="Calibri"/>
          <w:szCs w:val="24"/>
        </w:rPr>
      </w:pPr>
      <w:r w:rsidRPr="00F731E4">
        <w:rPr>
          <w:rFonts w:cs="Calibri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827"/>
        <w:gridCol w:w="380"/>
        <w:gridCol w:w="13"/>
        <w:gridCol w:w="342"/>
        <w:gridCol w:w="125"/>
        <w:gridCol w:w="159"/>
        <w:gridCol w:w="269"/>
        <w:gridCol w:w="420"/>
        <w:gridCol w:w="7"/>
        <w:gridCol w:w="47"/>
        <w:gridCol w:w="105"/>
        <w:gridCol w:w="230"/>
        <w:gridCol w:w="270"/>
        <w:gridCol w:w="163"/>
        <w:gridCol w:w="443"/>
        <w:gridCol w:w="53"/>
        <w:gridCol w:w="45"/>
        <w:gridCol w:w="320"/>
        <w:gridCol w:w="76"/>
        <w:gridCol w:w="317"/>
        <w:gridCol w:w="29"/>
        <w:gridCol w:w="206"/>
        <w:gridCol w:w="186"/>
        <w:gridCol w:w="201"/>
        <w:gridCol w:w="156"/>
        <w:gridCol w:w="458"/>
        <w:gridCol w:w="67"/>
        <w:gridCol w:w="1492"/>
      </w:tblGrid>
      <w:tr w:rsidR="004D6D78" w:rsidRPr="00F731E4" w14:paraId="2464B0AE" w14:textId="77777777" w:rsidTr="00723A70">
        <w:trPr>
          <w:trHeight w:val="1611"/>
        </w:trPr>
        <w:tc>
          <w:tcPr>
            <w:tcW w:w="3036" w:type="pct"/>
            <w:gridSpan w:val="17"/>
          </w:tcPr>
          <w:p w14:paraId="665C07F4" w14:textId="77777777" w:rsidR="004D6D78" w:rsidRPr="00F731E4" w:rsidRDefault="004D6D78" w:rsidP="00D65A78">
            <w:pPr>
              <w:suppressAutoHyphens/>
              <w:spacing w:before="120" w:line="240" w:lineRule="auto"/>
              <w:ind w:hanging="45"/>
              <w:rPr>
                <w:rFonts w:eastAsia="Times New Roman" w:cs="Calibri"/>
                <w:color w:val="000000"/>
              </w:rPr>
            </w:pPr>
            <w:bookmarkStart w:id="0" w:name="t1"/>
            <w:r w:rsidRPr="00F731E4">
              <w:rPr>
                <w:rFonts w:eastAsia="Times New Roman" w:cs="Calibri"/>
                <w:b/>
                <w:color w:val="000000"/>
              </w:rPr>
              <w:lastRenderedPageBreak/>
              <w:t>Nazwa projektu</w:t>
            </w:r>
          </w:p>
          <w:p w14:paraId="6E6BDB40" w14:textId="7C816F3F" w:rsidR="000E374D" w:rsidRDefault="004D6D78" w:rsidP="00D65A78">
            <w:pPr>
              <w:suppressAutoHyphens/>
              <w:spacing w:before="120" w:line="240" w:lineRule="auto"/>
              <w:ind w:hanging="45"/>
            </w:pPr>
            <w:r w:rsidRPr="00F731E4">
              <w:rPr>
                <w:rFonts w:eastAsia="Times New Roman" w:cs="Calibri"/>
                <w:color w:val="000000"/>
              </w:rPr>
              <w:t xml:space="preserve">Rozporządzenie Ministra Cyfryzacji zmieniające rozporządzenie </w:t>
            </w:r>
            <w:r w:rsidRPr="00F731E4">
              <w:rPr>
                <w:rFonts w:eastAsia="Times New Roman" w:cs="Calibri"/>
                <w:bCs/>
              </w:rPr>
              <w:t xml:space="preserve">w sprawie </w:t>
            </w:r>
            <w:r w:rsidR="000E374D" w:rsidRPr="00A03D2A">
              <w:t>planu numeracji krajowej dla publicznych sieci telekomunikacyjnych, w których świadczone są publicznie do</w:t>
            </w:r>
            <w:r w:rsidR="000843A1">
              <w:t>stępne usługi telefoniczne</w:t>
            </w:r>
          </w:p>
          <w:p w14:paraId="5B43B575" w14:textId="6B78194B" w:rsidR="004D6D78" w:rsidRPr="00F731E4" w:rsidRDefault="004D6D78" w:rsidP="00D65A78">
            <w:pPr>
              <w:suppressAutoHyphens/>
              <w:spacing w:before="120" w:line="240" w:lineRule="auto"/>
              <w:ind w:hanging="45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t>Ministerstwo wiodące i ministerstwa współpracujące</w:t>
            </w:r>
          </w:p>
          <w:bookmarkEnd w:id="0"/>
          <w:p w14:paraId="4F95278A" w14:textId="22FC6C6A" w:rsidR="004D6D78" w:rsidRPr="00F731E4" w:rsidRDefault="00921C41" w:rsidP="00D65A78">
            <w:pPr>
              <w:suppressAutoHyphens/>
              <w:spacing w:line="240" w:lineRule="auto"/>
              <w:ind w:hanging="34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Kancelaria Prezesa Rady Ministrów</w:t>
            </w:r>
          </w:p>
          <w:p w14:paraId="281AB166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b/>
              </w:rPr>
            </w:pPr>
          </w:p>
          <w:p w14:paraId="23146ED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b/>
              </w:rPr>
            </w:pPr>
            <w:r w:rsidRPr="00F731E4">
              <w:rPr>
                <w:rFonts w:eastAsia="Times New Roman" w:cs="Calibri"/>
                <w:b/>
              </w:rPr>
              <w:t>Osoba odpowiedzialna za projekt w randze Ministra, Sekretarza Stanu lub Podsekretarza Stanu:</w:t>
            </w:r>
          </w:p>
          <w:p w14:paraId="61ED37AC" w14:textId="007D9932" w:rsidR="004D6D78" w:rsidRPr="00F731E4" w:rsidRDefault="00887746" w:rsidP="00D65A78">
            <w:pPr>
              <w:suppressAutoHyphens/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Pan </w:t>
            </w:r>
            <w:r w:rsidR="000E374D">
              <w:rPr>
                <w:rFonts w:eastAsia="Times New Roman" w:cs="Calibri"/>
              </w:rPr>
              <w:t>Janusz Cieszyński</w:t>
            </w:r>
            <w:r w:rsidR="00BE1A47">
              <w:rPr>
                <w:rFonts w:eastAsia="Times New Roman" w:cs="Calibri"/>
              </w:rPr>
              <w:t xml:space="preserve">, </w:t>
            </w:r>
            <w:r w:rsidR="00921C41">
              <w:rPr>
                <w:rFonts w:eastAsia="Times New Roman" w:cs="Calibri"/>
              </w:rPr>
              <w:t>Sekretarz Stanu w Kancelarii Prezesa Rady Ministrów</w:t>
            </w:r>
          </w:p>
          <w:p w14:paraId="647DAE34" w14:textId="77777777" w:rsidR="004D6D78" w:rsidRPr="00F731E4" w:rsidRDefault="004D6D78" w:rsidP="00D65A78">
            <w:pPr>
              <w:suppressAutoHyphens/>
              <w:spacing w:before="120" w:line="240" w:lineRule="auto"/>
              <w:ind w:hanging="45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t>Kontakt do opiekuna merytorycznego projektu:</w:t>
            </w:r>
          </w:p>
          <w:p w14:paraId="4490F03C" w14:textId="3893BFE2" w:rsidR="004D6D78" w:rsidRPr="00F731E4" w:rsidRDefault="004D6D78" w:rsidP="00D65A78">
            <w:pPr>
              <w:suppressAutoHyphens/>
              <w:spacing w:line="240" w:lineRule="auto"/>
              <w:ind w:hanging="34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 xml:space="preserve">Pan Rafał Radłowski, </w:t>
            </w:r>
            <w:r w:rsidR="008E7C6C">
              <w:rPr>
                <w:rFonts w:eastAsia="Times New Roman" w:cs="Calibri"/>
                <w:color w:val="000000"/>
              </w:rPr>
              <w:t xml:space="preserve">Starszy Specjalista w Departamencie Telekomunikacji KPRM, </w:t>
            </w:r>
            <w:r w:rsidRPr="00F731E4">
              <w:rPr>
                <w:rFonts w:eastAsia="Times New Roman" w:cs="Calibri"/>
                <w:color w:val="000000"/>
              </w:rPr>
              <w:t xml:space="preserve">tel.: 22 245 58 09  </w:t>
            </w:r>
          </w:p>
        </w:tc>
        <w:tc>
          <w:tcPr>
            <w:tcW w:w="1964" w:type="pct"/>
            <w:gridSpan w:val="12"/>
            <w:shd w:val="clear" w:color="auto" w:fill="FFFFFF"/>
          </w:tcPr>
          <w:p w14:paraId="075D047E" w14:textId="5597EFD5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b/>
              </w:rPr>
            </w:pPr>
            <w:r w:rsidRPr="00F731E4">
              <w:rPr>
                <w:rFonts w:eastAsia="Times New Roman" w:cs="Calibri"/>
                <w:b/>
              </w:rPr>
              <w:t>Data sporządzenia</w:t>
            </w:r>
            <w:r w:rsidRPr="00F731E4">
              <w:rPr>
                <w:rFonts w:eastAsia="Times New Roman" w:cs="Calibri"/>
                <w:b/>
              </w:rPr>
              <w:br/>
            </w:r>
            <w:r w:rsidR="00A80802">
              <w:rPr>
                <w:rFonts w:eastAsia="Times New Roman" w:cs="Calibri"/>
              </w:rPr>
              <w:t>03</w:t>
            </w:r>
            <w:r w:rsidR="00804226">
              <w:rPr>
                <w:rFonts w:eastAsia="Times New Roman" w:cs="Calibri"/>
              </w:rPr>
              <w:t>.08</w:t>
            </w:r>
            <w:r w:rsidR="00921C41">
              <w:rPr>
                <w:rFonts w:eastAsia="Times New Roman" w:cs="Calibri"/>
              </w:rPr>
              <w:t>.</w:t>
            </w:r>
            <w:r w:rsidRPr="00F731E4">
              <w:rPr>
                <w:rFonts w:eastAsia="Times New Roman" w:cs="Calibri"/>
              </w:rPr>
              <w:t>202</w:t>
            </w:r>
            <w:r w:rsidR="000E374D">
              <w:rPr>
                <w:rFonts w:eastAsia="Times New Roman" w:cs="Calibri"/>
              </w:rPr>
              <w:t>1</w:t>
            </w:r>
            <w:r w:rsidRPr="00F731E4">
              <w:rPr>
                <w:rFonts w:eastAsia="Times New Roman" w:cs="Calibri"/>
              </w:rPr>
              <w:t xml:space="preserve"> r.</w:t>
            </w:r>
          </w:p>
          <w:p w14:paraId="16820F52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b/>
              </w:rPr>
            </w:pPr>
          </w:p>
          <w:p w14:paraId="16928373" w14:textId="77777777" w:rsidR="004D6D78" w:rsidRPr="00F731E4" w:rsidRDefault="004D6D78" w:rsidP="00D65A78">
            <w:pPr>
              <w:suppressAutoHyphens/>
              <w:spacing w:line="240" w:lineRule="auto"/>
              <w:jc w:val="both"/>
              <w:rPr>
                <w:rFonts w:eastAsia="Times New Roman" w:cs="Calibri"/>
                <w:b/>
              </w:rPr>
            </w:pPr>
            <w:r w:rsidRPr="00F731E4">
              <w:rPr>
                <w:rFonts w:eastAsia="Times New Roman" w:cs="Calibri"/>
                <w:b/>
              </w:rPr>
              <w:t xml:space="preserve">Źródło: </w:t>
            </w:r>
            <w:bookmarkStart w:id="1" w:name="Lista1"/>
          </w:p>
          <w:bookmarkEnd w:id="1"/>
          <w:p w14:paraId="0DC99145" w14:textId="3C3C5558" w:rsidR="004D6D78" w:rsidRPr="00F731E4" w:rsidRDefault="00A36426" w:rsidP="00D65A78">
            <w:pPr>
              <w:suppressAutoHyphens/>
              <w:spacing w:line="240" w:lineRule="auto"/>
              <w:rPr>
                <w:rFonts w:eastAsia="Times New Roman" w:cs="Calibri"/>
              </w:rPr>
            </w:pPr>
            <w:r>
              <w:t>Art. 126</w:t>
            </w:r>
            <w:r w:rsidRPr="004572DE">
              <w:t xml:space="preserve"> ust. </w:t>
            </w:r>
            <w:r>
              <w:t>12 pkt 1</w:t>
            </w:r>
            <w:r w:rsidRPr="00F731E4">
              <w:rPr>
                <w:rFonts w:eastAsia="Times New Roman" w:cs="Calibri"/>
              </w:rPr>
              <w:t xml:space="preserve"> ustawy z dnia </w:t>
            </w:r>
            <w:r>
              <w:rPr>
                <w:rFonts w:eastAsia="Times New Roman" w:cs="Calibri"/>
              </w:rPr>
              <w:t>1</w:t>
            </w:r>
            <w:r w:rsidRPr="00F731E4">
              <w:rPr>
                <w:rFonts w:eastAsia="Times New Roman" w:cs="Calibri"/>
              </w:rPr>
              <w:t>6 lipca 2004 r. - Prawo telekomunikacyjne (</w:t>
            </w:r>
            <w:r>
              <w:t>Dz. U. z 2021 r. poz. 576</w:t>
            </w:r>
            <w:r w:rsidR="008E7C6C">
              <w:rPr>
                <w:rFonts w:eastAsia="Times New Roman" w:cs="Calibri"/>
              </w:rPr>
              <w:t>)</w:t>
            </w:r>
          </w:p>
          <w:p w14:paraId="08D6CA47" w14:textId="77777777" w:rsidR="004D6D78" w:rsidRPr="00F731E4" w:rsidRDefault="004D6D78" w:rsidP="00D65A78">
            <w:pPr>
              <w:suppressAutoHyphens/>
              <w:spacing w:before="120" w:line="240" w:lineRule="auto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t>Nr w wykazie prac MC:</w:t>
            </w:r>
          </w:p>
          <w:p w14:paraId="331AC0D6" w14:textId="59FC0EFB" w:rsidR="004D6D78" w:rsidRPr="00F731E4" w:rsidRDefault="008419AA" w:rsidP="008419AA">
            <w:pPr>
              <w:suppressAutoHyphens/>
              <w:spacing w:before="120" w:line="240" w:lineRule="auto"/>
              <w:rPr>
                <w:rFonts w:eastAsia="Times New Roman" w:cs="Calibri"/>
                <w:color w:val="000000"/>
              </w:rPr>
            </w:pPr>
            <w:r>
              <w:rPr>
                <w:b/>
                <w:color w:val="000000"/>
              </w:rPr>
              <w:t>175</w:t>
            </w:r>
          </w:p>
        </w:tc>
      </w:tr>
      <w:tr w:rsidR="004D6D78" w:rsidRPr="00F731E4" w14:paraId="736B666D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45DABC02" w14:textId="77777777" w:rsidR="004D6D78" w:rsidRPr="00F731E4" w:rsidRDefault="004D6D78" w:rsidP="00D65A78">
            <w:pPr>
              <w:suppressAutoHyphens/>
              <w:spacing w:line="240" w:lineRule="auto"/>
              <w:ind w:left="57"/>
              <w:jc w:val="center"/>
              <w:rPr>
                <w:rFonts w:eastAsia="Times New Roman" w:cs="Calibri"/>
                <w:b/>
                <w:color w:val="FFFFFF"/>
              </w:rPr>
            </w:pPr>
            <w:r w:rsidRPr="00F731E4">
              <w:rPr>
                <w:rFonts w:eastAsia="Times New Roman" w:cs="Calibri"/>
                <w:b/>
                <w:color w:val="FFFFFF"/>
              </w:rPr>
              <w:t>OCENA SKUTKÓW REGULACJI</w:t>
            </w:r>
          </w:p>
        </w:tc>
      </w:tr>
      <w:tr w:rsidR="004D6D78" w:rsidRPr="00F731E4" w14:paraId="4F668B6F" w14:textId="77777777" w:rsidTr="004D6D78">
        <w:trPr>
          <w:trHeight w:val="333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7A454B4C" w14:textId="77777777" w:rsidR="004D6D78" w:rsidRPr="00F731E4" w:rsidRDefault="004D6D78" w:rsidP="00D77946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4D6D78" w:rsidRPr="00F731E4" w14:paraId="6D15944A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FFFFFF"/>
          </w:tcPr>
          <w:p w14:paraId="0F2B4B86" w14:textId="4B45603A" w:rsidR="00FD0477" w:rsidRDefault="00FD0477" w:rsidP="00FD0477">
            <w:pPr>
              <w:pStyle w:val="NIEARTTEKSTtekstnieartykuowanynppodstprawnarozplubpreambua"/>
              <w:spacing w:line="240" w:lineRule="auto"/>
              <w:ind w:firstLine="0"/>
            </w:pPr>
            <w:r>
              <w:t>Projektowane rozporządzenie zmienia rozporządzeni</w:t>
            </w:r>
            <w:r w:rsidR="002D60D7">
              <w:t xml:space="preserve">e Ministra Cyfryzacji z dnia </w:t>
            </w:r>
            <w:r w:rsidR="00D61906">
              <w:t>30</w:t>
            </w:r>
            <w:r w:rsidR="002D60D7">
              <w:t> </w:t>
            </w:r>
            <w:r>
              <w:t>października 2013 r. w sprawie planu numeracji krajowej dla publicznych sieci telekomunikacyjnych, w których świadczone są publicznie dostępne usługi telekomunikacyjne (Dz.</w:t>
            </w:r>
            <w:r w:rsidR="001029D3">
              <w:t xml:space="preserve"> </w:t>
            </w:r>
            <w:r>
              <w:t xml:space="preserve">U. poz. 1281, z 2017 r. poz. 2415, z 2019 r. poz. 699 oraz z 2020 r. poz. 1807 i 2199). Zmiany dotyczą przypisania usługom realizowanym przez Centrum e-Zdrowia numerów AUS 19239 oraz 19457. </w:t>
            </w:r>
          </w:p>
          <w:p w14:paraId="0AFD05BC" w14:textId="7C4DBB18" w:rsidR="00FD0477" w:rsidRDefault="00FD0477" w:rsidP="00FD0477">
            <w:pPr>
              <w:pStyle w:val="NIEARTTEKSTtekstnieartykuowanynppodstprawnarozplubpreambua"/>
              <w:spacing w:line="240" w:lineRule="auto"/>
              <w:ind w:firstLine="0"/>
            </w:pPr>
            <w:r w:rsidRPr="00887746">
              <w:t xml:space="preserve">Pod numerem 19457 prowadzona jest infolinia dedykowana pacjentom, pracownikom medycznym, podmiotom wykonującym działalność leczniczą, dostawcom </w:t>
            </w:r>
            <w:proofErr w:type="spellStart"/>
            <w:r w:rsidRPr="00887746">
              <w:t>oprogramowań</w:t>
            </w:r>
            <w:proofErr w:type="spellEnd"/>
            <w:r w:rsidRPr="00887746">
              <w:t xml:space="preserve"> gabinetowych oraz innym podmiotom sektora ochrony zdrowia</w:t>
            </w:r>
            <w:r>
              <w:t>.</w:t>
            </w:r>
            <w:r w:rsidRPr="00887746">
              <w:t xml:space="preserve"> </w:t>
            </w:r>
            <w:r>
              <w:t>Z</w:t>
            </w:r>
            <w:r w:rsidRPr="00887746">
              <w:t xml:space="preserve">a pośrednictwem </w:t>
            </w:r>
            <w:r>
              <w:t>infolinii</w:t>
            </w:r>
            <w:r w:rsidRPr="00887746">
              <w:t xml:space="preserve"> podmioty te mogę uzyskać m.in. informacje dotyczące usług e-zdrowia, w tym e-recept, elektronicznej dokumentacji medycznej (EDM) czy Internetowego Konta Pacjenta, a także otrzymać odpowiedzi na pytania dotyczące rejestrów i poszczególnych systemów informaty</w:t>
            </w:r>
            <w:r w:rsidR="002D60D7">
              <w:t xml:space="preserve">cznych obsługiwanych przez </w:t>
            </w:r>
            <w:proofErr w:type="spellStart"/>
            <w:r w:rsidR="002D60D7">
              <w:t>CeZ</w:t>
            </w:r>
            <w:proofErr w:type="spellEnd"/>
            <w:r w:rsidR="002D60D7">
              <w:t>.</w:t>
            </w:r>
          </w:p>
          <w:p w14:paraId="27D1BDA9" w14:textId="0E55E411" w:rsidR="00FD0477" w:rsidRDefault="00FD0477" w:rsidP="00FD0477">
            <w:pPr>
              <w:pStyle w:val="NIEARTTEKSTtekstnieartykuowanynppodstprawnarozplubpreambua"/>
              <w:spacing w:line="240" w:lineRule="auto"/>
              <w:ind w:firstLine="0"/>
            </w:pPr>
            <w:r w:rsidRPr="00887746">
              <w:t xml:space="preserve">Infolinia na numerze 19457 funkcjonuje już od 2018 r. i przez ten czas numer ten ugruntował się w świadomości pacjentów oraz pracowników medycznych jako numer, pod którym uzyskać mogą wszelkie informacje związane z procesem informatyzacji sektora ochrony zdrowia i usług realizowanych przez </w:t>
            </w:r>
            <w:proofErr w:type="spellStart"/>
            <w:r w:rsidRPr="00887746">
              <w:t>CeZ</w:t>
            </w:r>
            <w:proofErr w:type="spellEnd"/>
            <w:r w:rsidRPr="00887746">
              <w:t>. Zasadnym jest zatem, aby przeznaczenie tego numeru pozostało niezmienne bez względu na to, który dostawca usług telekomunikac</w:t>
            </w:r>
            <w:r w:rsidR="002D60D7">
              <w:t>yjnych jest dysponentem numeru.</w:t>
            </w:r>
          </w:p>
          <w:p w14:paraId="16FFC42C" w14:textId="3465D75C" w:rsidR="00494A95" w:rsidRPr="00887746" w:rsidRDefault="00FD0477" w:rsidP="00FD0477">
            <w:pPr>
              <w:pStyle w:val="NIEARTTEKSTtekstnieartykuowanynppodstprawnarozplubpreambua"/>
              <w:spacing w:line="240" w:lineRule="auto"/>
              <w:ind w:firstLine="0"/>
            </w:pPr>
            <w:r w:rsidRPr="00887746">
              <w:t xml:space="preserve">Jednocześnie, biorąc pod uwagę duże zainteresowanie obsługiwaną przez </w:t>
            </w:r>
            <w:proofErr w:type="spellStart"/>
            <w:r w:rsidRPr="00887746">
              <w:t>CeZ</w:t>
            </w:r>
            <w:proofErr w:type="spellEnd"/>
            <w:r w:rsidRPr="00887746">
              <w:t xml:space="preserve"> infolinią, planowane jest korzystanie przez ten podmiot z dodatkowego numeru AUS 19239. Uwzględnienie w rozporządzeniu przeznaczenia numerów 19457 i 19239 gwarantuje ich niezmienność i prawidłowe funkcjonowanie realizowanych za ich pośrednictwem usług publicznych.</w:t>
            </w:r>
          </w:p>
        </w:tc>
      </w:tr>
      <w:tr w:rsidR="004D6D78" w:rsidRPr="00F731E4" w14:paraId="0250BC21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6FE6BF95" w14:textId="77777777" w:rsidR="004D6D78" w:rsidRPr="00F731E4" w:rsidRDefault="004D6D78" w:rsidP="001A2E64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  <w:spacing w:val="-2"/>
              </w:rPr>
              <w:t xml:space="preserve">Rekomendowane rozwiązanie, w tym planowane narzędzia interwencji, i oczekiwany </w:t>
            </w:r>
            <w:r w:rsidRPr="00F731E4">
              <w:rPr>
                <w:rFonts w:eastAsia="Times New Roman" w:cs="Calibri"/>
                <w:b/>
                <w:color w:val="000000"/>
                <w:spacing w:val="-2"/>
              </w:rPr>
              <w:lastRenderedPageBreak/>
              <w:t>efekt</w:t>
            </w:r>
          </w:p>
        </w:tc>
      </w:tr>
      <w:tr w:rsidR="004D6D78" w:rsidRPr="00F731E4" w14:paraId="4196987D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auto"/>
          </w:tcPr>
          <w:p w14:paraId="6E4E0159" w14:textId="0615DEE8" w:rsidR="004D6D78" w:rsidRPr="00F731E4" w:rsidRDefault="000E374D" w:rsidP="001547A4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lastRenderedPageBreak/>
              <w:t>Zapewnienie ciągłości świadczenia infolinii przez CEZ na numerze 19457 oraz przydzielenie dodatkowego numeru 19239 na ten cel.</w:t>
            </w:r>
          </w:p>
        </w:tc>
      </w:tr>
      <w:tr w:rsidR="004D6D78" w:rsidRPr="00F731E4" w14:paraId="3A14AE14" w14:textId="77777777" w:rsidTr="004D6D78">
        <w:trPr>
          <w:trHeight w:val="307"/>
        </w:trPr>
        <w:tc>
          <w:tcPr>
            <w:tcW w:w="5000" w:type="pct"/>
            <w:gridSpan w:val="29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964C635" w14:textId="77777777" w:rsidR="004D6D78" w:rsidRPr="00F731E4" w:rsidRDefault="004D6D78" w:rsidP="001A2E64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spacing w:val="-2"/>
              </w:rPr>
              <w:t>Jak problem został rozwiązany w innych krajach, w szczególności krajach członkowskich OECD/UE</w:t>
            </w:r>
            <w:r w:rsidRPr="00F731E4">
              <w:rPr>
                <w:rFonts w:eastAsia="Times New Roman" w:cs="Calibri"/>
                <w:b/>
                <w:color w:val="000000"/>
              </w:rPr>
              <w:t>?</w:t>
            </w:r>
            <w:r w:rsidRPr="00F731E4">
              <w:rPr>
                <w:rFonts w:eastAsia="Times New Roman" w:cs="Calibri"/>
                <w:i/>
                <w:color w:val="000000"/>
              </w:rPr>
              <w:t xml:space="preserve"> </w:t>
            </w:r>
          </w:p>
        </w:tc>
      </w:tr>
      <w:tr w:rsidR="004D6D78" w:rsidRPr="00F731E4" w14:paraId="7B39CAC9" w14:textId="77777777" w:rsidTr="004D6D78">
        <w:trPr>
          <w:trHeight w:val="359"/>
        </w:trPr>
        <w:tc>
          <w:tcPr>
            <w:tcW w:w="5000" w:type="pct"/>
            <w:gridSpan w:val="29"/>
            <w:shd w:val="clear" w:color="auto" w:fill="FFFFFF"/>
            <w:vAlign w:val="center"/>
          </w:tcPr>
          <w:p w14:paraId="46671267" w14:textId="60CBB636" w:rsidR="004D6D78" w:rsidRPr="00F731E4" w:rsidRDefault="00887746" w:rsidP="00D65A78">
            <w:pPr>
              <w:suppressAutoHyphens/>
              <w:spacing w:line="240" w:lineRule="auto"/>
              <w:jc w:val="both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t>Nie dotyczy.</w:t>
            </w:r>
          </w:p>
        </w:tc>
      </w:tr>
      <w:tr w:rsidR="004D6D78" w:rsidRPr="00F731E4" w14:paraId="025C6821" w14:textId="77777777" w:rsidTr="004D6D78">
        <w:trPr>
          <w:trHeight w:val="359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73258B42" w14:textId="77777777" w:rsidR="004D6D78" w:rsidRPr="00F731E4" w:rsidRDefault="004D6D78" w:rsidP="001A2E64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t>Podmioty, na które oddziałuje projekt</w:t>
            </w:r>
          </w:p>
        </w:tc>
      </w:tr>
      <w:tr w:rsidR="004D6D78" w:rsidRPr="00F731E4" w14:paraId="6C6CA237" w14:textId="77777777" w:rsidTr="00723A70">
        <w:trPr>
          <w:trHeight w:val="142"/>
        </w:trPr>
        <w:tc>
          <w:tcPr>
            <w:tcW w:w="1364" w:type="pct"/>
            <w:gridSpan w:val="2"/>
            <w:shd w:val="clear" w:color="auto" w:fill="auto"/>
          </w:tcPr>
          <w:p w14:paraId="2E1364EC" w14:textId="77777777" w:rsidR="004D6D78" w:rsidRPr="00F731E4" w:rsidRDefault="004D6D78" w:rsidP="00D65A78">
            <w:pPr>
              <w:suppressAutoHyphens/>
              <w:spacing w:before="40" w:line="240" w:lineRule="auto"/>
              <w:jc w:val="center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  <w:spacing w:val="-2"/>
              </w:rPr>
              <w:t>Grupa</w:t>
            </w:r>
          </w:p>
        </w:tc>
        <w:tc>
          <w:tcPr>
            <w:tcW w:w="974" w:type="pct"/>
            <w:gridSpan w:val="9"/>
            <w:shd w:val="clear" w:color="auto" w:fill="auto"/>
          </w:tcPr>
          <w:p w14:paraId="39138EA6" w14:textId="77777777" w:rsidR="004D6D78" w:rsidRPr="00F731E4" w:rsidRDefault="004D6D78" w:rsidP="00D65A78">
            <w:pPr>
              <w:suppressAutoHyphens/>
              <w:spacing w:before="40" w:line="240" w:lineRule="auto"/>
              <w:jc w:val="center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  <w:spacing w:val="-2"/>
              </w:rPr>
              <w:t>Wielkość</w:t>
            </w:r>
          </w:p>
        </w:tc>
        <w:tc>
          <w:tcPr>
            <w:tcW w:w="1247" w:type="pct"/>
            <w:gridSpan w:val="12"/>
            <w:shd w:val="clear" w:color="auto" w:fill="auto"/>
          </w:tcPr>
          <w:p w14:paraId="3E5449C6" w14:textId="77777777" w:rsidR="004D6D78" w:rsidRPr="00F731E4" w:rsidRDefault="004D6D78" w:rsidP="00D65A78">
            <w:pPr>
              <w:suppressAutoHyphens/>
              <w:spacing w:before="40" w:line="240" w:lineRule="auto"/>
              <w:jc w:val="center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  <w:spacing w:val="-2"/>
              </w:rPr>
              <w:t>Źródło danych</w:t>
            </w:r>
            <w:r w:rsidRPr="00F731E4" w:rsidDel="00260F33">
              <w:rPr>
                <w:rFonts w:eastAsia="Times New Roman" w:cs="Calibri"/>
                <w:color w:val="000000"/>
                <w:spacing w:val="-2"/>
              </w:rPr>
              <w:t xml:space="preserve"> </w:t>
            </w:r>
          </w:p>
        </w:tc>
        <w:tc>
          <w:tcPr>
            <w:tcW w:w="1415" w:type="pct"/>
            <w:gridSpan w:val="6"/>
            <w:shd w:val="clear" w:color="auto" w:fill="auto"/>
          </w:tcPr>
          <w:p w14:paraId="429F181B" w14:textId="77777777" w:rsidR="004D6D78" w:rsidRPr="00F731E4" w:rsidRDefault="004D6D78" w:rsidP="00D65A78">
            <w:pPr>
              <w:suppressAutoHyphens/>
              <w:spacing w:before="40" w:line="240" w:lineRule="auto"/>
              <w:jc w:val="center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  <w:spacing w:val="-2"/>
              </w:rPr>
              <w:t>Oddziaływanie</w:t>
            </w:r>
          </w:p>
        </w:tc>
      </w:tr>
      <w:tr w:rsidR="004D6D78" w:rsidRPr="00F731E4" w14:paraId="57A1CD3D" w14:textId="77777777" w:rsidTr="00723A70">
        <w:trPr>
          <w:trHeight w:val="142"/>
        </w:trPr>
        <w:tc>
          <w:tcPr>
            <w:tcW w:w="1364" w:type="pct"/>
            <w:gridSpan w:val="2"/>
            <w:shd w:val="clear" w:color="auto" w:fill="auto"/>
          </w:tcPr>
          <w:p w14:paraId="1E981317" w14:textId="1661B959" w:rsidR="004D6D78" w:rsidRPr="00F731E4" w:rsidRDefault="00887746" w:rsidP="00D65A78">
            <w:pPr>
              <w:suppressAutoHyphens/>
              <w:spacing w:before="12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Przedsiębiorcy telekomunikacyjni</w:t>
            </w:r>
          </w:p>
        </w:tc>
        <w:tc>
          <w:tcPr>
            <w:tcW w:w="974" w:type="pct"/>
            <w:gridSpan w:val="9"/>
            <w:shd w:val="clear" w:color="auto" w:fill="auto"/>
          </w:tcPr>
          <w:p w14:paraId="4B211D9D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</w:rPr>
            </w:pPr>
          </w:p>
          <w:p w14:paraId="5079FC15" w14:textId="3815B7CA" w:rsidR="004D6D78" w:rsidRPr="00F731E4" w:rsidRDefault="00887746" w:rsidP="00D65A78">
            <w:p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ok. 4100 </w:t>
            </w:r>
          </w:p>
        </w:tc>
        <w:tc>
          <w:tcPr>
            <w:tcW w:w="1247" w:type="pct"/>
            <w:gridSpan w:val="12"/>
            <w:shd w:val="clear" w:color="auto" w:fill="auto"/>
          </w:tcPr>
          <w:p w14:paraId="72C8889E" w14:textId="128E98AB" w:rsidR="004D6D78" w:rsidRPr="00F731E4" w:rsidRDefault="00887746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t>Rejestr przedsiębiorców telekomunikacyjnych</w:t>
            </w:r>
          </w:p>
        </w:tc>
        <w:tc>
          <w:tcPr>
            <w:tcW w:w="1415" w:type="pct"/>
            <w:gridSpan w:val="6"/>
            <w:shd w:val="clear" w:color="auto" w:fill="auto"/>
          </w:tcPr>
          <w:p w14:paraId="0C55EE40" w14:textId="21D84258" w:rsidR="004D6D78" w:rsidRPr="00F731E4" w:rsidRDefault="00FD0477" w:rsidP="00887746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t>K</w:t>
            </w:r>
            <w:r w:rsidR="00EA5E59">
              <w:rPr>
                <w:rFonts w:eastAsia="Times New Roman" w:cs="Calibri"/>
                <w:color w:val="000000"/>
                <w:spacing w:val="-2"/>
              </w:rPr>
              <w:t>onieczność wprowadzenia zmian</w:t>
            </w:r>
            <w:r w:rsidR="00887746" w:rsidRPr="00887746">
              <w:rPr>
                <w:rFonts w:eastAsia="Times New Roman" w:cs="Calibri"/>
                <w:color w:val="000000"/>
                <w:spacing w:val="-2"/>
              </w:rPr>
              <w:t xml:space="preserve"> w sieciach </w:t>
            </w:r>
            <w:r w:rsidR="00EA5E59">
              <w:rPr>
                <w:rFonts w:eastAsia="Times New Roman" w:cs="Calibri"/>
                <w:color w:val="000000"/>
                <w:spacing w:val="-2"/>
              </w:rPr>
              <w:t xml:space="preserve">telekomunikacyjnych uwzględniających właściwe kierowanie </w:t>
            </w:r>
            <w:proofErr w:type="spellStart"/>
            <w:r w:rsidR="00EA5E59">
              <w:rPr>
                <w:rFonts w:eastAsia="Times New Roman" w:cs="Calibri"/>
                <w:color w:val="000000"/>
                <w:spacing w:val="-2"/>
              </w:rPr>
              <w:t>wywołań</w:t>
            </w:r>
            <w:proofErr w:type="spellEnd"/>
            <w:r w:rsidR="00EA5E59">
              <w:rPr>
                <w:rFonts w:eastAsia="Times New Roman" w:cs="Calibri"/>
                <w:color w:val="000000"/>
                <w:spacing w:val="-2"/>
              </w:rPr>
              <w:t xml:space="preserve"> do numeru 19239 po jego uruchomieniu</w:t>
            </w:r>
          </w:p>
        </w:tc>
      </w:tr>
      <w:tr w:rsidR="004D6D78" w:rsidRPr="00F731E4" w14:paraId="3AC87E72" w14:textId="77777777" w:rsidTr="00723A70">
        <w:trPr>
          <w:trHeight w:val="142"/>
        </w:trPr>
        <w:tc>
          <w:tcPr>
            <w:tcW w:w="1364" w:type="pct"/>
            <w:gridSpan w:val="2"/>
            <w:shd w:val="clear" w:color="auto" w:fill="auto"/>
          </w:tcPr>
          <w:p w14:paraId="754B7BA4" w14:textId="1F59FC6B" w:rsidR="004D6D78" w:rsidRPr="00F731E4" w:rsidRDefault="00A01EF7" w:rsidP="00D65A78">
            <w:pPr>
              <w:suppressAutoHyphens/>
              <w:spacing w:before="12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Prezes UKE</w:t>
            </w:r>
          </w:p>
        </w:tc>
        <w:tc>
          <w:tcPr>
            <w:tcW w:w="974" w:type="pct"/>
            <w:gridSpan w:val="9"/>
            <w:shd w:val="clear" w:color="auto" w:fill="auto"/>
          </w:tcPr>
          <w:p w14:paraId="6BD344A7" w14:textId="7F86037A" w:rsidR="004D6D78" w:rsidRPr="00F731E4" w:rsidRDefault="00A01EF7" w:rsidP="00D65A78">
            <w:pPr>
              <w:suppressAutoHyphens/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1247" w:type="pct"/>
            <w:gridSpan w:val="12"/>
            <w:shd w:val="clear" w:color="auto" w:fill="auto"/>
          </w:tcPr>
          <w:p w14:paraId="22FDA119" w14:textId="452A0C6B" w:rsidR="004D6D78" w:rsidRPr="00F731E4" w:rsidRDefault="00A01EF7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t xml:space="preserve">ustawa </w:t>
            </w:r>
            <w:r w:rsidR="002D60D7">
              <w:rPr>
                <w:rFonts w:eastAsia="Times New Roman" w:cs="Calibri"/>
                <w:color w:val="000000"/>
                <w:spacing w:val="-2"/>
              </w:rPr>
              <w:t xml:space="preserve">- </w:t>
            </w:r>
            <w:r>
              <w:rPr>
                <w:rFonts w:eastAsia="Times New Roman" w:cs="Calibri"/>
                <w:color w:val="000000"/>
                <w:spacing w:val="-2"/>
              </w:rPr>
              <w:t>Prawo telekomunikacyjne</w:t>
            </w:r>
          </w:p>
        </w:tc>
        <w:tc>
          <w:tcPr>
            <w:tcW w:w="1415" w:type="pct"/>
            <w:gridSpan w:val="6"/>
            <w:shd w:val="clear" w:color="auto" w:fill="auto"/>
          </w:tcPr>
          <w:p w14:paraId="7719FB3E" w14:textId="2CCF34EC" w:rsidR="004D6D78" w:rsidRPr="00F731E4" w:rsidRDefault="00A01EF7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A01EF7">
              <w:rPr>
                <w:rFonts w:eastAsia="Times New Roman" w:cs="Calibri"/>
                <w:color w:val="000000"/>
                <w:spacing w:val="-2"/>
              </w:rPr>
              <w:t>Organ nadzorujący gospodarowanie numeracją w publicznych sieciach telekomunikacyjnych.</w:t>
            </w:r>
          </w:p>
        </w:tc>
      </w:tr>
      <w:tr w:rsidR="004D6D78" w:rsidRPr="00F731E4" w14:paraId="5731640B" w14:textId="77777777" w:rsidTr="00723A70">
        <w:trPr>
          <w:trHeight w:val="142"/>
        </w:trPr>
        <w:tc>
          <w:tcPr>
            <w:tcW w:w="1364" w:type="pct"/>
            <w:gridSpan w:val="2"/>
            <w:shd w:val="clear" w:color="auto" w:fill="auto"/>
          </w:tcPr>
          <w:p w14:paraId="38A7BE3F" w14:textId="094B6E9D" w:rsidR="004D6D78" w:rsidRPr="00F731E4" w:rsidRDefault="00A01EF7" w:rsidP="00A01EF7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t xml:space="preserve">Pacjenci, pracownicy medyczni, podmioty wykonujące działalność leczniczą oraz inne podmioty </w:t>
            </w:r>
            <w:r w:rsidRPr="00A01EF7">
              <w:rPr>
                <w:rFonts w:eastAsia="Times New Roman" w:cs="Calibri"/>
                <w:color w:val="000000"/>
                <w:spacing w:val="-2"/>
              </w:rPr>
              <w:t>sektora ochrony zdrowia</w:t>
            </w:r>
          </w:p>
        </w:tc>
        <w:tc>
          <w:tcPr>
            <w:tcW w:w="974" w:type="pct"/>
            <w:gridSpan w:val="9"/>
            <w:shd w:val="clear" w:color="auto" w:fill="auto"/>
          </w:tcPr>
          <w:p w14:paraId="163A40C5" w14:textId="6B02B1F1" w:rsidR="004D6D78" w:rsidRPr="00F731E4" w:rsidRDefault="00A01EF7" w:rsidP="00A01EF7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t>-------------</w:t>
            </w:r>
          </w:p>
        </w:tc>
        <w:tc>
          <w:tcPr>
            <w:tcW w:w="1247" w:type="pct"/>
            <w:gridSpan w:val="12"/>
            <w:shd w:val="clear" w:color="auto" w:fill="auto"/>
          </w:tcPr>
          <w:p w14:paraId="53D37CCA" w14:textId="617147D6" w:rsidR="004D6D78" w:rsidRPr="00F731E4" w:rsidRDefault="00A01EF7" w:rsidP="00A01EF7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t>--------------------</w:t>
            </w:r>
          </w:p>
        </w:tc>
        <w:tc>
          <w:tcPr>
            <w:tcW w:w="1415" w:type="pct"/>
            <w:gridSpan w:val="6"/>
            <w:shd w:val="clear" w:color="auto" w:fill="auto"/>
          </w:tcPr>
          <w:p w14:paraId="73672633" w14:textId="01BF2B31" w:rsidR="004D6D78" w:rsidRPr="00F731E4" w:rsidRDefault="00A01EF7" w:rsidP="00A01EF7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t xml:space="preserve">Możliwość korzystania z infolinii </w:t>
            </w:r>
            <w:proofErr w:type="spellStart"/>
            <w:r>
              <w:rPr>
                <w:rFonts w:eastAsia="Times New Roman" w:cs="Calibri"/>
                <w:color w:val="000000"/>
                <w:spacing w:val="-2"/>
              </w:rPr>
              <w:t>CeZ</w:t>
            </w:r>
            <w:proofErr w:type="spellEnd"/>
            <w:r>
              <w:rPr>
                <w:rFonts w:eastAsia="Times New Roman" w:cs="Calibri"/>
                <w:color w:val="000000"/>
                <w:spacing w:val="-2"/>
              </w:rPr>
              <w:t xml:space="preserve"> świadczonej w oparciu o niezmienne numery.</w:t>
            </w:r>
          </w:p>
        </w:tc>
      </w:tr>
      <w:tr w:rsidR="00FD0477" w:rsidRPr="00F731E4" w14:paraId="16FAA720" w14:textId="77777777" w:rsidTr="00723A70">
        <w:trPr>
          <w:trHeight w:val="142"/>
        </w:trPr>
        <w:tc>
          <w:tcPr>
            <w:tcW w:w="1364" w:type="pct"/>
            <w:gridSpan w:val="2"/>
            <w:shd w:val="clear" w:color="auto" w:fill="auto"/>
          </w:tcPr>
          <w:p w14:paraId="1CD7DB08" w14:textId="22C56796" w:rsidR="00FD0477" w:rsidRPr="00F731E4" w:rsidRDefault="00FD0477" w:rsidP="00FD0477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t>Podmioty tworzące infolinie</w:t>
            </w:r>
          </w:p>
        </w:tc>
        <w:tc>
          <w:tcPr>
            <w:tcW w:w="974" w:type="pct"/>
            <w:gridSpan w:val="9"/>
            <w:shd w:val="clear" w:color="auto" w:fill="auto"/>
          </w:tcPr>
          <w:p w14:paraId="67C09366" w14:textId="152F9017" w:rsidR="00FD0477" w:rsidRPr="00F731E4" w:rsidRDefault="00FD0477" w:rsidP="00FD0477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t>-------------</w:t>
            </w:r>
          </w:p>
        </w:tc>
        <w:tc>
          <w:tcPr>
            <w:tcW w:w="1247" w:type="pct"/>
            <w:gridSpan w:val="12"/>
            <w:shd w:val="clear" w:color="auto" w:fill="auto"/>
          </w:tcPr>
          <w:p w14:paraId="74D41DD4" w14:textId="5CB77BD3" w:rsidR="00FD0477" w:rsidRPr="00F731E4" w:rsidRDefault="00FD0477" w:rsidP="00FD0477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t>--------------------</w:t>
            </w:r>
          </w:p>
        </w:tc>
        <w:tc>
          <w:tcPr>
            <w:tcW w:w="1415" w:type="pct"/>
            <w:gridSpan w:val="6"/>
            <w:shd w:val="clear" w:color="auto" w:fill="auto"/>
          </w:tcPr>
          <w:p w14:paraId="08895125" w14:textId="350E7E12" w:rsidR="00FD0477" w:rsidRPr="00F731E4" w:rsidRDefault="004F1D79" w:rsidP="00FD0477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t>Świadczenie usług</w:t>
            </w:r>
            <w:r w:rsidR="00FD0477">
              <w:rPr>
                <w:rFonts w:eastAsia="Times New Roman" w:cs="Calibri"/>
                <w:color w:val="000000"/>
                <w:spacing w:val="-2"/>
              </w:rPr>
              <w:t xml:space="preserve"> infolinii na rzecz podmiotów medycznych.</w:t>
            </w:r>
          </w:p>
        </w:tc>
      </w:tr>
      <w:tr w:rsidR="004D6D78" w:rsidRPr="00F731E4" w14:paraId="43A9B497" w14:textId="77777777" w:rsidTr="00723A70">
        <w:trPr>
          <w:trHeight w:val="142"/>
        </w:trPr>
        <w:tc>
          <w:tcPr>
            <w:tcW w:w="1364" w:type="pct"/>
            <w:gridSpan w:val="2"/>
            <w:shd w:val="clear" w:color="auto" w:fill="auto"/>
          </w:tcPr>
          <w:p w14:paraId="28EA3052" w14:textId="7854A061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</w:p>
        </w:tc>
        <w:tc>
          <w:tcPr>
            <w:tcW w:w="974" w:type="pct"/>
            <w:gridSpan w:val="9"/>
            <w:shd w:val="clear" w:color="auto" w:fill="auto"/>
          </w:tcPr>
          <w:p w14:paraId="3B4C8E62" w14:textId="6199A53E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</w:p>
        </w:tc>
        <w:tc>
          <w:tcPr>
            <w:tcW w:w="1247" w:type="pct"/>
            <w:gridSpan w:val="12"/>
            <w:shd w:val="clear" w:color="auto" w:fill="auto"/>
          </w:tcPr>
          <w:p w14:paraId="24D6F78E" w14:textId="77777777" w:rsidR="004D6D78" w:rsidRPr="00F731E4" w:rsidRDefault="004D6D78" w:rsidP="000E374D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</w:p>
        </w:tc>
        <w:tc>
          <w:tcPr>
            <w:tcW w:w="1415" w:type="pct"/>
            <w:gridSpan w:val="6"/>
            <w:shd w:val="clear" w:color="auto" w:fill="auto"/>
          </w:tcPr>
          <w:p w14:paraId="6F9509E6" w14:textId="5E652D0A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</w:p>
        </w:tc>
      </w:tr>
      <w:tr w:rsidR="004D6D78" w:rsidRPr="00F731E4" w14:paraId="713DA4DA" w14:textId="77777777" w:rsidTr="004D6D78">
        <w:trPr>
          <w:trHeight w:val="302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6081DE65" w14:textId="77777777" w:rsidR="004D6D78" w:rsidRPr="00F731E4" w:rsidRDefault="004D6D78" w:rsidP="001A2E64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4D6D78" w:rsidRPr="00F731E4" w14:paraId="4D435191" w14:textId="77777777" w:rsidTr="004D6D78">
        <w:trPr>
          <w:trHeight w:val="342"/>
        </w:trPr>
        <w:tc>
          <w:tcPr>
            <w:tcW w:w="5000" w:type="pct"/>
            <w:gridSpan w:val="29"/>
            <w:shd w:val="clear" w:color="auto" w:fill="FFFFFF"/>
          </w:tcPr>
          <w:p w14:paraId="64EA2911" w14:textId="2BA8FEE1" w:rsidR="004D6D78" w:rsidRPr="00F731E4" w:rsidRDefault="00DF46F9" w:rsidP="00D65A78">
            <w:p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>
              <w:rPr>
                <w:rFonts w:cs="Calibri"/>
                <w:color w:val="000000"/>
                <w:spacing w:val="-2"/>
              </w:rPr>
              <w:t>Projekt został</w:t>
            </w:r>
            <w:r w:rsidR="004D6D78" w:rsidRPr="00F731E4">
              <w:rPr>
                <w:rFonts w:cs="Calibri"/>
                <w:color w:val="000000"/>
                <w:spacing w:val="-2"/>
              </w:rPr>
              <w:t xml:space="preserve"> poddany konsultacjom publicznym oraz opiniowaniu.</w:t>
            </w:r>
          </w:p>
          <w:p w14:paraId="6EAD3629" w14:textId="77777777" w:rsidR="00F83846" w:rsidRPr="00F731E4" w:rsidRDefault="00F83846" w:rsidP="00F83846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 xml:space="preserve">W ramach konsultacji publicznych </w:t>
            </w:r>
            <w:r>
              <w:rPr>
                <w:rFonts w:eastAsia="Times New Roman" w:cs="Calibri"/>
                <w:color w:val="000000"/>
              </w:rPr>
              <w:t>i opiniowania projekt rozporządzenia otrzymali</w:t>
            </w:r>
            <w:r w:rsidRPr="00F731E4">
              <w:rPr>
                <w:rFonts w:eastAsia="Times New Roman" w:cs="Calibri"/>
                <w:color w:val="000000"/>
              </w:rPr>
              <w:t xml:space="preserve">: </w:t>
            </w:r>
          </w:p>
          <w:p w14:paraId="0603C0F7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Prezes Urzędu Komunikacji Elektronicznej;</w:t>
            </w:r>
          </w:p>
          <w:p w14:paraId="590E7B8D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Prezes Urzędu Ochrony Konkurencji i Konsumentów;</w:t>
            </w:r>
          </w:p>
          <w:p w14:paraId="1BA6B66D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Prezes Urzędu Ochrony Danych Osobowych;</w:t>
            </w:r>
          </w:p>
          <w:p w14:paraId="65B14425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Prezes Głównego Urzędu Statystycznego;</w:t>
            </w:r>
          </w:p>
          <w:p w14:paraId="5C902365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Rzecznik Małych i Średnich Przedsiębiorców;</w:t>
            </w:r>
          </w:p>
          <w:p w14:paraId="20AABF5F" w14:textId="77777777" w:rsidR="00F83846" w:rsidRPr="00FD656E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Rada Dialogu Społecznego;</w:t>
            </w:r>
          </w:p>
          <w:p w14:paraId="517C65A5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Polska Izba Informatyki i Telekomunikacji; </w:t>
            </w:r>
          </w:p>
          <w:p w14:paraId="2C544562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Krajowa Izba Gospodarcza Elektroniki i Telekomunikacji;</w:t>
            </w:r>
          </w:p>
          <w:p w14:paraId="37F67D4B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Polska Izba Komunikacji Elektronicznej;</w:t>
            </w:r>
          </w:p>
          <w:p w14:paraId="06318509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Krajowa Izba Gospodarcza;</w:t>
            </w:r>
          </w:p>
          <w:p w14:paraId="34C95521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Krajowa Izba Komunikacji </w:t>
            </w:r>
            <w:proofErr w:type="spellStart"/>
            <w:r>
              <w:rPr>
                <w:rFonts w:eastAsia="Times New Roman" w:cs="Calibri"/>
              </w:rPr>
              <w:t>Ethernetowej</w:t>
            </w:r>
            <w:proofErr w:type="spellEnd"/>
            <w:r>
              <w:rPr>
                <w:rFonts w:eastAsia="Times New Roman" w:cs="Calibri"/>
              </w:rPr>
              <w:t>;</w:t>
            </w:r>
          </w:p>
          <w:p w14:paraId="2AD3A8EF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Polska Izba Radiodyfuzji Cyfrowej;</w:t>
            </w:r>
          </w:p>
          <w:p w14:paraId="1504996A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Polska Izba Handlu;</w:t>
            </w:r>
          </w:p>
          <w:p w14:paraId="6C7E4103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Polskie Towarzystwo Informatyczne;</w:t>
            </w:r>
          </w:p>
          <w:p w14:paraId="4290F132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Stowarzyszenie Inżynierów Telekomunikacji;</w:t>
            </w:r>
          </w:p>
          <w:p w14:paraId="4D81F496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Polska Rada Biznesu;</w:t>
            </w:r>
          </w:p>
          <w:p w14:paraId="0D910E24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Naczelna Organizacja Techniczna;</w:t>
            </w:r>
          </w:p>
          <w:p w14:paraId="10D820EC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Izba Gospodarki Elektronicznej;</w:t>
            </w:r>
          </w:p>
          <w:p w14:paraId="4E73A6CB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Fundacja </w:t>
            </w:r>
            <w:proofErr w:type="spellStart"/>
            <w:r>
              <w:rPr>
                <w:rFonts w:eastAsia="Times New Roman" w:cs="Calibri"/>
              </w:rPr>
              <w:t>ePaństwo</w:t>
            </w:r>
            <w:proofErr w:type="spellEnd"/>
            <w:r>
              <w:rPr>
                <w:rFonts w:eastAsia="Times New Roman" w:cs="Calibri"/>
              </w:rPr>
              <w:t>;</w:t>
            </w:r>
          </w:p>
          <w:p w14:paraId="45D2A844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Związek Telewizji Kablowych w Polsce Izba Gospodarcza;</w:t>
            </w:r>
          </w:p>
          <w:p w14:paraId="3D8E0F78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Business Centre Club;</w:t>
            </w:r>
          </w:p>
          <w:p w14:paraId="0DF45579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Federacja „Porozumienie Zielonogórskie”;</w:t>
            </w:r>
          </w:p>
          <w:p w14:paraId="717FC57E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Federacja Związków Zawodowych Pracowników Telekomunikacji;</w:t>
            </w:r>
          </w:p>
          <w:p w14:paraId="4DC85800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Forum Związków Zawodowych;</w:t>
            </w:r>
          </w:p>
          <w:p w14:paraId="19E4E121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Konfederacja Lewiatan;</w:t>
            </w:r>
          </w:p>
          <w:p w14:paraId="7C9D5C64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NSZZ Solidarność;</w:t>
            </w:r>
          </w:p>
          <w:p w14:paraId="3BEE6B61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Ogólnopolskie Porozumienie Związków Zawodowych;</w:t>
            </w:r>
          </w:p>
          <w:p w14:paraId="449A363D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Pracodawcy RP;</w:t>
            </w:r>
          </w:p>
          <w:p w14:paraId="6B1F9F5E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Związek Przedsiębiorców i Pracodawców;</w:t>
            </w:r>
          </w:p>
          <w:p w14:paraId="3731D7DA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 w:rsidRPr="00AF11EB">
              <w:rPr>
                <w:rFonts w:eastAsia="Times New Roman" w:cs="Calibri"/>
              </w:rPr>
              <w:t>Związek Rzemiosła Polskiego.</w:t>
            </w:r>
          </w:p>
          <w:p w14:paraId="0E32A608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Związek Pracodawców Mediów Publicznych;</w:t>
            </w:r>
          </w:p>
          <w:p w14:paraId="48184098" w14:textId="77777777" w:rsid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Związek Pracodawców Branży Internetowej IAB Polska;</w:t>
            </w:r>
          </w:p>
          <w:p w14:paraId="37584546" w14:textId="6A11D1E9" w:rsidR="001451E9" w:rsidRPr="00F83846" w:rsidRDefault="00F83846" w:rsidP="00F83846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Związek Pracodawców Mediów Elektronicznych i Telekomunikacji </w:t>
            </w:r>
            <w:proofErr w:type="spellStart"/>
            <w:r>
              <w:rPr>
                <w:rFonts w:eastAsia="Times New Roman" w:cs="Calibri"/>
              </w:rPr>
              <w:t>Mediakom</w:t>
            </w:r>
            <w:proofErr w:type="spellEnd"/>
            <w:r>
              <w:rPr>
                <w:rFonts w:eastAsia="Times New Roman" w:cs="Calibri"/>
              </w:rPr>
              <w:t>;</w:t>
            </w:r>
          </w:p>
          <w:p w14:paraId="70F31746" w14:textId="77777777" w:rsidR="001451E9" w:rsidRPr="001451E9" w:rsidRDefault="001451E9" w:rsidP="001451E9">
            <w:pPr>
              <w:spacing w:line="240" w:lineRule="auto"/>
              <w:ind w:left="643"/>
              <w:rPr>
                <w:rFonts w:eastAsia="Times New Roman" w:cs="Calibri"/>
              </w:rPr>
            </w:pPr>
          </w:p>
          <w:p w14:paraId="6AE0CDC8" w14:textId="60EE5E16" w:rsidR="004D6D78" w:rsidRPr="00F731E4" w:rsidRDefault="004D6D78" w:rsidP="00D65A78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bCs/>
              </w:rPr>
              <w:t>Zgodnie z art. 5 ustawy z dnia 7 lipca 2005 r. o działalności lobbingowej w procesie stanowienia prawa (Dz. U. z 2017 r. poz. 248) proj</w:t>
            </w:r>
            <w:r w:rsidR="00DF46F9">
              <w:rPr>
                <w:rFonts w:eastAsia="Times New Roman" w:cs="Calibri"/>
                <w:bCs/>
              </w:rPr>
              <w:t>ektowane rozporządzenie zostało</w:t>
            </w:r>
            <w:r w:rsidRPr="00F731E4">
              <w:rPr>
                <w:rFonts w:eastAsia="Times New Roman" w:cs="Calibri"/>
                <w:bCs/>
              </w:rPr>
              <w:t xml:space="preserve"> udostępnione w Biuletynie Informacji Publicznej na stronie podmiotowej Ministra Cyfryzacji oraz w Biuletynie Informacji Publicznej na stronie podmiotowej Rządowego Centrum Legislacji, w serwisie Rządowy Proces Legislacyjny. </w:t>
            </w:r>
          </w:p>
        </w:tc>
      </w:tr>
      <w:tr w:rsidR="004D6D78" w:rsidRPr="00F731E4" w14:paraId="64E56FE6" w14:textId="77777777" w:rsidTr="004D6D78">
        <w:trPr>
          <w:trHeight w:val="363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2A9D056A" w14:textId="77777777" w:rsidR="004D6D78" w:rsidRPr="00F731E4" w:rsidRDefault="004D6D78" w:rsidP="001A2E64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4D6D78" w:rsidRPr="00F731E4" w14:paraId="414A66A7" w14:textId="77777777" w:rsidTr="00723A70">
        <w:trPr>
          <w:trHeight w:val="142"/>
        </w:trPr>
        <w:tc>
          <w:tcPr>
            <w:tcW w:w="1581" w:type="pct"/>
            <w:gridSpan w:val="4"/>
            <w:vMerge w:val="restart"/>
            <w:shd w:val="clear" w:color="auto" w:fill="FFFFFF"/>
          </w:tcPr>
          <w:p w14:paraId="5102B3D4" w14:textId="77777777" w:rsidR="004D6D78" w:rsidRPr="00F731E4" w:rsidRDefault="004D6D78" w:rsidP="00D65A78">
            <w:pPr>
              <w:suppressAutoHyphens/>
              <w:spacing w:before="40" w:after="40" w:line="240" w:lineRule="auto"/>
              <w:rPr>
                <w:rFonts w:eastAsia="Times New Roman" w:cs="Calibri"/>
                <w:i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(ceny stałe z …… r.)</w:t>
            </w:r>
          </w:p>
        </w:tc>
        <w:tc>
          <w:tcPr>
            <w:tcW w:w="3419" w:type="pct"/>
            <w:gridSpan w:val="25"/>
            <w:shd w:val="clear" w:color="auto" w:fill="FFFFFF"/>
          </w:tcPr>
          <w:p w14:paraId="6FB9ADB8" w14:textId="77777777" w:rsidR="004D6D78" w:rsidRPr="00F731E4" w:rsidRDefault="004D6D78" w:rsidP="00D65A78">
            <w:pPr>
              <w:suppressAutoHyphens/>
              <w:spacing w:before="40" w:after="40" w:line="240" w:lineRule="auto"/>
              <w:jc w:val="center"/>
              <w:rPr>
                <w:rFonts w:eastAsia="Times New Roman" w:cs="Calibri"/>
                <w:i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t>Skutki w okresie 10 lat od wejścia w życie zmian [mln zł]</w:t>
            </w:r>
          </w:p>
        </w:tc>
      </w:tr>
      <w:tr w:rsidR="00EA5E59" w:rsidRPr="00F731E4" w14:paraId="0FBC3671" w14:textId="77777777" w:rsidTr="00723A70">
        <w:trPr>
          <w:trHeight w:val="142"/>
        </w:trPr>
        <w:tc>
          <w:tcPr>
            <w:tcW w:w="1581" w:type="pct"/>
            <w:gridSpan w:val="4"/>
            <w:vMerge/>
            <w:shd w:val="clear" w:color="auto" w:fill="FFFFFF"/>
          </w:tcPr>
          <w:p w14:paraId="5E50E36B" w14:textId="77777777" w:rsidR="004D6D78" w:rsidRPr="00F731E4" w:rsidRDefault="004D6D78" w:rsidP="00D65A78">
            <w:pPr>
              <w:suppressAutoHyphens/>
              <w:spacing w:before="40" w:after="40" w:line="240" w:lineRule="auto"/>
              <w:rPr>
                <w:rFonts w:eastAsia="Times New Roman" w:cs="Calibri"/>
                <w:i/>
                <w:color w:val="000000"/>
              </w:rPr>
            </w:pPr>
          </w:p>
        </w:tc>
        <w:tc>
          <w:tcPr>
            <w:tcW w:w="258" w:type="pct"/>
            <w:gridSpan w:val="2"/>
            <w:shd w:val="clear" w:color="auto" w:fill="FFFFFF"/>
          </w:tcPr>
          <w:p w14:paraId="60315609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14:paraId="5FBE9320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2D1F1622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11" w:type="pct"/>
            <w:gridSpan w:val="3"/>
            <w:shd w:val="clear" w:color="auto" w:fill="FFFFFF"/>
          </w:tcPr>
          <w:p w14:paraId="1CA0D239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39" w:type="pct"/>
            <w:gridSpan w:val="2"/>
            <w:shd w:val="clear" w:color="auto" w:fill="FFFFFF"/>
          </w:tcPr>
          <w:p w14:paraId="60AD8D34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45" w:type="pct"/>
            <w:shd w:val="clear" w:color="auto" w:fill="FFFFFF"/>
          </w:tcPr>
          <w:p w14:paraId="7D0EDC14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31" w:type="pct"/>
            <w:gridSpan w:val="3"/>
            <w:shd w:val="clear" w:color="auto" w:fill="FFFFFF"/>
          </w:tcPr>
          <w:p w14:paraId="3E1DE373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33" w:type="pct"/>
            <w:gridSpan w:val="3"/>
            <w:shd w:val="clear" w:color="auto" w:fill="FFFFFF"/>
          </w:tcPr>
          <w:p w14:paraId="1BAB9A1B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17" w:type="pct"/>
            <w:gridSpan w:val="2"/>
            <w:shd w:val="clear" w:color="auto" w:fill="FFFFFF"/>
          </w:tcPr>
          <w:p w14:paraId="2143C3CB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97" w:type="pct"/>
            <w:gridSpan w:val="2"/>
            <w:shd w:val="clear" w:color="auto" w:fill="FFFFFF"/>
          </w:tcPr>
          <w:p w14:paraId="3FBB0F40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53" w:type="pct"/>
            <w:shd w:val="clear" w:color="auto" w:fill="FFFFFF"/>
          </w:tcPr>
          <w:p w14:paraId="0644CF30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861" w:type="pct"/>
            <w:gridSpan w:val="2"/>
            <w:shd w:val="clear" w:color="auto" w:fill="FFFFFF"/>
          </w:tcPr>
          <w:p w14:paraId="18CD1C1D" w14:textId="77777777" w:rsidR="004D6D78" w:rsidRPr="00F731E4" w:rsidRDefault="004D6D78" w:rsidP="00D65A78">
            <w:pPr>
              <w:suppressAutoHyphens/>
              <w:spacing w:before="40" w:after="40" w:line="240" w:lineRule="auto"/>
              <w:jc w:val="center"/>
              <w:rPr>
                <w:rFonts w:eastAsia="Times New Roman" w:cs="Calibri"/>
                <w:i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i/>
                <w:color w:val="000000"/>
                <w:spacing w:val="-2"/>
              </w:rPr>
              <w:t xml:space="preserve">Łącznie </w:t>
            </w:r>
            <w:r w:rsidRPr="00F731E4">
              <w:rPr>
                <w:rFonts w:eastAsia="Times New Roman" w:cs="Calibri"/>
                <w:i/>
                <w:color w:val="000000"/>
                <w:spacing w:val="-2"/>
              </w:rPr>
              <w:br/>
              <w:t>(0-10)</w:t>
            </w:r>
          </w:p>
        </w:tc>
      </w:tr>
      <w:tr w:rsidR="00EA5E59" w:rsidRPr="00F731E4" w14:paraId="2EB3BA70" w14:textId="77777777" w:rsidTr="00723A70">
        <w:trPr>
          <w:trHeight w:val="321"/>
        </w:trPr>
        <w:tc>
          <w:tcPr>
            <w:tcW w:w="1581" w:type="pct"/>
            <w:gridSpan w:val="4"/>
            <w:shd w:val="clear" w:color="auto" w:fill="FFFFFF"/>
            <w:vAlign w:val="center"/>
          </w:tcPr>
          <w:p w14:paraId="42813F7A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t>Dochody ogółem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736D0E86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14:paraId="39D3176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7235937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1" w:type="pct"/>
            <w:gridSpan w:val="3"/>
            <w:shd w:val="clear" w:color="auto" w:fill="FFFFFF"/>
          </w:tcPr>
          <w:p w14:paraId="0C67669F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/>
          </w:tcPr>
          <w:p w14:paraId="75D89755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1132933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1" w:type="pct"/>
            <w:gridSpan w:val="3"/>
            <w:shd w:val="clear" w:color="auto" w:fill="FFFFFF"/>
          </w:tcPr>
          <w:p w14:paraId="5C4657D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3" w:type="pct"/>
            <w:gridSpan w:val="3"/>
            <w:shd w:val="clear" w:color="auto" w:fill="FFFFFF"/>
          </w:tcPr>
          <w:p w14:paraId="11A5533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7" w:type="pct"/>
            <w:gridSpan w:val="2"/>
            <w:shd w:val="clear" w:color="auto" w:fill="FFFFFF"/>
          </w:tcPr>
          <w:p w14:paraId="0E76129D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97" w:type="pct"/>
            <w:gridSpan w:val="2"/>
            <w:shd w:val="clear" w:color="auto" w:fill="FFFFFF"/>
          </w:tcPr>
          <w:p w14:paraId="62B4DC4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4F72DE44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61" w:type="pct"/>
            <w:gridSpan w:val="2"/>
            <w:shd w:val="clear" w:color="auto" w:fill="FFFFFF"/>
          </w:tcPr>
          <w:p w14:paraId="04C5AE1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  <w:spacing w:val="-2"/>
              </w:rPr>
              <w:t>0</w:t>
            </w:r>
          </w:p>
        </w:tc>
      </w:tr>
      <w:tr w:rsidR="00EA5E59" w:rsidRPr="00F731E4" w14:paraId="1F0A582D" w14:textId="77777777" w:rsidTr="00723A70">
        <w:trPr>
          <w:trHeight w:val="321"/>
        </w:trPr>
        <w:tc>
          <w:tcPr>
            <w:tcW w:w="1581" w:type="pct"/>
            <w:gridSpan w:val="4"/>
            <w:shd w:val="clear" w:color="auto" w:fill="FFFFFF"/>
            <w:vAlign w:val="center"/>
          </w:tcPr>
          <w:p w14:paraId="4004229E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budżet państwa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79B0EF9F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14:paraId="13E59A0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6A51D9E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1" w:type="pct"/>
            <w:gridSpan w:val="3"/>
            <w:shd w:val="clear" w:color="auto" w:fill="FFFFFF"/>
          </w:tcPr>
          <w:p w14:paraId="61223076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/>
          </w:tcPr>
          <w:p w14:paraId="77AA172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534614E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1" w:type="pct"/>
            <w:gridSpan w:val="3"/>
            <w:shd w:val="clear" w:color="auto" w:fill="FFFFFF"/>
          </w:tcPr>
          <w:p w14:paraId="429D639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3" w:type="pct"/>
            <w:gridSpan w:val="3"/>
            <w:shd w:val="clear" w:color="auto" w:fill="FFFFFF"/>
          </w:tcPr>
          <w:p w14:paraId="2B02B176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7" w:type="pct"/>
            <w:gridSpan w:val="2"/>
            <w:shd w:val="clear" w:color="auto" w:fill="FFFFFF"/>
          </w:tcPr>
          <w:p w14:paraId="215EBD4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97" w:type="pct"/>
            <w:gridSpan w:val="2"/>
            <w:shd w:val="clear" w:color="auto" w:fill="FFFFFF"/>
          </w:tcPr>
          <w:p w14:paraId="4A903C96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1A7120A2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61" w:type="pct"/>
            <w:gridSpan w:val="2"/>
            <w:shd w:val="clear" w:color="auto" w:fill="FFFFFF"/>
          </w:tcPr>
          <w:p w14:paraId="00FDAE0A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  <w:spacing w:val="-2"/>
              </w:rPr>
              <w:t>0</w:t>
            </w:r>
          </w:p>
        </w:tc>
      </w:tr>
      <w:tr w:rsidR="00EA5E59" w:rsidRPr="00F731E4" w14:paraId="464B7204" w14:textId="77777777" w:rsidTr="00723A70">
        <w:trPr>
          <w:trHeight w:val="344"/>
        </w:trPr>
        <w:tc>
          <w:tcPr>
            <w:tcW w:w="1581" w:type="pct"/>
            <w:gridSpan w:val="4"/>
            <w:shd w:val="clear" w:color="auto" w:fill="FFFFFF"/>
            <w:vAlign w:val="center"/>
          </w:tcPr>
          <w:p w14:paraId="6AE58612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JST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0255501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14:paraId="1DED9796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3EDD0F3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1" w:type="pct"/>
            <w:gridSpan w:val="3"/>
            <w:shd w:val="clear" w:color="auto" w:fill="FFFFFF"/>
          </w:tcPr>
          <w:p w14:paraId="419C900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/>
          </w:tcPr>
          <w:p w14:paraId="2E4E7CD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141725B6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1" w:type="pct"/>
            <w:gridSpan w:val="3"/>
            <w:shd w:val="clear" w:color="auto" w:fill="FFFFFF"/>
          </w:tcPr>
          <w:p w14:paraId="570E6B0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3" w:type="pct"/>
            <w:gridSpan w:val="3"/>
            <w:shd w:val="clear" w:color="auto" w:fill="FFFFFF"/>
          </w:tcPr>
          <w:p w14:paraId="5F2D5A1D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7" w:type="pct"/>
            <w:gridSpan w:val="2"/>
            <w:shd w:val="clear" w:color="auto" w:fill="FFFFFF"/>
          </w:tcPr>
          <w:p w14:paraId="69E6F18F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97" w:type="pct"/>
            <w:gridSpan w:val="2"/>
            <w:shd w:val="clear" w:color="auto" w:fill="FFFFFF"/>
          </w:tcPr>
          <w:p w14:paraId="5BCDF1C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06C18902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61" w:type="pct"/>
            <w:gridSpan w:val="2"/>
            <w:shd w:val="clear" w:color="auto" w:fill="FFFFFF"/>
          </w:tcPr>
          <w:p w14:paraId="49B1D52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</w:tr>
      <w:tr w:rsidR="00EA5E59" w:rsidRPr="00F731E4" w14:paraId="0B2B194E" w14:textId="77777777" w:rsidTr="00723A70">
        <w:trPr>
          <w:trHeight w:val="344"/>
        </w:trPr>
        <w:tc>
          <w:tcPr>
            <w:tcW w:w="1581" w:type="pct"/>
            <w:gridSpan w:val="4"/>
            <w:shd w:val="clear" w:color="auto" w:fill="FFFFFF"/>
            <w:vAlign w:val="center"/>
          </w:tcPr>
          <w:p w14:paraId="5761E16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pozostałe jednostki (oddzielnie)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611170CE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14:paraId="75216BBE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1E2F613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1" w:type="pct"/>
            <w:gridSpan w:val="3"/>
            <w:shd w:val="clear" w:color="auto" w:fill="FFFFFF"/>
          </w:tcPr>
          <w:p w14:paraId="1AB16B4D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/>
          </w:tcPr>
          <w:p w14:paraId="236E272A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53E146F4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1" w:type="pct"/>
            <w:gridSpan w:val="3"/>
            <w:shd w:val="clear" w:color="auto" w:fill="FFFFFF"/>
          </w:tcPr>
          <w:p w14:paraId="046BF08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3" w:type="pct"/>
            <w:gridSpan w:val="3"/>
            <w:shd w:val="clear" w:color="auto" w:fill="FFFFFF"/>
          </w:tcPr>
          <w:p w14:paraId="3BF76ED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7" w:type="pct"/>
            <w:gridSpan w:val="2"/>
            <w:shd w:val="clear" w:color="auto" w:fill="FFFFFF"/>
          </w:tcPr>
          <w:p w14:paraId="1E641B5A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97" w:type="pct"/>
            <w:gridSpan w:val="2"/>
            <w:shd w:val="clear" w:color="auto" w:fill="FFFFFF"/>
          </w:tcPr>
          <w:p w14:paraId="017A1F1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4507959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61" w:type="pct"/>
            <w:gridSpan w:val="2"/>
            <w:shd w:val="clear" w:color="auto" w:fill="FFFFFF"/>
          </w:tcPr>
          <w:p w14:paraId="4F0197D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</w:tr>
      <w:tr w:rsidR="00EA5E59" w:rsidRPr="00F731E4" w14:paraId="0B3CC660" w14:textId="77777777" w:rsidTr="00723A70">
        <w:trPr>
          <w:trHeight w:val="330"/>
        </w:trPr>
        <w:tc>
          <w:tcPr>
            <w:tcW w:w="1581" w:type="pct"/>
            <w:gridSpan w:val="4"/>
            <w:shd w:val="clear" w:color="auto" w:fill="FFFFFF"/>
            <w:vAlign w:val="center"/>
          </w:tcPr>
          <w:p w14:paraId="0F76850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t>Wydatki ogółem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50DA202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14:paraId="5B10645D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1EE728B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1" w:type="pct"/>
            <w:gridSpan w:val="3"/>
            <w:shd w:val="clear" w:color="auto" w:fill="FFFFFF"/>
          </w:tcPr>
          <w:p w14:paraId="2511C1A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/>
          </w:tcPr>
          <w:p w14:paraId="353F275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52D42DB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1" w:type="pct"/>
            <w:gridSpan w:val="3"/>
            <w:shd w:val="clear" w:color="auto" w:fill="FFFFFF"/>
          </w:tcPr>
          <w:p w14:paraId="30EB60EF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3" w:type="pct"/>
            <w:gridSpan w:val="3"/>
            <w:shd w:val="clear" w:color="auto" w:fill="FFFFFF"/>
          </w:tcPr>
          <w:p w14:paraId="50F2904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7" w:type="pct"/>
            <w:gridSpan w:val="2"/>
            <w:shd w:val="clear" w:color="auto" w:fill="FFFFFF"/>
          </w:tcPr>
          <w:p w14:paraId="049603B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97" w:type="pct"/>
            <w:gridSpan w:val="2"/>
            <w:shd w:val="clear" w:color="auto" w:fill="FFFFFF"/>
          </w:tcPr>
          <w:p w14:paraId="0A19F42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20B8402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61" w:type="pct"/>
            <w:gridSpan w:val="2"/>
            <w:shd w:val="clear" w:color="auto" w:fill="FFFFFF"/>
          </w:tcPr>
          <w:p w14:paraId="5781022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</w:tr>
      <w:tr w:rsidR="00EA5E59" w:rsidRPr="00F731E4" w14:paraId="20463C4B" w14:textId="77777777" w:rsidTr="00723A70">
        <w:trPr>
          <w:trHeight w:val="330"/>
        </w:trPr>
        <w:tc>
          <w:tcPr>
            <w:tcW w:w="1581" w:type="pct"/>
            <w:gridSpan w:val="4"/>
            <w:shd w:val="clear" w:color="auto" w:fill="FFFFFF"/>
            <w:vAlign w:val="center"/>
          </w:tcPr>
          <w:p w14:paraId="3592FE6F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budżet państwa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6337AC95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14:paraId="69E4BC2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0713E15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1" w:type="pct"/>
            <w:gridSpan w:val="3"/>
            <w:shd w:val="clear" w:color="auto" w:fill="FFFFFF"/>
          </w:tcPr>
          <w:p w14:paraId="20B89C0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/>
          </w:tcPr>
          <w:p w14:paraId="65466EB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5A1248D5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1" w:type="pct"/>
            <w:gridSpan w:val="3"/>
            <w:shd w:val="clear" w:color="auto" w:fill="FFFFFF"/>
          </w:tcPr>
          <w:p w14:paraId="0A80F1DE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3" w:type="pct"/>
            <w:gridSpan w:val="3"/>
            <w:shd w:val="clear" w:color="auto" w:fill="FFFFFF"/>
          </w:tcPr>
          <w:p w14:paraId="0FCB870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7" w:type="pct"/>
            <w:gridSpan w:val="2"/>
            <w:shd w:val="clear" w:color="auto" w:fill="FFFFFF"/>
          </w:tcPr>
          <w:p w14:paraId="0E06CB1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97" w:type="pct"/>
            <w:gridSpan w:val="2"/>
            <w:shd w:val="clear" w:color="auto" w:fill="FFFFFF"/>
          </w:tcPr>
          <w:p w14:paraId="35A90A44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30FBAA4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61" w:type="pct"/>
            <w:gridSpan w:val="2"/>
            <w:shd w:val="clear" w:color="auto" w:fill="FFFFFF"/>
          </w:tcPr>
          <w:p w14:paraId="41C0E60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</w:tr>
      <w:tr w:rsidR="00EA5E59" w:rsidRPr="00F731E4" w14:paraId="59F16916" w14:textId="77777777" w:rsidTr="00723A70">
        <w:trPr>
          <w:trHeight w:val="351"/>
        </w:trPr>
        <w:tc>
          <w:tcPr>
            <w:tcW w:w="1581" w:type="pct"/>
            <w:gridSpan w:val="4"/>
            <w:shd w:val="clear" w:color="auto" w:fill="FFFFFF"/>
            <w:vAlign w:val="center"/>
          </w:tcPr>
          <w:p w14:paraId="4183CC3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JST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783EDC1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14:paraId="1E8EEE7F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6C604D2F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1" w:type="pct"/>
            <w:gridSpan w:val="3"/>
            <w:shd w:val="clear" w:color="auto" w:fill="FFFFFF"/>
          </w:tcPr>
          <w:p w14:paraId="457DF61D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/>
          </w:tcPr>
          <w:p w14:paraId="0C57A21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18F0E60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1" w:type="pct"/>
            <w:gridSpan w:val="3"/>
            <w:shd w:val="clear" w:color="auto" w:fill="FFFFFF"/>
          </w:tcPr>
          <w:p w14:paraId="6CB5667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3" w:type="pct"/>
            <w:gridSpan w:val="3"/>
            <w:shd w:val="clear" w:color="auto" w:fill="FFFFFF"/>
          </w:tcPr>
          <w:p w14:paraId="0627FD55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7" w:type="pct"/>
            <w:gridSpan w:val="2"/>
            <w:shd w:val="clear" w:color="auto" w:fill="FFFFFF"/>
          </w:tcPr>
          <w:p w14:paraId="472E582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97" w:type="pct"/>
            <w:gridSpan w:val="2"/>
            <w:shd w:val="clear" w:color="auto" w:fill="FFFFFF"/>
          </w:tcPr>
          <w:p w14:paraId="57F8CBC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7EAF4612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61" w:type="pct"/>
            <w:gridSpan w:val="2"/>
            <w:shd w:val="clear" w:color="auto" w:fill="FFFFFF"/>
          </w:tcPr>
          <w:p w14:paraId="25200F2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</w:tr>
      <w:tr w:rsidR="00EA5E59" w:rsidRPr="00F731E4" w14:paraId="2938EA56" w14:textId="77777777" w:rsidTr="00723A70">
        <w:trPr>
          <w:trHeight w:val="351"/>
        </w:trPr>
        <w:tc>
          <w:tcPr>
            <w:tcW w:w="1581" w:type="pct"/>
            <w:gridSpan w:val="4"/>
            <w:shd w:val="clear" w:color="auto" w:fill="FFFFFF"/>
            <w:vAlign w:val="center"/>
          </w:tcPr>
          <w:p w14:paraId="1D5953C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pozostałe jednostki (oddzielnie)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06EEAFAA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14:paraId="0DD5C81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5D6A61E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1" w:type="pct"/>
            <w:gridSpan w:val="3"/>
            <w:shd w:val="clear" w:color="auto" w:fill="FFFFFF"/>
          </w:tcPr>
          <w:p w14:paraId="553A368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/>
          </w:tcPr>
          <w:p w14:paraId="3549C21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69A6B96D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1" w:type="pct"/>
            <w:gridSpan w:val="3"/>
            <w:shd w:val="clear" w:color="auto" w:fill="FFFFFF"/>
          </w:tcPr>
          <w:p w14:paraId="3C246DBA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3" w:type="pct"/>
            <w:gridSpan w:val="3"/>
            <w:shd w:val="clear" w:color="auto" w:fill="FFFFFF"/>
          </w:tcPr>
          <w:p w14:paraId="5C925E52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7" w:type="pct"/>
            <w:gridSpan w:val="2"/>
            <w:shd w:val="clear" w:color="auto" w:fill="FFFFFF"/>
          </w:tcPr>
          <w:p w14:paraId="7639634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97" w:type="pct"/>
            <w:gridSpan w:val="2"/>
            <w:shd w:val="clear" w:color="auto" w:fill="FFFFFF"/>
          </w:tcPr>
          <w:p w14:paraId="12A18AEF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5A5BAFE4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61" w:type="pct"/>
            <w:gridSpan w:val="2"/>
            <w:shd w:val="clear" w:color="auto" w:fill="FFFFFF"/>
          </w:tcPr>
          <w:p w14:paraId="0A779918" w14:textId="5F2F3A15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</w:tr>
      <w:tr w:rsidR="00EA5E59" w:rsidRPr="00F731E4" w14:paraId="40DBB5F2" w14:textId="77777777" w:rsidTr="00723A70">
        <w:trPr>
          <w:trHeight w:val="360"/>
        </w:trPr>
        <w:tc>
          <w:tcPr>
            <w:tcW w:w="1581" w:type="pct"/>
            <w:gridSpan w:val="4"/>
            <w:shd w:val="clear" w:color="auto" w:fill="FFFFFF"/>
            <w:vAlign w:val="center"/>
          </w:tcPr>
          <w:p w14:paraId="0782BD1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t>Saldo ogółem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3D9BBDC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14:paraId="1ACCEA5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4245E98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1" w:type="pct"/>
            <w:gridSpan w:val="3"/>
            <w:shd w:val="clear" w:color="auto" w:fill="FFFFFF"/>
          </w:tcPr>
          <w:p w14:paraId="0F1D0AE2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/>
          </w:tcPr>
          <w:p w14:paraId="683738F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29917D2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1" w:type="pct"/>
            <w:gridSpan w:val="3"/>
            <w:shd w:val="clear" w:color="auto" w:fill="FFFFFF"/>
          </w:tcPr>
          <w:p w14:paraId="4D7A1834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3" w:type="pct"/>
            <w:gridSpan w:val="3"/>
            <w:shd w:val="clear" w:color="auto" w:fill="FFFFFF"/>
          </w:tcPr>
          <w:p w14:paraId="5FFF6C1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7" w:type="pct"/>
            <w:gridSpan w:val="2"/>
            <w:shd w:val="clear" w:color="auto" w:fill="FFFFFF"/>
          </w:tcPr>
          <w:p w14:paraId="64E2891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97" w:type="pct"/>
            <w:gridSpan w:val="2"/>
            <w:shd w:val="clear" w:color="auto" w:fill="FFFFFF"/>
          </w:tcPr>
          <w:p w14:paraId="61B2364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0CD95CD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61" w:type="pct"/>
            <w:gridSpan w:val="2"/>
            <w:shd w:val="clear" w:color="auto" w:fill="FFFFFF"/>
          </w:tcPr>
          <w:p w14:paraId="09CAB70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</w:tr>
      <w:tr w:rsidR="00EA5E59" w:rsidRPr="00F731E4" w14:paraId="57546DA4" w14:textId="77777777" w:rsidTr="00723A70">
        <w:trPr>
          <w:trHeight w:val="360"/>
        </w:trPr>
        <w:tc>
          <w:tcPr>
            <w:tcW w:w="1581" w:type="pct"/>
            <w:gridSpan w:val="4"/>
            <w:shd w:val="clear" w:color="auto" w:fill="FFFFFF"/>
            <w:vAlign w:val="center"/>
          </w:tcPr>
          <w:p w14:paraId="47DFE62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budżet państwa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738DF6F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14:paraId="2848E296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0F296172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1" w:type="pct"/>
            <w:gridSpan w:val="3"/>
            <w:shd w:val="clear" w:color="auto" w:fill="FFFFFF"/>
          </w:tcPr>
          <w:p w14:paraId="418C1AC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/>
          </w:tcPr>
          <w:p w14:paraId="36ECC96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34F7E86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1" w:type="pct"/>
            <w:gridSpan w:val="3"/>
            <w:shd w:val="clear" w:color="auto" w:fill="FFFFFF"/>
          </w:tcPr>
          <w:p w14:paraId="259AE1A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3" w:type="pct"/>
            <w:gridSpan w:val="3"/>
            <w:shd w:val="clear" w:color="auto" w:fill="FFFFFF"/>
          </w:tcPr>
          <w:p w14:paraId="41CE91CA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7" w:type="pct"/>
            <w:gridSpan w:val="2"/>
            <w:shd w:val="clear" w:color="auto" w:fill="FFFFFF"/>
          </w:tcPr>
          <w:p w14:paraId="2CBBC3F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97" w:type="pct"/>
            <w:gridSpan w:val="2"/>
            <w:shd w:val="clear" w:color="auto" w:fill="FFFFFF"/>
          </w:tcPr>
          <w:p w14:paraId="3A5A469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34537AA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61" w:type="pct"/>
            <w:gridSpan w:val="2"/>
            <w:shd w:val="clear" w:color="auto" w:fill="FFFFFF"/>
          </w:tcPr>
          <w:p w14:paraId="01954A6A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</w:tr>
      <w:tr w:rsidR="00EA5E59" w:rsidRPr="00F731E4" w14:paraId="46D32271" w14:textId="77777777" w:rsidTr="00723A70">
        <w:trPr>
          <w:trHeight w:val="357"/>
        </w:trPr>
        <w:tc>
          <w:tcPr>
            <w:tcW w:w="1581" w:type="pct"/>
            <w:gridSpan w:val="4"/>
            <w:shd w:val="clear" w:color="auto" w:fill="FFFFFF"/>
            <w:vAlign w:val="center"/>
          </w:tcPr>
          <w:p w14:paraId="5CFF221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lastRenderedPageBreak/>
              <w:t>JST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42CAC44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14:paraId="77D903C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5B71D7C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1" w:type="pct"/>
            <w:gridSpan w:val="3"/>
            <w:shd w:val="clear" w:color="auto" w:fill="FFFFFF"/>
          </w:tcPr>
          <w:p w14:paraId="396FF76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/>
          </w:tcPr>
          <w:p w14:paraId="177261BE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1A1C622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1" w:type="pct"/>
            <w:gridSpan w:val="3"/>
            <w:shd w:val="clear" w:color="auto" w:fill="FFFFFF"/>
          </w:tcPr>
          <w:p w14:paraId="4DEE71D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3" w:type="pct"/>
            <w:gridSpan w:val="3"/>
            <w:shd w:val="clear" w:color="auto" w:fill="FFFFFF"/>
          </w:tcPr>
          <w:p w14:paraId="4F92591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7" w:type="pct"/>
            <w:gridSpan w:val="2"/>
            <w:shd w:val="clear" w:color="auto" w:fill="FFFFFF"/>
          </w:tcPr>
          <w:p w14:paraId="3C70973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97" w:type="pct"/>
            <w:gridSpan w:val="2"/>
            <w:shd w:val="clear" w:color="auto" w:fill="FFFFFF"/>
          </w:tcPr>
          <w:p w14:paraId="46667E0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64FE03A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61" w:type="pct"/>
            <w:gridSpan w:val="2"/>
            <w:shd w:val="clear" w:color="auto" w:fill="FFFFFF"/>
          </w:tcPr>
          <w:p w14:paraId="7FDFC69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</w:tr>
      <w:tr w:rsidR="00EA5E59" w:rsidRPr="00F731E4" w14:paraId="006B2F24" w14:textId="77777777" w:rsidTr="00723A70">
        <w:trPr>
          <w:trHeight w:val="357"/>
        </w:trPr>
        <w:tc>
          <w:tcPr>
            <w:tcW w:w="1581" w:type="pct"/>
            <w:gridSpan w:val="4"/>
            <w:shd w:val="clear" w:color="auto" w:fill="FFFFFF"/>
            <w:vAlign w:val="center"/>
          </w:tcPr>
          <w:p w14:paraId="2CDD25E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pozostałe jednostki (oddzielnie)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3B035154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14:paraId="0953D185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14:paraId="6F999229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1" w:type="pct"/>
            <w:gridSpan w:val="3"/>
            <w:shd w:val="clear" w:color="auto" w:fill="FFFFFF"/>
          </w:tcPr>
          <w:p w14:paraId="71892D9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/>
          </w:tcPr>
          <w:p w14:paraId="36A7266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FFFFFF"/>
          </w:tcPr>
          <w:p w14:paraId="457996A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1" w:type="pct"/>
            <w:gridSpan w:val="3"/>
            <w:shd w:val="clear" w:color="auto" w:fill="FFFFFF"/>
          </w:tcPr>
          <w:p w14:paraId="6494B4C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33" w:type="pct"/>
            <w:gridSpan w:val="3"/>
            <w:shd w:val="clear" w:color="auto" w:fill="FFFFFF"/>
          </w:tcPr>
          <w:p w14:paraId="37E8B7D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17" w:type="pct"/>
            <w:gridSpan w:val="2"/>
            <w:shd w:val="clear" w:color="auto" w:fill="FFFFFF"/>
          </w:tcPr>
          <w:p w14:paraId="75E0D89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97" w:type="pct"/>
            <w:gridSpan w:val="2"/>
            <w:shd w:val="clear" w:color="auto" w:fill="FFFFFF"/>
          </w:tcPr>
          <w:p w14:paraId="4DE208DF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</w:tcPr>
          <w:p w14:paraId="737B422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61" w:type="pct"/>
            <w:gridSpan w:val="2"/>
            <w:shd w:val="clear" w:color="auto" w:fill="FFFFFF"/>
          </w:tcPr>
          <w:p w14:paraId="5AA4D42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</w:tr>
      <w:tr w:rsidR="004D6D78" w:rsidRPr="00F731E4" w14:paraId="224AFB85" w14:textId="77777777" w:rsidTr="00723A70">
        <w:trPr>
          <w:trHeight w:val="348"/>
        </w:trPr>
        <w:tc>
          <w:tcPr>
            <w:tcW w:w="1574" w:type="pct"/>
            <w:gridSpan w:val="3"/>
            <w:shd w:val="clear" w:color="auto" w:fill="FFFFFF"/>
            <w:vAlign w:val="center"/>
          </w:tcPr>
          <w:p w14:paraId="2AFC253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 xml:space="preserve">Źródła finansowania </w:t>
            </w:r>
          </w:p>
        </w:tc>
        <w:tc>
          <w:tcPr>
            <w:tcW w:w="3426" w:type="pct"/>
            <w:gridSpan w:val="26"/>
            <w:shd w:val="clear" w:color="auto" w:fill="FFFFFF"/>
            <w:vAlign w:val="center"/>
          </w:tcPr>
          <w:p w14:paraId="268DA04A" w14:textId="6DAD413A" w:rsidR="004D6D78" w:rsidRPr="00F731E4" w:rsidRDefault="004D6D78" w:rsidP="00D65A78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Wejście w życie rozporządzenia nie spowoduje skutków dla sektora finansów publicznych, w tym dochodów i wydatków budżetu państwa oraz samorządu terytorialnego.</w:t>
            </w:r>
            <w:r w:rsidR="002D4E66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4D6D78" w:rsidRPr="00F731E4" w14:paraId="0AD455C1" w14:textId="77777777" w:rsidTr="00723A70">
        <w:trPr>
          <w:trHeight w:val="1141"/>
        </w:trPr>
        <w:tc>
          <w:tcPr>
            <w:tcW w:w="1574" w:type="pct"/>
            <w:gridSpan w:val="3"/>
            <w:shd w:val="clear" w:color="auto" w:fill="FFFFFF"/>
          </w:tcPr>
          <w:p w14:paraId="319FDF7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 xml:space="preserve">Dodatkowe informacje, </w:t>
            </w:r>
            <w:r w:rsidRPr="00F731E4">
              <w:rPr>
                <w:rFonts w:eastAsia="Times New Roman" w:cs="Calibri"/>
                <w:color w:val="000000"/>
              </w:rPr>
              <w:br/>
              <w:t>w tym wskazanie źródeł danych i przyjętych do obliczeń założeń</w:t>
            </w:r>
          </w:p>
        </w:tc>
        <w:tc>
          <w:tcPr>
            <w:tcW w:w="3426" w:type="pct"/>
            <w:gridSpan w:val="26"/>
            <w:shd w:val="clear" w:color="auto" w:fill="FFFFFF"/>
          </w:tcPr>
          <w:p w14:paraId="4B294F4F" w14:textId="77777777" w:rsidR="004D6D78" w:rsidRPr="00F731E4" w:rsidRDefault="004D6D78" w:rsidP="00D65A78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</w:tr>
      <w:tr w:rsidR="004D6D78" w:rsidRPr="00F731E4" w14:paraId="576D7A58" w14:textId="77777777" w:rsidTr="004D6D78">
        <w:trPr>
          <w:trHeight w:val="345"/>
        </w:trPr>
        <w:tc>
          <w:tcPr>
            <w:tcW w:w="5000" w:type="pct"/>
            <w:gridSpan w:val="29"/>
            <w:shd w:val="clear" w:color="auto" w:fill="99CCFF"/>
          </w:tcPr>
          <w:p w14:paraId="0EEA8E9B" w14:textId="77777777" w:rsidR="004D6D78" w:rsidRPr="00F731E4" w:rsidRDefault="004D6D78" w:rsidP="001A2E64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eastAsia="Times New Roman" w:cs="Calibri"/>
                <w:b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b/>
                <w:color w:val="000000"/>
                <w:spacing w:val="-2"/>
              </w:rPr>
              <w:t xml:space="preserve">Wpływ na </w:t>
            </w:r>
            <w:r w:rsidRPr="00F731E4">
              <w:rPr>
                <w:rFonts w:eastAsia="Times New Roman" w:cs="Calibri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4D6D78" w:rsidRPr="00F731E4" w14:paraId="4E6B4C77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FFFFFF"/>
          </w:tcPr>
          <w:p w14:paraId="1DFB57FD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  <w:spacing w:val="-2"/>
              </w:rPr>
              <w:t>Skutki</w:t>
            </w:r>
          </w:p>
        </w:tc>
      </w:tr>
      <w:tr w:rsidR="00EA5E59" w:rsidRPr="00F731E4" w14:paraId="6073DA94" w14:textId="77777777" w:rsidTr="00723A70">
        <w:trPr>
          <w:trHeight w:val="142"/>
        </w:trPr>
        <w:tc>
          <w:tcPr>
            <w:tcW w:w="1927" w:type="pct"/>
            <w:gridSpan w:val="7"/>
            <w:shd w:val="clear" w:color="auto" w:fill="FFFFFF"/>
          </w:tcPr>
          <w:p w14:paraId="05615CF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Czas w latach od wejścia w życie zmian</w:t>
            </w:r>
          </w:p>
        </w:tc>
        <w:tc>
          <w:tcPr>
            <w:tcW w:w="381" w:type="pct"/>
            <w:gridSpan w:val="2"/>
            <w:shd w:val="clear" w:color="auto" w:fill="FFFFFF"/>
          </w:tcPr>
          <w:p w14:paraId="0338C44E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64" w:type="pct"/>
            <w:gridSpan w:val="5"/>
            <w:shd w:val="clear" w:color="auto" w:fill="FFFFFF"/>
          </w:tcPr>
          <w:p w14:paraId="33CFA3E0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89" w:type="pct"/>
            <w:gridSpan w:val="4"/>
            <w:shd w:val="clear" w:color="auto" w:fill="FFFFFF"/>
          </w:tcPr>
          <w:p w14:paraId="3FCEA36A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94" w:type="pct"/>
            <w:gridSpan w:val="3"/>
            <w:shd w:val="clear" w:color="auto" w:fill="FFFFFF"/>
          </w:tcPr>
          <w:p w14:paraId="755FFE95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4" w:type="pct"/>
            <w:gridSpan w:val="4"/>
            <w:shd w:val="clear" w:color="auto" w:fill="FFFFFF"/>
          </w:tcPr>
          <w:p w14:paraId="7EB69B9A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76" w:type="pct"/>
            <w:gridSpan w:val="3"/>
            <w:shd w:val="clear" w:color="auto" w:fill="FFFFFF"/>
          </w:tcPr>
          <w:p w14:paraId="3E7C5E5A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824" w:type="pct"/>
            <w:shd w:val="clear" w:color="auto" w:fill="FFFFFF"/>
          </w:tcPr>
          <w:p w14:paraId="443C82D4" w14:textId="77777777" w:rsidR="004D6D78" w:rsidRPr="00F731E4" w:rsidRDefault="004D6D78" w:rsidP="00D65A78">
            <w:pPr>
              <w:suppressAutoHyphens/>
              <w:spacing w:line="240" w:lineRule="auto"/>
              <w:jc w:val="center"/>
              <w:rPr>
                <w:rFonts w:eastAsia="Times New Roman" w:cs="Calibri"/>
                <w:i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i/>
                <w:color w:val="000000"/>
                <w:spacing w:val="-2"/>
              </w:rPr>
              <w:t>Łącznie</w:t>
            </w:r>
            <w:r w:rsidRPr="00F731E4" w:rsidDel="0073273A">
              <w:rPr>
                <w:rFonts w:eastAsia="Times New Roman" w:cs="Calibri"/>
                <w:i/>
                <w:color w:val="000000"/>
                <w:spacing w:val="-2"/>
              </w:rPr>
              <w:t xml:space="preserve"> </w:t>
            </w:r>
            <w:r w:rsidRPr="00F731E4">
              <w:rPr>
                <w:rFonts w:eastAsia="Times New Roman" w:cs="Calibri"/>
                <w:i/>
                <w:color w:val="000000"/>
                <w:spacing w:val="-2"/>
              </w:rPr>
              <w:t>(0-10)</w:t>
            </w:r>
          </w:p>
        </w:tc>
      </w:tr>
      <w:tr w:rsidR="00EA5E59" w:rsidRPr="00F731E4" w14:paraId="131876B2" w14:textId="77777777" w:rsidTr="00723A70">
        <w:trPr>
          <w:trHeight w:val="142"/>
        </w:trPr>
        <w:tc>
          <w:tcPr>
            <w:tcW w:w="906" w:type="pct"/>
            <w:vMerge w:val="restart"/>
            <w:shd w:val="clear" w:color="auto" w:fill="FFFFFF"/>
          </w:tcPr>
          <w:p w14:paraId="5795384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W ujęciu pieniężnym</w:t>
            </w:r>
          </w:p>
          <w:p w14:paraId="129C035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spacing w:val="-2"/>
              </w:rPr>
            </w:pPr>
            <w:r w:rsidRPr="00F731E4">
              <w:rPr>
                <w:rFonts w:eastAsia="Times New Roman" w:cs="Calibri"/>
                <w:spacing w:val="-2"/>
              </w:rPr>
              <w:t xml:space="preserve">(w mln zł, </w:t>
            </w:r>
          </w:p>
          <w:p w14:paraId="0637C48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spacing w:val="-2"/>
              </w:rPr>
              <w:t>ceny stałe z … r.)</w:t>
            </w:r>
          </w:p>
        </w:tc>
        <w:tc>
          <w:tcPr>
            <w:tcW w:w="1021" w:type="pct"/>
            <w:gridSpan w:val="6"/>
            <w:shd w:val="clear" w:color="auto" w:fill="FFFFFF"/>
          </w:tcPr>
          <w:p w14:paraId="247BCFF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duże przedsiębiorstwa</w:t>
            </w:r>
          </w:p>
        </w:tc>
        <w:tc>
          <w:tcPr>
            <w:tcW w:w="381" w:type="pct"/>
            <w:gridSpan w:val="2"/>
            <w:shd w:val="clear" w:color="auto" w:fill="FFFFFF"/>
          </w:tcPr>
          <w:p w14:paraId="3CE68E99" w14:textId="0075FDD1" w:rsidR="004D6D78" w:rsidRPr="00F731E4" w:rsidRDefault="00FD0477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64" w:type="pct"/>
            <w:gridSpan w:val="5"/>
            <w:shd w:val="clear" w:color="auto" w:fill="FFFFFF"/>
          </w:tcPr>
          <w:p w14:paraId="73F9692F" w14:textId="4996F838" w:rsidR="004D6D78" w:rsidRPr="00F731E4" w:rsidRDefault="00FD0477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89" w:type="pct"/>
            <w:gridSpan w:val="4"/>
            <w:shd w:val="clear" w:color="auto" w:fill="FFFFFF"/>
          </w:tcPr>
          <w:p w14:paraId="4245159A" w14:textId="3FBD4626" w:rsidR="004D6D78" w:rsidRPr="00F731E4" w:rsidRDefault="00FD0477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94" w:type="pct"/>
            <w:gridSpan w:val="3"/>
            <w:shd w:val="clear" w:color="auto" w:fill="FFFFFF"/>
          </w:tcPr>
          <w:p w14:paraId="6F5A9394" w14:textId="5B3901E2" w:rsidR="004D6D78" w:rsidRPr="00F731E4" w:rsidRDefault="00FD0477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4" w:type="pct"/>
            <w:gridSpan w:val="4"/>
            <w:shd w:val="clear" w:color="auto" w:fill="FFFFFF"/>
          </w:tcPr>
          <w:p w14:paraId="00DC7E6B" w14:textId="350A3263" w:rsidR="004D6D78" w:rsidRPr="00F731E4" w:rsidRDefault="00FD0477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76" w:type="pct"/>
            <w:gridSpan w:val="3"/>
            <w:shd w:val="clear" w:color="auto" w:fill="FFFFFF"/>
          </w:tcPr>
          <w:p w14:paraId="25EA86D8" w14:textId="633BE065" w:rsidR="004D6D78" w:rsidRPr="00F731E4" w:rsidRDefault="00FD0477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24" w:type="pct"/>
            <w:shd w:val="clear" w:color="auto" w:fill="FFFFFF"/>
          </w:tcPr>
          <w:p w14:paraId="3143DA3F" w14:textId="0B1C7A21" w:rsidR="004D6D78" w:rsidRPr="00F731E4" w:rsidRDefault="00FD0477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t>0</w:t>
            </w:r>
          </w:p>
        </w:tc>
      </w:tr>
      <w:tr w:rsidR="00EA5E59" w:rsidRPr="00F731E4" w14:paraId="5E67E435" w14:textId="77777777" w:rsidTr="00723A70">
        <w:trPr>
          <w:trHeight w:val="142"/>
        </w:trPr>
        <w:tc>
          <w:tcPr>
            <w:tcW w:w="906" w:type="pct"/>
            <w:vMerge/>
            <w:shd w:val="clear" w:color="auto" w:fill="FFFFFF"/>
          </w:tcPr>
          <w:p w14:paraId="2C8E57A8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21" w:type="pct"/>
            <w:gridSpan w:val="6"/>
            <w:shd w:val="clear" w:color="auto" w:fill="FFFFFF"/>
          </w:tcPr>
          <w:p w14:paraId="6BC580B6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sektor mikro-, małych i średnich przedsiębiorstw</w:t>
            </w:r>
          </w:p>
        </w:tc>
        <w:tc>
          <w:tcPr>
            <w:tcW w:w="381" w:type="pct"/>
            <w:gridSpan w:val="2"/>
            <w:shd w:val="clear" w:color="auto" w:fill="FFFFFF"/>
          </w:tcPr>
          <w:p w14:paraId="12E7C2EA" w14:textId="5E860BFE" w:rsidR="004D6D78" w:rsidRPr="00F731E4" w:rsidRDefault="00FD0477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64" w:type="pct"/>
            <w:gridSpan w:val="5"/>
            <w:shd w:val="clear" w:color="auto" w:fill="FFFFFF"/>
          </w:tcPr>
          <w:p w14:paraId="602D3F62" w14:textId="5786FE77" w:rsidR="004D6D78" w:rsidRPr="00F731E4" w:rsidRDefault="00FD0477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89" w:type="pct"/>
            <w:gridSpan w:val="4"/>
            <w:shd w:val="clear" w:color="auto" w:fill="FFFFFF"/>
          </w:tcPr>
          <w:p w14:paraId="42E56B2B" w14:textId="70DD0A59" w:rsidR="004D6D78" w:rsidRPr="00F731E4" w:rsidRDefault="00FD0477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94" w:type="pct"/>
            <w:gridSpan w:val="3"/>
            <w:shd w:val="clear" w:color="auto" w:fill="FFFFFF"/>
          </w:tcPr>
          <w:p w14:paraId="764D1EEB" w14:textId="6AE2E07B" w:rsidR="004D6D78" w:rsidRPr="00F731E4" w:rsidRDefault="00FD0477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4" w:type="pct"/>
            <w:gridSpan w:val="4"/>
            <w:shd w:val="clear" w:color="auto" w:fill="FFFFFF"/>
          </w:tcPr>
          <w:p w14:paraId="07A81675" w14:textId="1CCABB1B" w:rsidR="004D6D78" w:rsidRPr="00F731E4" w:rsidRDefault="00FD0477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76" w:type="pct"/>
            <w:gridSpan w:val="3"/>
            <w:shd w:val="clear" w:color="auto" w:fill="FFFFFF"/>
          </w:tcPr>
          <w:p w14:paraId="56724E5C" w14:textId="2878CE5B" w:rsidR="004D6D78" w:rsidRPr="00F731E4" w:rsidRDefault="00FD0477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24" w:type="pct"/>
            <w:shd w:val="clear" w:color="auto" w:fill="FFFFFF"/>
          </w:tcPr>
          <w:p w14:paraId="7A3500AD" w14:textId="3D9140D7" w:rsidR="004D6D78" w:rsidRPr="00F731E4" w:rsidRDefault="00FD0477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t>0</w:t>
            </w:r>
          </w:p>
        </w:tc>
      </w:tr>
      <w:tr w:rsidR="00EA5E59" w:rsidRPr="00F731E4" w14:paraId="53446213" w14:textId="77777777" w:rsidTr="00723A70">
        <w:trPr>
          <w:trHeight w:val="142"/>
        </w:trPr>
        <w:tc>
          <w:tcPr>
            <w:tcW w:w="906" w:type="pct"/>
            <w:vMerge/>
            <w:shd w:val="clear" w:color="auto" w:fill="FFFFFF"/>
          </w:tcPr>
          <w:p w14:paraId="52AAACB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21" w:type="pct"/>
            <w:gridSpan w:val="6"/>
            <w:shd w:val="clear" w:color="auto" w:fill="FFFFFF"/>
          </w:tcPr>
          <w:p w14:paraId="78B155DA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</w:rPr>
              <w:t>rodzina, obywatele oraz gospodarstwa domowe</w:t>
            </w:r>
          </w:p>
        </w:tc>
        <w:tc>
          <w:tcPr>
            <w:tcW w:w="381" w:type="pct"/>
            <w:gridSpan w:val="2"/>
            <w:shd w:val="clear" w:color="auto" w:fill="FFFFFF"/>
          </w:tcPr>
          <w:p w14:paraId="463776D1" w14:textId="08715266" w:rsidR="004D6D78" w:rsidRPr="00F731E4" w:rsidRDefault="00FD0477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64" w:type="pct"/>
            <w:gridSpan w:val="5"/>
            <w:shd w:val="clear" w:color="auto" w:fill="FFFFFF"/>
          </w:tcPr>
          <w:p w14:paraId="58D61C0C" w14:textId="7E72C1CE" w:rsidR="004D6D78" w:rsidRPr="00F731E4" w:rsidRDefault="00FD0477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89" w:type="pct"/>
            <w:gridSpan w:val="4"/>
            <w:shd w:val="clear" w:color="auto" w:fill="FFFFFF"/>
          </w:tcPr>
          <w:p w14:paraId="28FED652" w14:textId="1382093B" w:rsidR="004D6D78" w:rsidRPr="00F731E4" w:rsidRDefault="00FD0477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94" w:type="pct"/>
            <w:gridSpan w:val="3"/>
            <w:shd w:val="clear" w:color="auto" w:fill="FFFFFF"/>
          </w:tcPr>
          <w:p w14:paraId="5370D916" w14:textId="7EA8C69D" w:rsidR="004D6D78" w:rsidRPr="00F731E4" w:rsidRDefault="00FD0477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4" w:type="pct"/>
            <w:gridSpan w:val="4"/>
            <w:shd w:val="clear" w:color="auto" w:fill="FFFFFF"/>
          </w:tcPr>
          <w:p w14:paraId="2B44FDE8" w14:textId="2BD87F5B" w:rsidR="004D6D78" w:rsidRPr="00F731E4" w:rsidRDefault="00FD0477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76" w:type="pct"/>
            <w:gridSpan w:val="3"/>
            <w:shd w:val="clear" w:color="auto" w:fill="FFFFFF"/>
          </w:tcPr>
          <w:p w14:paraId="10CD69C0" w14:textId="2B9A8586" w:rsidR="004D6D78" w:rsidRPr="00F731E4" w:rsidRDefault="00FD0477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24" w:type="pct"/>
            <w:shd w:val="clear" w:color="auto" w:fill="FFFFFF"/>
          </w:tcPr>
          <w:p w14:paraId="335EB4A1" w14:textId="620139BF" w:rsidR="004D6D78" w:rsidRPr="00F731E4" w:rsidRDefault="00FD0477" w:rsidP="00D65A78">
            <w:pPr>
              <w:suppressAutoHyphens/>
              <w:spacing w:line="240" w:lineRule="auto"/>
              <w:jc w:val="right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t>0</w:t>
            </w:r>
          </w:p>
        </w:tc>
      </w:tr>
      <w:tr w:rsidR="004D6D78" w:rsidRPr="00F731E4" w14:paraId="29C1331E" w14:textId="77777777" w:rsidTr="00723A70">
        <w:trPr>
          <w:trHeight w:val="142"/>
        </w:trPr>
        <w:tc>
          <w:tcPr>
            <w:tcW w:w="906" w:type="pct"/>
            <w:vMerge w:val="restart"/>
            <w:shd w:val="clear" w:color="auto" w:fill="FFFFFF"/>
          </w:tcPr>
          <w:p w14:paraId="63842C96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W ujęciu niepieniężnym</w:t>
            </w:r>
          </w:p>
        </w:tc>
        <w:tc>
          <w:tcPr>
            <w:tcW w:w="1021" w:type="pct"/>
            <w:gridSpan w:val="6"/>
            <w:shd w:val="clear" w:color="auto" w:fill="FFFFFF"/>
          </w:tcPr>
          <w:p w14:paraId="60AF739F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duże przedsiębiorstwa</w:t>
            </w:r>
          </w:p>
        </w:tc>
        <w:tc>
          <w:tcPr>
            <w:tcW w:w="3073" w:type="pct"/>
            <w:gridSpan w:val="22"/>
            <w:shd w:val="clear" w:color="auto" w:fill="FFFFFF"/>
          </w:tcPr>
          <w:p w14:paraId="45F381A3" w14:textId="717E38A8" w:rsidR="004D6D78" w:rsidRPr="00F731E4" w:rsidRDefault="009A4F75" w:rsidP="00D65A78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t>nie dotyczy</w:t>
            </w:r>
          </w:p>
        </w:tc>
      </w:tr>
      <w:tr w:rsidR="004D6D78" w:rsidRPr="00F731E4" w14:paraId="7993391C" w14:textId="77777777" w:rsidTr="00723A70">
        <w:trPr>
          <w:trHeight w:val="142"/>
        </w:trPr>
        <w:tc>
          <w:tcPr>
            <w:tcW w:w="906" w:type="pct"/>
            <w:vMerge/>
            <w:shd w:val="clear" w:color="auto" w:fill="FFFFFF"/>
          </w:tcPr>
          <w:p w14:paraId="73D2C4C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21" w:type="pct"/>
            <w:gridSpan w:val="6"/>
            <w:shd w:val="clear" w:color="auto" w:fill="FFFFFF"/>
          </w:tcPr>
          <w:p w14:paraId="77D355E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sektor mikro-, małych i średnich przedsiębiorstw</w:t>
            </w:r>
          </w:p>
        </w:tc>
        <w:tc>
          <w:tcPr>
            <w:tcW w:w="3073" w:type="pct"/>
            <w:gridSpan w:val="22"/>
            <w:shd w:val="clear" w:color="auto" w:fill="FFFFFF"/>
          </w:tcPr>
          <w:p w14:paraId="0192D8C9" w14:textId="1250708E" w:rsidR="004D6D78" w:rsidRPr="00F731E4" w:rsidRDefault="009A4F75" w:rsidP="00D65A78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rFonts w:eastAsia="Times New Roman" w:cs="Calibri"/>
                <w:color w:val="000000"/>
                <w:spacing w:val="-2"/>
              </w:rPr>
              <w:t>nie dotyczy</w:t>
            </w:r>
          </w:p>
        </w:tc>
      </w:tr>
      <w:tr w:rsidR="004D6D78" w:rsidRPr="00F731E4" w14:paraId="7085BEEF" w14:textId="77777777" w:rsidTr="00723A70">
        <w:trPr>
          <w:trHeight w:val="596"/>
        </w:trPr>
        <w:tc>
          <w:tcPr>
            <w:tcW w:w="906" w:type="pct"/>
            <w:vMerge/>
            <w:shd w:val="clear" w:color="auto" w:fill="FFFFFF"/>
          </w:tcPr>
          <w:p w14:paraId="2002D9D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21" w:type="pct"/>
            <w:gridSpan w:val="6"/>
            <w:shd w:val="clear" w:color="auto" w:fill="FFFFFF"/>
          </w:tcPr>
          <w:p w14:paraId="286AE27F" w14:textId="2DCD4F57" w:rsidR="004D6D78" w:rsidRPr="00F731E4" w:rsidRDefault="004D6D78" w:rsidP="00D65A78">
            <w:pPr>
              <w:tabs>
                <w:tab w:val="right" w:pos="1936"/>
              </w:tabs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</w:rPr>
              <w:t>rodzina, obywatele oraz gospodarstwa domowe</w:t>
            </w:r>
            <w:r w:rsidR="00FD0477">
              <w:rPr>
                <w:rFonts w:eastAsia="Times New Roman" w:cs="Calibri"/>
                <w:color w:val="000000"/>
              </w:rPr>
              <w:t>, w tym osoby starsze i niepełnosprawne</w:t>
            </w:r>
          </w:p>
        </w:tc>
        <w:tc>
          <w:tcPr>
            <w:tcW w:w="3073" w:type="pct"/>
            <w:gridSpan w:val="22"/>
            <w:shd w:val="clear" w:color="auto" w:fill="FFFFFF"/>
          </w:tcPr>
          <w:p w14:paraId="277FE520" w14:textId="2288A541" w:rsidR="004D6D78" w:rsidRPr="00F731E4" w:rsidRDefault="009A4F75" w:rsidP="001547A4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  <w:spacing w:val="-2"/>
              </w:rPr>
            </w:pPr>
            <w:r>
              <w:t xml:space="preserve">Projektowane rozporządzenie nie ma wpływu na sytuację ekonomiczną </w:t>
            </w:r>
            <w:r w:rsidRPr="00E856C8">
              <w:t>rodziny, osób niepełnosprawnych oraz osób starszych</w:t>
            </w:r>
            <w:r>
              <w:t xml:space="preserve">, jednak w wymiarze </w:t>
            </w:r>
            <w:r w:rsidRPr="00E856C8">
              <w:t>społeczn</w:t>
            </w:r>
            <w:r>
              <w:t>ym</w:t>
            </w:r>
            <w:r w:rsidRPr="009A4F75">
              <w:t xml:space="preserve"> </w:t>
            </w:r>
            <w:r>
              <w:t xml:space="preserve">przypisanie usługom realizowanym przez </w:t>
            </w:r>
            <w:r w:rsidRPr="00A03D2A">
              <w:t>Centrum e-Zdrowia</w:t>
            </w:r>
            <w:r>
              <w:t xml:space="preserve"> (</w:t>
            </w:r>
            <w:proofErr w:type="spellStart"/>
            <w:r>
              <w:t>CeZ</w:t>
            </w:r>
            <w:proofErr w:type="spellEnd"/>
            <w:r>
              <w:t>), numerów AUS może mieć korzystny</w:t>
            </w:r>
            <w:r w:rsidRPr="00E856C8">
              <w:t xml:space="preserve"> w</w:t>
            </w:r>
            <w:r>
              <w:t>pływ obsługę osób korzystających z infolinii</w:t>
            </w:r>
            <w:r w:rsidR="002D60D7">
              <w:t>.</w:t>
            </w:r>
          </w:p>
        </w:tc>
      </w:tr>
      <w:tr w:rsidR="004D6D78" w:rsidRPr="00F731E4" w14:paraId="35983C40" w14:textId="77777777" w:rsidTr="00723A70">
        <w:trPr>
          <w:trHeight w:val="142"/>
        </w:trPr>
        <w:tc>
          <w:tcPr>
            <w:tcW w:w="906" w:type="pct"/>
            <w:shd w:val="clear" w:color="auto" w:fill="FFFFFF"/>
          </w:tcPr>
          <w:p w14:paraId="0136D48E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Niemierzalne</w:t>
            </w:r>
          </w:p>
        </w:tc>
        <w:tc>
          <w:tcPr>
            <w:tcW w:w="1021" w:type="pct"/>
            <w:gridSpan w:val="6"/>
            <w:shd w:val="clear" w:color="auto" w:fill="FFFFFF"/>
          </w:tcPr>
          <w:p w14:paraId="2F84F95E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F731E4">
              <w:rPr>
                <w:rFonts w:eastAsia="Times New Roman" w:cs="Calibri"/>
                <w:color w:val="000000"/>
              </w:rPr>
            </w:r>
            <w:r w:rsidRPr="00F731E4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noProof/>
                <w:color w:val="000000"/>
              </w:rPr>
              <w:t>(dodaj/usuń)</w:t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073" w:type="pct"/>
            <w:gridSpan w:val="22"/>
            <w:shd w:val="clear" w:color="auto" w:fill="FFFFFF"/>
          </w:tcPr>
          <w:p w14:paraId="1B5F645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</w:p>
        </w:tc>
      </w:tr>
      <w:tr w:rsidR="004D6D78" w:rsidRPr="00F731E4" w14:paraId="663ED57B" w14:textId="77777777" w:rsidTr="00723A70">
        <w:trPr>
          <w:trHeight w:val="1643"/>
        </w:trPr>
        <w:tc>
          <w:tcPr>
            <w:tcW w:w="1574" w:type="pct"/>
            <w:gridSpan w:val="3"/>
            <w:shd w:val="clear" w:color="auto" w:fill="FFFFFF"/>
          </w:tcPr>
          <w:p w14:paraId="79F59FDB" w14:textId="00F7EFD4" w:rsidR="004D6D78" w:rsidRPr="000843A1" w:rsidRDefault="004D6D78" w:rsidP="000843A1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 xml:space="preserve">Dodatkowe informacje, </w:t>
            </w:r>
            <w:r w:rsidRPr="00F731E4">
              <w:rPr>
                <w:rFonts w:eastAsia="Times New Roman" w:cs="Calibri"/>
                <w:color w:val="000000"/>
              </w:rPr>
              <w:br/>
              <w:t>w tym wskazanie źródeł danych i przyjętych do obliczeń założeń</w:t>
            </w:r>
          </w:p>
        </w:tc>
        <w:tc>
          <w:tcPr>
            <w:tcW w:w="3426" w:type="pct"/>
            <w:gridSpan w:val="26"/>
            <w:shd w:val="clear" w:color="auto" w:fill="FFFFFF"/>
            <w:vAlign w:val="center"/>
          </w:tcPr>
          <w:p w14:paraId="34922915" w14:textId="77777777" w:rsidR="004D6D78" w:rsidRPr="00F731E4" w:rsidRDefault="004D6D78" w:rsidP="00D65A78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</w:tr>
      <w:tr w:rsidR="004D6D78" w:rsidRPr="00F731E4" w14:paraId="3267CCF6" w14:textId="77777777" w:rsidTr="004D6D78">
        <w:trPr>
          <w:trHeight w:val="342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1390BB22" w14:textId="77777777" w:rsidR="004D6D78" w:rsidRPr="00F731E4" w:rsidRDefault="004D6D78" w:rsidP="001A2E64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4D6D78" w:rsidRPr="00F731E4" w14:paraId="44F0DADE" w14:textId="77777777" w:rsidTr="004D6D78">
        <w:trPr>
          <w:trHeight w:val="151"/>
        </w:trPr>
        <w:tc>
          <w:tcPr>
            <w:tcW w:w="5000" w:type="pct"/>
            <w:gridSpan w:val="29"/>
            <w:shd w:val="clear" w:color="auto" w:fill="FFFFFF"/>
          </w:tcPr>
          <w:p w14:paraId="532EC964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845B49" wp14:editId="29AEA6B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33655</wp:posOffset>
                      </wp:positionV>
                      <wp:extent cx="161925" cy="114300"/>
                      <wp:effectExtent l="0" t="0" r="28575" b="1905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F51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26" type="#_x0000_t32" style="position:absolute;margin-left:.15pt;margin-top:2.65pt;width:12.75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3E4785" wp14:editId="6C4A840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33655</wp:posOffset>
                      </wp:positionV>
                      <wp:extent cx="161925" cy="114300"/>
                      <wp:effectExtent l="0" t="0" r="28575" b="1905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9F184" id="Łącznik prosty ze strzałką 3" o:spid="_x0000_s1026" type="#_x0000_t32" style="position:absolute;margin-left:.15pt;margin-top:2.65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"/>
                  </w:pict>
                </mc:Fallback>
              </mc:AlternateContent>
            </w: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9931AA">
              <w:rPr>
                <w:rFonts w:eastAsia="Times New Roman" w:cs="Calibri"/>
                <w:color w:val="000000"/>
              </w:rPr>
            </w:r>
            <w:r w:rsidR="009931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nie dotyczy</w:t>
            </w:r>
          </w:p>
        </w:tc>
      </w:tr>
      <w:tr w:rsidR="004D6D78" w:rsidRPr="00F731E4" w14:paraId="51EB6443" w14:textId="77777777" w:rsidTr="00723A70">
        <w:trPr>
          <w:trHeight w:val="946"/>
        </w:trPr>
        <w:tc>
          <w:tcPr>
            <w:tcW w:w="2396" w:type="pct"/>
            <w:gridSpan w:val="12"/>
            <w:shd w:val="clear" w:color="auto" w:fill="FFFFFF"/>
          </w:tcPr>
          <w:p w14:paraId="670952CF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  <w:spacing w:val="-2"/>
              </w:rPr>
              <w:t xml:space="preserve">Wprowadzane są obciążenia poza bezwzględnie wymaganymi przez UE </w:t>
            </w:r>
            <w:r w:rsidRPr="00F731E4">
              <w:rPr>
                <w:rFonts w:eastAsia="Times New Roman" w:cs="Calibri"/>
                <w:color w:val="000000"/>
              </w:rPr>
              <w:t>(szczegóły w odwróconej tabeli zgodności).</w:t>
            </w:r>
          </w:p>
        </w:tc>
        <w:tc>
          <w:tcPr>
            <w:tcW w:w="2604" w:type="pct"/>
            <w:gridSpan w:val="17"/>
            <w:shd w:val="clear" w:color="auto" w:fill="FFFFFF"/>
          </w:tcPr>
          <w:p w14:paraId="6BBAB912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9931AA">
              <w:rPr>
                <w:rFonts w:eastAsia="Times New Roman" w:cs="Calibri"/>
                <w:color w:val="000000"/>
              </w:rPr>
            </w:r>
            <w:r w:rsidR="009931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tak</w:t>
            </w:r>
          </w:p>
          <w:p w14:paraId="755ADAA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9931AA">
              <w:rPr>
                <w:rFonts w:eastAsia="Times New Roman" w:cs="Calibri"/>
                <w:color w:val="000000"/>
              </w:rPr>
            </w:r>
            <w:r w:rsidR="009931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nie</w:t>
            </w:r>
          </w:p>
          <w:p w14:paraId="39822C54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B79155" wp14:editId="7A4F115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13335</wp:posOffset>
                      </wp:positionV>
                      <wp:extent cx="161925" cy="114300"/>
                      <wp:effectExtent l="0" t="0" r="28575" b="19050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3F26D" id="Łącznik prosty ze strzałką 7" o:spid="_x0000_s1026" type="#_x0000_t32" style="position:absolute;margin-left:1.65pt;margin-top:1.05pt;width:12.75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A126D" wp14:editId="0881B0E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17780</wp:posOffset>
                      </wp:positionV>
                      <wp:extent cx="161925" cy="114300"/>
                      <wp:effectExtent l="0" t="0" r="28575" b="1905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3BEEA" id="Łącznik prosty ze strzałką 6" o:spid="_x0000_s1026" type="#_x0000_t32" style="position:absolute;margin-left:-.4pt;margin-top:1.4pt;width:12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7tPQIAAFQ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"/>
                  </w:pict>
                </mc:Fallback>
              </mc:AlternateContent>
            </w: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9931AA">
              <w:rPr>
                <w:rFonts w:eastAsia="Times New Roman" w:cs="Calibri"/>
                <w:color w:val="000000"/>
              </w:rPr>
            </w:r>
            <w:r w:rsidR="009931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nie dotyczy</w:t>
            </w:r>
          </w:p>
        </w:tc>
      </w:tr>
      <w:tr w:rsidR="004D6D78" w:rsidRPr="00F731E4" w14:paraId="476B90A6" w14:textId="77777777" w:rsidTr="00723A70">
        <w:trPr>
          <w:trHeight w:val="1245"/>
        </w:trPr>
        <w:tc>
          <w:tcPr>
            <w:tcW w:w="2396" w:type="pct"/>
            <w:gridSpan w:val="12"/>
            <w:shd w:val="clear" w:color="auto" w:fill="FFFFFF"/>
          </w:tcPr>
          <w:p w14:paraId="4E723EB2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9931AA">
              <w:rPr>
                <w:rFonts w:eastAsia="Times New Roman" w:cs="Calibri"/>
                <w:color w:val="000000"/>
              </w:rPr>
            </w:r>
            <w:r w:rsidR="009931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 xml:space="preserve">zmniejszenie liczby dokumentów </w:t>
            </w:r>
          </w:p>
          <w:p w14:paraId="0FDC2322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9931AA">
              <w:rPr>
                <w:rFonts w:eastAsia="Times New Roman" w:cs="Calibri"/>
                <w:color w:val="000000"/>
              </w:rPr>
            </w:r>
            <w:r w:rsidR="009931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zmniejszenie liczby procedur</w:t>
            </w:r>
          </w:p>
          <w:p w14:paraId="0B3C9B7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9931AA">
              <w:rPr>
                <w:rFonts w:eastAsia="Times New Roman" w:cs="Calibri"/>
                <w:color w:val="000000"/>
              </w:rPr>
            </w:r>
            <w:r w:rsidR="009931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skrócenie czasu na załatwienie sprawy</w:t>
            </w:r>
          </w:p>
          <w:p w14:paraId="2F258624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b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9931AA">
              <w:rPr>
                <w:rFonts w:eastAsia="Times New Roman" w:cs="Calibri"/>
                <w:color w:val="000000"/>
              </w:rPr>
            </w:r>
            <w:r w:rsidR="009931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inne:</w:t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F731E4">
              <w:rPr>
                <w:rFonts w:eastAsia="Times New Roman" w:cs="Calibri"/>
                <w:color w:val="000000"/>
              </w:rPr>
            </w:r>
            <w:r w:rsidRPr="00F731E4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noProof/>
                <w:color w:val="000000"/>
              </w:rPr>
              <w:t> </w:t>
            </w:r>
            <w:r w:rsidRPr="00F731E4">
              <w:rPr>
                <w:rFonts w:eastAsia="Times New Roman" w:cs="Calibri"/>
                <w:noProof/>
                <w:color w:val="000000"/>
              </w:rPr>
              <w:t> </w:t>
            </w:r>
            <w:r w:rsidRPr="00F731E4">
              <w:rPr>
                <w:rFonts w:eastAsia="Times New Roman" w:cs="Calibri"/>
                <w:noProof/>
                <w:color w:val="000000"/>
              </w:rPr>
              <w:t> </w:t>
            </w:r>
            <w:r w:rsidRPr="00F731E4">
              <w:rPr>
                <w:rFonts w:eastAsia="Times New Roman" w:cs="Calibri"/>
                <w:noProof/>
                <w:color w:val="000000"/>
              </w:rPr>
              <w:t> </w:t>
            </w:r>
            <w:r w:rsidRPr="00F731E4">
              <w:rPr>
                <w:rFonts w:eastAsia="Times New Roman" w:cs="Calibri"/>
                <w:noProof/>
                <w:color w:val="000000"/>
              </w:rPr>
              <w:t> </w:t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2604" w:type="pct"/>
            <w:gridSpan w:val="17"/>
            <w:shd w:val="clear" w:color="auto" w:fill="FFFFFF"/>
          </w:tcPr>
          <w:p w14:paraId="4D97DF5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9931AA">
              <w:rPr>
                <w:rFonts w:eastAsia="Times New Roman" w:cs="Calibri"/>
                <w:color w:val="000000"/>
              </w:rPr>
            </w:r>
            <w:r w:rsidR="009931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zwiększenie liczby dokumentów</w:t>
            </w:r>
          </w:p>
          <w:p w14:paraId="56607C7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9931AA">
              <w:rPr>
                <w:rFonts w:eastAsia="Times New Roman" w:cs="Calibri"/>
                <w:color w:val="000000"/>
              </w:rPr>
            </w:r>
            <w:r w:rsidR="009931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zwiększenie liczby procedur</w:t>
            </w:r>
          </w:p>
          <w:p w14:paraId="4E93322D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9931AA">
              <w:rPr>
                <w:rFonts w:eastAsia="Times New Roman" w:cs="Calibri"/>
                <w:color w:val="000000"/>
              </w:rPr>
            </w:r>
            <w:r w:rsidR="009931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wydłużenie czasu na załatwienie sprawy</w:t>
            </w:r>
          </w:p>
          <w:p w14:paraId="7FF8BF7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9931AA">
              <w:rPr>
                <w:rFonts w:eastAsia="Times New Roman" w:cs="Calibri"/>
                <w:color w:val="000000"/>
              </w:rPr>
            </w:r>
            <w:r w:rsidR="009931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inne:</w:t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F731E4">
              <w:rPr>
                <w:rFonts w:eastAsia="Times New Roman" w:cs="Calibri"/>
                <w:color w:val="000000"/>
              </w:rPr>
            </w:r>
            <w:r w:rsidRPr="00F731E4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noProof/>
                <w:color w:val="000000"/>
              </w:rPr>
              <w:t> </w:t>
            </w:r>
            <w:r w:rsidRPr="00F731E4">
              <w:rPr>
                <w:rFonts w:eastAsia="Times New Roman" w:cs="Calibri"/>
                <w:noProof/>
                <w:color w:val="000000"/>
              </w:rPr>
              <w:t> </w:t>
            </w:r>
            <w:r w:rsidRPr="00F731E4">
              <w:rPr>
                <w:rFonts w:eastAsia="Times New Roman" w:cs="Calibri"/>
                <w:noProof/>
                <w:color w:val="000000"/>
              </w:rPr>
              <w:t> </w:t>
            </w:r>
            <w:r w:rsidRPr="00F731E4">
              <w:rPr>
                <w:rFonts w:eastAsia="Times New Roman" w:cs="Calibri"/>
                <w:noProof/>
                <w:color w:val="000000"/>
              </w:rPr>
              <w:t> </w:t>
            </w:r>
            <w:r w:rsidRPr="00F731E4">
              <w:rPr>
                <w:rFonts w:eastAsia="Times New Roman" w:cs="Calibri"/>
                <w:noProof/>
                <w:color w:val="000000"/>
              </w:rPr>
              <w:t> </w:t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</w:p>
          <w:p w14:paraId="04D701C5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6D78" w:rsidRPr="00F731E4" w14:paraId="291E9433" w14:textId="77777777" w:rsidTr="00723A70">
        <w:trPr>
          <w:trHeight w:val="870"/>
        </w:trPr>
        <w:tc>
          <w:tcPr>
            <w:tcW w:w="2396" w:type="pct"/>
            <w:gridSpan w:val="12"/>
            <w:shd w:val="clear" w:color="auto" w:fill="FFFFFF"/>
          </w:tcPr>
          <w:p w14:paraId="0498FEF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2604" w:type="pct"/>
            <w:gridSpan w:val="17"/>
            <w:shd w:val="clear" w:color="auto" w:fill="FFFFFF"/>
          </w:tcPr>
          <w:p w14:paraId="7C7AB261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9931AA">
              <w:rPr>
                <w:rFonts w:eastAsia="Times New Roman" w:cs="Calibri"/>
                <w:color w:val="000000"/>
              </w:rPr>
            </w:r>
            <w:r w:rsidR="009931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tak</w:t>
            </w:r>
          </w:p>
          <w:p w14:paraId="0A1A3338" w14:textId="21653048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9931AA">
              <w:rPr>
                <w:rFonts w:eastAsia="Times New Roman" w:cs="Calibri"/>
                <w:color w:val="000000"/>
              </w:rPr>
            </w:r>
            <w:r w:rsidR="009931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nie</w:t>
            </w:r>
          </w:p>
          <w:p w14:paraId="2A2BA81D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7F8066" wp14:editId="326DA2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14300"/>
                      <wp:effectExtent l="0" t="0" r="28575" b="1905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B341D" id="Łącznik prosty ze strzałką 8" o:spid="_x0000_s1026" type="#_x0000_t32" style="position:absolute;margin-left:-.5pt;margin-top:.3pt;width:12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009D83" wp14:editId="39A7723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17780</wp:posOffset>
                      </wp:positionV>
                      <wp:extent cx="161925" cy="114300"/>
                      <wp:effectExtent l="0" t="0" r="28575" b="1905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01C57" id="Łącznik prosty ze strzałką 10" o:spid="_x0000_s1026" type="#_x0000_t32" style="position:absolute;margin-left:-.4pt;margin-top:1.4pt;width:12.75pt;height: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"/>
                  </w:pict>
                </mc:Fallback>
              </mc:AlternateContent>
            </w: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9931AA">
              <w:rPr>
                <w:rFonts w:eastAsia="Times New Roman" w:cs="Calibri"/>
                <w:color w:val="000000"/>
              </w:rPr>
            </w:r>
            <w:r w:rsidR="009931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nie dotyczy</w:t>
            </w:r>
          </w:p>
          <w:p w14:paraId="67DD1FEC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6D78" w:rsidRPr="00F731E4" w14:paraId="34473DE8" w14:textId="77777777" w:rsidTr="00804226">
        <w:trPr>
          <w:trHeight w:val="694"/>
        </w:trPr>
        <w:tc>
          <w:tcPr>
            <w:tcW w:w="5000" w:type="pct"/>
            <w:gridSpan w:val="29"/>
            <w:shd w:val="clear" w:color="auto" w:fill="FFFFFF"/>
          </w:tcPr>
          <w:p w14:paraId="46A49DD1" w14:textId="3FCB19E5" w:rsidR="004D6D78" w:rsidRPr="00F731E4" w:rsidRDefault="004D6D78" w:rsidP="00804226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Komentarz:</w:t>
            </w:r>
          </w:p>
        </w:tc>
      </w:tr>
      <w:tr w:rsidR="004D6D78" w:rsidRPr="00F731E4" w14:paraId="337C256D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2C1EC519" w14:textId="77777777" w:rsidR="004D6D78" w:rsidRPr="00F731E4" w:rsidRDefault="004D6D78" w:rsidP="001A2E64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t xml:space="preserve">Wpływ na rynek pracy </w:t>
            </w:r>
          </w:p>
        </w:tc>
      </w:tr>
      <w:tr w:rsidR="004D6D78" w:rsidRPr="00F731E4" w14:paraId="77D7E1BA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auto"/>
          </w:tcPr>
          <w:p w14:paraId="3CB49C2B" w14:textId="77777777" w:rsidR="004D6D78" w:rsidRPr="00F731E4" w:rsidRDefault="004D6D78" w:rsidP="00D65A78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Projektowane rozporządzenie nie będzie miało wpływu na rynek pracy.</w:t>
            </w:r>
          </w:p>
        </w:tc>
      </w:tr>
      <w:tr w:rsidR="004D6D78" w:rsidRPr="00F731E4" w14:paraId="635E023A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2FFBA10B" w14:textId="77777777" w:rsidR="004D6D78" w:rsidRPr="00F731E4" w:rsidRDefault="004D6D78" w:rsidP="001A2E64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t>Wpływ na pozostałe obszary</w:t>
            </w:r>
          </w:p>
        </w:tc>
      </w:tr>
      <w:tr w:rsidR="004D6D78" w:rsidRPr="00F731E4" w14:paraId="2BC4967F" w14:textId="77777777" w:rsidTr="00723A70">
        <w:trPr>
          <w:trHeight w:val="1031"/>
        </w:trPr>
        <w:tc>
          <w:tcPr>
            <w:tcW w:w="1770" w:type="pct"/>
            <w:gridSpan w:val="5"/>
            <w:shd w:val="clear" w:color="auto" w:fill="FFFFFF"/>
          </w:tcPr>
          <w:p w14:paraId="2888661B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  <w:p w14:paraId="13C1D707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9931AA">
              <w:rPr>
                <w:rFonts w:eastAsia="Times New Roman" w:cs="Calibri"/>
                <w:color w:val="000000"/>
              </w:rPr>
            </w:r>
            <w:r w:rsidR="009931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środowisko naturalne</w:t>
            </w:r>
          </w:p>
          <w:p w14:paraId="0E62EA62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9931AA">
              <w:rPr>
                <w:rFonts w:eastAsia="Times New Roman" w:cs="Calibri"/>
                <w:color w:val="000000"/>
              </w:rPr>
            </w:r>
            <w:r w:rsidR="009931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sytuacja i rozwój regionalny</w:t>
            </w:r>
          </w:p>
          <w:p w14:paraId="03C665FB" w14:textId="3457B69C" w:rsidR="004D6D78" w:rsidRPr="00F731E4" w:rsidRDefault="00723A70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055A63" wp14:editId="5BF5C8F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11557</wp:posOffset>
                      </wp:positionV>
                      <wp:extent cx="161925" cy="114300"/>
                      <wp:effectExtent l="0" t="0" r="28575" b="1905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6B4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.75pt;margin-top:.9pt;width:12.75pt;height: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DCE0AB" wp14:editId="09A3E5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61925" cy="114300"/>
                      <wp:effectExtent l="0" t="0" r="28575" b="1905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D5B0D" id="Łącznik prosty ze strzałką 1" o:spid="_x0000_s1026" type="#_x0000_t32" style="position:absolute;margin-left:0;margin-top:-.05pt;width:12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"/>
                  </w:pict>
                </mc:Fallback>
              </mc:AlternateContent>
            </w:r>
            <w:r w:rsidR="004D6D78"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D78"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9931AA">
              <w:rPr>
                <w:rFonts w:eastAsia="Times New Roman" w:cs="Calibri"/>
                <w:color w:val="000000"/>
              </w:rPr>
            </w:r>
            <w:r w:rsidR="009931AA">
              <w:rPr>
                <w:rFonts w:eastAsia="Times New Roman" w:cs="Calibri"/>
                <w:color w:val="000000"/>
              </w:rPr>
              <w:fldChar w:fldCharType="separate"/>
            </w:r>
            <w:r w:rsidR="004D6D78" w:rsidRPr="00F731E4">
              <w:rPr>
                <w:rFonts w:eastAsia="Times New Roman" w:cs="Calibri"/>
                <w:color w:val="000000"/>
              </w:rPr>
              <w:fldChar w:fldCharType="end"/>
            </w:r>
            <w:r w:rsidR="004D6D78" w:rsidRPr="00F731E4">
              <w:rPr>
                <w:rFonts w:eastAsia="Times New Roman" w:cs="Calibri"/>
                <w:color w:val="000000"/>
              </w:rPr>
              <w:t xml:space="preserve"> </w:t>
            </w:r>
            <w:r w:rsidR="004D6D78" w:rsidRPr="00F731E4">
              <w:rPr>
                <w:rFonts w:eastAsia="Times New Roman" w:cs="Calibri"/>
                <w:color w:val="000000"/>
                <w:spacing w:val="-2"/>
              </w:rPr>
              <w:t xml:space="preserve">inne: </w:t>
            </w:r>
            <w:r w:rsidR="004D6D78" w:rsidRPr="00F731E4">
              <w:rPr>
                <w:rFonts w:eastAsia="Times New Roman" w:cs="Calibri"/>
                <w:color w:val="000000"/>
              </w:rPr>
              <w:t xml:space="preserve">bezpieczeństwo obywateli </w:t>
            </w:r>
          </w:p>
        </w:tc>
        <w:tc>
          <w:tcPr>
            <w:tcW w:w="1510" w:type="pct"/>
            <w:gridSpan w:val="15"/>
            <w:shd w:val="clear" w:color="auto" w:fill="FFFFFF"/>
          </w:tcPr>
          <w:p w14:paraId="6D430062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  <w:p w14:paraId="3E72A444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9931AA">
              <w:rPr>
                <w:rFonts w:eastAsia="Times New Roman" w:cs="Calibri"/>
                <w:color w:val="000000"/>
              </w:rPr>
            </w:r>
            <w:r w:rsidR="009931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demografia</w:t>
            </w:r>
          </w:p>
          <w:p w14:paraId="4F14978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9931AA">
              <w:rPr>
                <w:rFonts w:eastAsia="Times New Roman" w:cs="Calibri"/>
                <w:color w:val="000000"/>
              </w:rPr>
            </w:r>
            <w:r w:rsidR="009931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mienie państwowe</w:t>
            </w:r>
          </w:p>
        </w:tc>
        <w:tc>
          <w:tcPr>
            <w:tcW w:w="1719" w:type="pct"/>
            <w:gridSpan w:val="9"/>
            <w:shd w:val="clear" w:color="auto" w:fill="FFFFFF"/>
          </w:tcPr>
          <w:p w14:paraId="6404D853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</w:p>
          <w:p w14:paraId="28EBC54A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9931AA">
              <w:rPr>
                <w:rFonts w:eastAsia="Times New Roman" w:cs="Calibri"/>
                <w:color w:val="000000"/>
              </w:rPr>
            </w:r>
            <w:r w:rsidR="009931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informatyzacja</w:t>
            </w:r>
          </w:p>
          <w:p w14:paraId="77FC7940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1E4">
              <w:rPr>
                <w:rFonts w:eastAsia="Times New Roman" w:cs="Calibri"/>
                <w:color w:val="000000"/>
              </w:rPr>
              <w:instrText xml:space="preserve"> FORMCHECKBOX </w:instrText>
            </w:r>
            <w:r w:rsidR="009931AA">
              <w:rPr>
                <w:rFonts w:eastAsia="Times New Roman" w:cs="Calibri"/>
                <w:color w:val="000000"/>
              </w:rPr>
            </w:r>
            <w:r w:rsidR="009931AA">
              <w:rPr>
                <w:rFonts w:eastAsia="Times New Roman" w:cs="Calibri"/>
                <w:color w:val="000000"/>
              </w:rPr>
              <w:fldChar w:fldCharType="separate"/>
            </w:r>
            <w:r w:rsidRPr="00F731E4">
              <w:rPr>
                <w:rFonts w:eastAsia="Times New Roman" w:cs="Calibri"/>
                <w:color w:val="000000"/>
              </w:rPr>
              <w:fldChar w:fldCharType="end"/>
            </w:r>
            <w:r w:rsidRPr="00F731E4">
              <w:rPr>
                <w:rFonts w:eastAsia="Times New Roman" w:cs="Calibri"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color w:val="000000"/>
                <w:spacing w:val="-2"/>
              </w:rPr>
              <w:t>zdrowie</w:t>
            </w:r>
          </w:p>
        </w:tc>
      </w:tr>
      <w:tr w:rsidR="004D6D78" w:rsidRPr="00F731E4" w14:paraId="1A92FEEE" w14:textId="77777777" w:rsidTr="00723A70">
        <w:trPr>
          <w:trHeight w:val="226"/>
        </w:trPr>
        <w:tc>
          <w:tcPr>
            <w:tcW w:w="1574" w:type="pct"/>
            <w:gridSpan w:val="3"/>
            <w:shd w:val="clear" w:color="auto" w:fill="FFFFFF"/>
          </w:tcPr>
          <w:p w14:paraId="2FCE3E8F" w14:textId="77777777" w:rsidR="004D6D78" w:rsidRPr="00F731E4" w:rsidRDefault="004D6D78" w:rsidP="00D65A78">
            <w:pPr>
              <w:suppressAutoHyphens/>
              <w:spacing w:line="240" w:lineRule="auto"/>
              <w:rPr>
                <w:rFonts w:eastAsia="Times New Roman" w:cs="Calibri"/>
                <w:color w:val="000000"/>
              </w:rPr>
            </w:pPr>
            <w:r w:rsidRPr="00F731E4">
              <w:rPr>
                <w:rFonts w:eastAsia="Times New Roman" w:cs="Calibri"/>
                <w:color w:val="000000"/>
              </w:rPr>
              <w:t>Omówienie wpływu</w:t>
            </w:r>
          </w:p>
        </w:tc>
        <w:tc>
          <w:tcPr>
            <w:tcW w:w="3426" w:type="pct"/>
            <w:gridSpan w:val="26"/>
            <w:shd w:val="clear" w:color="auto" w:fill="FFFFFF"/>
          </w:tcPr>
          <w:p w14:paraId="1642C52D" w14:textId="7B63A712" w:rsidR="004D6D78" w:rsidRPr="00F731E4" w:rsidRDefault="00723A70" w:rsidP="00723A70">
            <w:pPr>
              <w:suppressAutoHyphens/>
              <w:spacing w:line="240" w:lineRule="auto"/>
              <w:jc w:val="both"/>
              <w:rPr>
                <w:rFonts w:eastAsia="Times New Roman" w:cs="Calibri"/>
                <w:spacing w:val="-2"/>
              </w:rPr>
            </w:pPr>
            <w:r>
              <w:rPr>
                <w:rFonts w:eastAsia="Times New Roman" w:cs="Calibri"/>
                <w:color w:val="000000"/>
              </w:rPr>
              <w:t xml:space="preserve">Przypisanie stałych numerów do usług </w:t>
            </w:r>
            <w:proofErr w:type="spellStart"/>
            <w:r>
              <w:rPr>
                <w:rFonts w:eastAsia="Times New Roman" w:cs="Calibri"/>
                <w:color w:val="000000"/>
              </w:rPr>
              <w:t>CeZ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r w:rsidRPr="00723A70">
              <w:rPr>
                <w:rFonts w:eastAsia="Times New Roman" w:cs="Calibri"/>
                <w:color w:val="000000"/>
              </w:rPr>
              <w:t>gwarantuje ich niezmienność i prawidłowe funkcjonowanie realizowanych za ich pośrednictwem usług publicznych.</w:t>
            </w:r>
            <w:r>
              <w:rPr>
                <w:rFonts w:eastAsia="Times New Roman" w:cs="Calibri"/>
                <w:color w:val="000000"/>
              </w:rPr>
              <w:t xml:space="preserve"> Ciągłość funkcjonowania numerów </w:t>
            </w:r>
            <w:proofErr w:type="spellStart"/>
            <w:r>
              <w:rPr>
                <w:rFonts w:eastAsia="Times New Roman" w:cs="Calibri"/>
                <w:color w:val="000000"/>
              </w:rPr>
              <w:t>CeZ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ma istotne znaczenie dla zapewnienia obywatelom informacji telefonicznej na temat usług dotyczących e-zdrowia.</w:t>
            </w:r>
          </w:p>
        </w:tc>
      </w:tr>
      <w:tr w:rsidR="004D6D78" w:rsidRPr="00F731E4" w14:paraId="1077093B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144AB10D" w14:textId="77777777" w:rsidR="004D6D78" w:rsidRPr="00F731E4" w:rsidRDefault="004D6D78" w:rsidP="001A2E64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eastAsia="Times New Roman" w:cs="Calibri"/>
                <w:b/>
              </w:rPr>
            </w:pPr>
            <w:r w:rsidRPr="00F731E4">
              <w:rPr>
                <w:rFonts w:eastAsia="Times New Roman" w:cs="Calibri"/>
                <w:b/>
                <w:spacing w:val="-2"/>
              </w:rPr>
              <w:t>Planowane wykonanie przepisów aktu prawnego</w:t>
            </w:r>
          </w:p>
        </w:tc>
      </w:tr>
      <w:tr w:rsidR="004D6D78" w:rsidRPr="00F731E4" w14:paraId="2BB0C2C6" w14:textId="77777777" w:rsidTr="004D6D78">
        <w:trPr>
          <w:trHeight w:val="154"/>
        </w:trPr>
        <w:tc>
          <w:tcPr>
            <w:tcW w:w="5000" w:type="pct"/>
            <w:gridSpan w:val="29"/>
            <w:shd w:val="clear" w:color="auto" w:fill="FFFFFF"/>
          </w:tcPr>
          <w:p w14:paraId="41A9D72D" w14:textId="12F93594" w:rsidR="004D6D78" w:rsidRPr="00F731E4" w:rsidRDefault="004D6D78" w:rsidP="00FD0477">
            <w:pPr>
              <w:suppressAutoHyphens/>
              <w:spacing w:line="240" w:lineRule="auto"/>
              <w:jc w:val="both"/>
              <w:rPr>
                <w:rFonts w:eastAsia="Times New Roman" w:cs="Calibri"/>
                <w:spacing w:val="-2"/>
              </w:rPr>
            </w:pPr>
            <w:r w:rsidRPr="00F731E4">
              <w:rPr>
                <w:rFonts w:eastAsia="Times New Roman" w:cs="Calibri"/>
                <w:spacing w:val="-2"/>
              </w:rPr>
              <w:t xml:space="preserve">Wejście w życie rozporządzenia przewidziane jest </w:t>
            </w:r>
            <w:r w:rsidR="00FD0477">
              <w:rPr>
                <w:rFonts w:eastAsia="Times New Roman" w:cs="Calibri"/>
                <w:spacing w:val="-2"/>
              </w:rPr>
              <w:t>po upływie</w:t>
            </w:r>
            <w:r w:rsidR="00CC66B1">
              <w:rPr>
                <w:rFonts w:eastAsia="Times New Roman" w:cs="Calibri"/>
                <w:spacing w:val="-2"/>
              </w:rPr>
              <w:t xml:space="preserve"> 14 dni od dnia </w:t>
            </w:r>
            <w:r w:rsidR="000E374D">
              <w:rPr>
                <w:rFonts w:eastAsia="Times New Roman" w:cs="Calibri"/>
                <w:spacing w:val="-2"/>
              </w:rPr>
              <w:t>ogłoszenia</w:t>
            </w:r>
            <w:r w:rsidR="00CC66B1">
              <w:rPr>
                <w:rFonts w:eastAsia="Times New Roman" w:cs="Calibri"/>
                <w:spacing w:val="-2"/>
              </w:rPr>
              <w:t>.</w:t>
            </w:r>
          </w:p>
        </w:tc>
      </w:tr>
      <w:tr w:rsidR="004D6D78" w:rsidRPr="00F731E4" w14:paraId="51E1B6D2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372CEF36" w14:textId="77777777" w:rsidR="004D6D78" w:rsidRPr="00F731E4" w:rsidRDefault="004D6D78" w:rsidP="001A2E64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eastAsia="Times New Roman" w:cs="Calibri"/>
                <w:b/>
                <w:color w:val="000000"/>
              </w:rPr>
            </w:pPr>
            <w:r w:rsidRPr="00F731E4">
              <w:rPr>
                <w:rFonts w:eastAsia="Times New Roman" w:cs="Calibri"/>
                <w:b/>
                <w:color w:val="000000"/>
              </w:rPr>
              <w:t xml:space="preserve"> </w:t>
            </w:r>
            <w:r w:rsidRPr="00F731E4">
              <w:rPr>
                <w:rFonts w:eastAsia="Times New Roman" w:cs="Calibri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4D6D78" w:rsidRPr="00F731E4" w14:paraId="445DE5A3" w14:textId="77777777" w:rsidTr="004D6D78">
        <w:trPr>
          <w:trHeight w:val="338"/>
        </w:trPr>
        <w:tc>
          <w:tcPr>
            <w:tcW w:w="5000" w:type="pct"/>
            <w:gridSpan w:val="29"/>
            <w:shd w:val="clear" w:color="auto" w:fill="FFFFFF"/>
          </w:tcPr>
          <w:p w14:paraId="5B2F65B6" w14:textId="77777777" w:rsidR="004D6D78" w:rsidRPr="00F731E4" w:rsidRDefault="004D6D78" w:rsidP="00D65A78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spacing w:val="-2"/>
              </w:rPr>
              <w:t>Nie przewiduje się ewaluacji efektów projektu.</w:t>
            </w:r>
          </w:p>
        </w:tc>
      </w:tr>
      <w:tr w:rsidR="004D6D78" w:rsidRPr="00F731E4" w14:paraId="5A77A80F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613F74FB" w14:textId="77777777" w:rsidR="004D6D78" w:rsidRPr="00F731E4" w:rsidRDefault="004D6D78" w:rsidP="001A2E64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eastAsia="Times New Roman" w:cs="Calibri"/>
                <w:b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b/>
                <w:color w:val="000000"/>
                <w:spacing w:val="-2"/>
              </w:rPr>
              <w:t xml:space="preserve"> Załączniki </w:t>
            </w:r>
            <w:r w:rsidRPr="00F731E4">
              <w:rPr>
                <w:rFonts w:eastAsia="Times New Roman" w:cs="Calibri"/>
                <w:b/>
                <w:spacing w:val="-2"/>
              </w:rPr>
              <w:t>(istotne dokumenty źródłowe, badania, analizy itp.</w:t>
            </w:r>
            <w:r w:rsidRPr="00F731E4">
              <w:rPr>
                <w:rFonts w:eastAsia="Times New Roman" w:cs="Calibri"/>
                <w:b/>
                <w:color w:val="000000"/>
                <w:spacing w:val="-2"/>
              </w:rPr>
              <w:t xml:space="preserve">) </w:t>
            </w:r>
          </w:p>
        </w:tc>
      </w:tr>
      <w:tr w:rsidR="004D6D78" w:rsidRPr="00F731E4" w14:paraId="6686AB8F" w14:textId="77777777" w:rsidTr="004D6D78">
        <w:trPr>
          <w:trHeight w:val="142"/>
        </w:trPr>
        <w:tc>
          <w:tcPr>
            <w:tcW w:w="5000" w:type="pct"/>
            <w:gridSpan w:val="29"/>
            <w:shd w:val="clear" w:color="auto" w:fill="FFFFFF"/>
          </w:tcPr>
          <w:p w14:paraId="3B773059" w14:textId="77777777" w:rsidR="004D6D78" w:rsidRPr="00F731E4" w:rsidRDefault="004D6D78" w:rsidP="00D65A78">
            <w:pPr>
              <w:suppressAutoHyphens/>
              <w:spacing w:line="240" w:lineRule="auto"/>
              <w:jc w:val="both"/>
              <w:rPr>
                <w:rFonts w:eastAsia="Times New Roman" w:cs="Calibri"/>
                <w:color w:val="000000"/>
                <w:spacing w:val="-2"/>
              </w:rPr>
            </w:pPr>
            <w:r w:rsidRPr="00F731E4">
              <w:rPr>
                <w:rFonts w:eastAsia="Times New Roman" w:cs="Calibri"/>
                <w:color w:val="000000"/>
                <w:spacing w:val="-2"/>
              </w:rPr>
              <w:t>Brak.</w:t>
            </w:r>
            <w:r w:rsidR="000C553D">
              <w:rPr>
                <w:rFonts w:eastAsia="Times New Roman" w:cs="Calibri"/>
                <w:color w:val="000000"/>
                <w:spacing w:val="-2"/>
              </w:rPr>
              <w:t> </w:t>
            </w:r>
          </w:p>
        </w:tc>
      </w:tr>
    </w:tbl>
    <w:p w14:paraId="106BAACE" w14:textId="536B7DDF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AC65" w14:textId="77777777" w:rsidR="009931AA" w:rsidRDefault="009931AA">
      <w:r>
        <w:separator/>
      </w:r>
    </w:p>
  </w:endnote>
  <w:endnote w:type="continuationSeparator" w:id="0">
    <w:p w14:paraId="61B24CA1" w14:textId="77777777" w:rsidR="009931AA" w:rsidRDefault="0099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619B" w14:textId="77777777" w:rsidR="009931AA" w:rsidRDefault="009931AA">
      <w:r>
        <w:separator/>
      </w:r>
    </w:p>
  </w:footnote>
  <w:footnote w:type="continuationSeparator" w:id="0">
    <w:p w14:paraId="404586E9" w14:textId="77777777" w:rsidR="009931AA" w:rsidRDefault="009931AA">
      <w:r>
        <w:continuationSeparator/>
      </w:r>
    </w:p>
  </w:footnote>
  <w:footnote w:id="1">
    <w:p w14:paraId="4ABB4D09" w14:textId="3286B48E" w:rsidR="00CE26C1" w:rsidRDefault="00CE26C1" w:rsidP="007073A2">
      <w:pPr>
        <w:pStyle w:val="ODNONIKtreodnonika"/>
        <w:rPr>
          <w:rFonts w:ascii="Calibri" w:hAnsi="Calibri" w:cs="Helvetica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9391E">
        <w:t xml:space="preserve">Minister Cyfryzacji kieruje działem administracji rządowej – </w:t>
      </w:r>
      <w:r w:rsidRPr="00BD32F7">
        <w:t xml:space="preserve">informatyzacja, na podstawie § 1 ust. 2 rozporządzenia Prezesa Rady Ministrów z dnia </w:t>
      </w:r>
      <w:r>
        <w:t xml:space="preserve">6 października 2020 </w:t>
      </w:r>
      <w:r w:rsidRPr="00BD32F7">
        <w:t xml:space="preserve">r. w sprawie szczegółowego zakresu działania Ministra Cyfryzacji (Dz. U. poz. </w:t>
      </w:r>
      <w:r>
        <w:t>1716</w:t>
      </w:r>
      <w:r w:rsidRPr="00BD32F7">
        <w:t>)</w:t>
      </w:r>
      <w:r w:rsidRPr="0029391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726E" w14:textId="46C87E65" w:rsidR="00CE26C1" w:rsidRPr="00B371CC" w:rsidRDefault="00CE26C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8080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C2966"/>
    <w:multiLevelType w:val="hybridMultilevel"/>
    <w:tmpl w:val="C9F8B52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B7363"/>
    <w:multiLevelType w:val="hybridMultilevel"/>
    <w:tmpl w:val="B5B44B6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33EF0873"/>
    <w:multiLevelType w:val="hybridMultilevel"/>
    <w:tmpl w:val="BCAED1A8"/>
    <w:lvl w:ilvl="0" w:tplc="5C940C6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F4080"/>
    <w:multiLevelType w:val="hybridMultilevel"/>
    <w:tmpl w:val="6AE079B4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DE"/>
    <w:rsid w:val="000012DA"/>
    <w:rsid w:val="000014A0"/>
    <w:rsid w:val="0000246E"/>
    <w:rsid w:val="00003862"/>
    <w:rsid w:val="00012A35"/>
    <w:rsid w:val="00013A13"/>
    <w:rsid w:val="0001574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47AF4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25D9"/>
    <w:rsid w:val="000843A1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553D"/>
    <w:rsid w:val="000D0110"/>
    <w:rsid w:val="000D05D7"/>
    <w:rsid w:val="000D2468"/>
    <w:rsid w:val="000D318A"/>
    <w:rsid w:val="000D6173"/>
    <w:rsid w:val="000D6F83"/>
    <w:rsid w:val="000D7B8D"/>
    <w:rsid w:val="000E25CC"/>
    <w:rsid w:val="000E3694"/>
    <w:rsid w:val="000E374D"/>
    <w:rsid w:val="000E3757"/>
    <w:rsid w:val="000E490F"/>
    <w:rsid w:val="000E551E"/>
    <w:rsid w:val="000E6241"/>
    <w:rsid w:val="000F2BE3"/>
    <w:rsid w:val="000F3D0D"/>
    <w:rsid w:val="000F6ED4"/>
    <w:rsid w:val="000F7A6E"/>
    <w:rsid w:val="0010082F"/>
    <w:rsid w:val="001029D3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4B9E"/>
    <w:rsid w:val="00125A9C"/>
    <w:rsid w:val="001270A2"/>
    <w:rsid w:val="00131237"/>
    <w:rsid w:val="001329AC"/>
    <w:rsid w:val="00132B9B"/>
    <w:rsid w:val="00134CA0"/>
    <w:rsid w:val="00137301"/>
    <w:rsid w:val="0014026F"/>
    <w:rsid w:val="001451E9"/>
    <w:rsid w:val="001478FB"/>
    <w:rsid w:val="00147A47"/>
    <w:rsid w:val="00147AA1"/>
    <w:rsid w:val="00147AC4"/>
    <w:rsid w:val="001520CF"/>
    <w:rsid w:val="001547A4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509"/>
    <w:rsid w:val="00174F2C"/>
    <w:rsid w:val="0017539D"/>
    <w:rsid w:val="00180F2A"/>
    <w:rsid w:val="00180F42"/>
    <w:rsid w:val="00182796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2E64"/>
    <w:rsid w:val="001A3CD3"/>
    <w:rsid w:val="001A5BEF"/>
    <w:rsid w:val="001A7F15"/>
    <w:rsid w:val="001B31E0"/>
    <w:rsid w:val="001B342E"/>
    <w:rsid w:val="001C1832"/>
    <w:rsid w:val="001C188C"/>
    <w:rsid w:val="001C7966"/>
    <w:rsid w:val="001D0AD8"/>
    <w:rsid w:val="001D1783"/>
    <w:rsid w:val="001D53CD"/>
    <w:rsid w:val="001D55A3"/>
    <w:rsid w:val="001D5AF5"/>
    <w:rsid w:val="001D6F5C"/>
    <w:rsid w:val="001E1E73"/>
    <w:rsid w:val="001E4E0C"/>
    <w:rsid w:val="001E526D"/>
    <w:rsid w:val="001E5655"/>
    <w:rsid w:val="001F1832"/>
    <w:rsid w:val="001F220F"/>
    <w:rsid w:val="001F25B3"/>
    <w:rsid w:val="001F6616"/>
    <w:rsid w:val="0020156F"/>
    <w:rsid w:val="002029D9"/>
    <w:rsid w:val="00202BD4"/>
    <w:rsid w:val="00204A97"/>
    <w:rsid w:val="0021138B"/>
    <w:rsid w:val="002114EF"/>
    <w:rsid w:val="002166AD"/>
    <w:rsid w:val="00217871"/>
    <w:rsid w:val="00220B9E"/>
    <w:rsid w:val="00220BE2"/>
    <w:rsid w:val="00221ED8"/>
    <w:rsid w:val="002231EA"/>
    <w:rsid w:val="00223FDF"/>
    <w:rsid w:val="002279C0"/>
    <w:rsid w:val="0023727E"/>
    <w:rsid w:val="002373BE"/>
    <w:rsid w:val="00240B59"/>
    <w:rsid w:val="00242081"/>
    <w:rsid w:val="00243777"/>
    <w:rsid w:val="0024409F"/>
    <w:rsid w:val="002441CD"/>
    <w:rsid w:val="00247297"/>
    <w:rsid w:val="002501A3"/>
    <w:rsid w:val="0025166C"/>
    <w:rsid w:val="002555D4"/>
    <w:rsid w:val="00261A16"/>
    <w:rsid w:val="00263522"/>
    <w:rsid w:val="00264D7A"/>
    <w:rsid w:val="00264EC6"/>
    <w:rsid w:val="00271013"/>
    <w:rsid w:val="00271154"/>
    <w:rsid w:val="00273FE4"/>
    <w:rsid w:val="00274AB4"/>
    <w:rsid w:val="002765B4"/>
    <w:rsid w:val="00276A94"/>
    <w:rsid w:val="0028777A"/>
    <w:rsid w:val="0029405D"/>
    <w:rsid w:val="00294FA6"/>
    <w:rsid w:val="00295A6F"/>
    <w:rsid w:val="002A20C4"/>
    <w:rsid w:val="002A362D"/>
    <w:rsid w:val="002A570F"/>
    <w:rsid w:val="002A7292"/>
    <w:rsid w:val="002A7358"/>
    <w:rsid w:val="002A7902"/>
    <w:rsid w:val="002B0F6B"/>
    <w:rsid w:val="002B23B8"/>
    <w:rsid w:val="002B4429"/>
    <w:rsid w:val="002B6229"/>
    <w:rsid w:val="002B68A6"/>
    <w:rsid w:val="002B7FAF"/>
    <w:rsid w:val="002C4B2A"/>
    <w:rsid w:val="002D0C4F"/>
    <w:rsid w:val="002D1364"/>
    <w:rsid w:val="002D4D30"/>
    <w:rsid w:val="002D4E66"/>
    <w:rsid w:val="002D5000"/>
    <w:rsid w:val="002D598D"/>
    <w:rsid w:val="002D60D7"/>
    <w:rsid w:val="002D7188"/>
    <w:rsid w:val="002E1DE3"/>
    <w:rsid w:val="002E2AB6"/>
    <w:rsid w:val="002E3F34"/>
    <w:rsid w:val="002E5F79"/>
    <w:rsid w:val="002E64FA"/>
    <w:rsid w:val="002F0A00"/>
    <w:rsid w:val="002F0CFA"/>
    <w:rsid w:val="002F2D96"/>
    <w:rsid w:val="002F4C6D"/>
    <w:rsid w:val="002F669F"/>
    <w:rsid w:val="00301C97"/>
    <w:rsid w:val="00307B99"/>
    <w:rsid w:val="0031004C"/>
    <w:rsid w:val="003105F6"/>
    <w:rsid w:val="00311297"/>
    <w:rsid w:val="003113BE"/>
    <w:rsid w:val="003122CA"/>
    <w:rsid w:val="003148FD"/>
    <w:rsid w:val="0032087A"/>
    <w:rsid w:val="00321080"/>
    <w:rsid w:val="00322D45"/>
    <w:rsid w:val="0032569A"/>
    <w:rsid w:val="00325A1F"/>
    <w:rsid w:val="003268F9"/>
    <w:rsid w:val="00327234"/>
    <w:rsid w:val="00330987"/>
    <w:rsid w:val="00330BAF"/>
    <w:rsid w:val="00334E3A"/>
    <w:rsid w:val="003361DD"/>
    <w:rsid w:val="00341A6A"/>
    <w:rsid w:val="00345B9C"/>
    <w:rsid w:val="003461E7"/>
    <w:rsid w:val="003526F2"/>
    <w:rsid w:val="00352DAE"/>
    <w:rsid w:val="00354EB9"/>
    <w:rsid w:val="003602AE"/>
    <w:rsid w:val="00360929"/>
    <w:rsid w:val="003647D5"/>
    <w:rsid w:val="003674B0"/>
    <w:rsid w:val="00371265"/>
    <w:rsid w:val="0037281B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379"/>
    <w:rsid w:val="00391B1A"/>
    <w:rsid w:val="00394423"/>
    <w:rsid w:val="00396942"/>
    <w:rsid w:val="00396B49"/>
    <w:rsid w:val="00396E3E"/>
    <w:rsid w:val="003A306E"/>
    <w:rsid w:val="003A34F3"/>
    <w:rsid w:val="003A60DC"/>
    <w:rsid w:val="003A6A46"/>
    <w:rsid w:val="003A6FD3"/>
    <w:rsid w:val="003A7A63"/>
    <w:rsid w:val="003B000C"/>
    <w:rsid w:val="003B0F1D"/>
    <w:rsid w:val="003B4A57"/>
    <w:rsid w:val="003B4CE2"/>
    <w:rsid w:val="003C0714"/>
    <w:rsid w:val="003C0AD9"/>
    <w:rsid w:val="003C0D00"/>
    <w:rsid w:val="003C0ED0"/>
    <w:rsid w:val="003C1B3F"/>
    <w:rsid w:val="003C1D49"/>
    <w:rsid w:val="003C3424"/>
    <w:rsid w:val="003C35C4"/>
    <w:rsid w:val="003D12C2"/>
    <w:rsid w:val="003D2B63"/>
    <w:rsid w:val="003D31B9"/>
    <w:rsid w:val="003D3867"/>
    <w:rsid w:val="003E0D1A"/>
    <w:rsid w:val="003E27D1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3A14"/>
    <w:rsid w:val="00407332"/>
    <w:rsid w:val="00407828"/>
    <w:rsid w:val="00413C8E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2979"/>
    <w:rsid w:val="00445F4D"/>
    <w:rsid w:val="00447E3F"/>
    <w:rsid w:val="004504C0"/>
    <w:rsid w:val="00450AF5"/>
    <w:rsid w:val="00452AC8"/>
    <w:rsid w:val="004550FB"/>
    <w:rsid w:val="004572DE"/>
    <w:rsid w:val="0046111A"/>
    <w:rsid w:val="00462946"/>
    <w:rsid w:val="00463F43"/>
    <w:rsid w:val="00464B94"/>
    <w:rsid w:val="004653A8"/>
    <w:rsid w:val="00465A0B"/>
    <w:rsid w:val="00467547"/>
    <w:rsid w:val="0047077C"/>
    <w:rsid w:val="00470B05"/>
    <w:rsid w:val="0047207C"/>
    <w:rsid w:val="00472CD6"/>
    <w:rsid w:val="00474E3C"/>
    <w:rsid w:val="00480A58"/>
    <w:rsid w:val="00482151"/>
    <w:rsid w:val="00483EB8"/>
    <w:rsid w:val="00485FAD"/>
    <w:rsid w:val="00487AED"/>
    <w:rsid w:val="00491EDF"/>
    <w:rsid w:val="00492A3F"/>
    <w:rsid w:val="00493036"/>
    <w:rsid w:val="00494A95"/>
    <w:rsid w:val="00494F62"/>
    <w:rsid w:val="004A2001"/>
    <w:rsid w:val="004A268C"/>
    <w:rsid w:val="004A3590"/>
    <w:rsid w:val="004A3B8C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1C6"/>
    <w:rsid w:val="004D61D1"/>
    <w:rsid w:val="004D6D78"/>
    <w:rsid w:val="004D7FD9"/>
    <w:rsid w:val="004E1324"/>
    <w:rsid w:val="004E19A5"/>
    <w:rsid w:val="004E2497"/>
    <w:rsid w:val="004E2510"/>
    <w:rsid w:val="004E37E5"/>
    <w:rsid w:val="004E3FDB"/>
    <w:rsid w:val="004F1D79"/>
    <w:rsid w:val="004F1F4A"/>
    <w:rsid w:val="004F296D"/>
    <w:rsid w:val="004F508B"/>
    <w:rsid w:val="004F6781"/>
    <w:rsid w:val="004F6874"/>
    <w:rsid w:val="004F695F"/>
    <w:rsid w:val="004F6CA4"/>
    <w:rsid w:val="004F724A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5C7"/>
    <w:rsid w:val="00527651"/>
    <w:rsid w:val="00527A9C"/>
    <w:rsid w:val="005363AB"/>
    <w:rsid w:val="00541B2F"/>
    <w:rsid w:val="00544EF4"/>
    <w:rsid w:val="00545E53"/>
    <w:rsid w:val="005479D9"/>
    <w:rsid w:val="00550541"/>
    <w:rsid w:val="005572BD"/>
    <w:rsid w:val="00557A12"/>
    <w:rsid w:val="00560AC7"/>
    <w:rsid w:val="00561AFB"/>
    <w:rsid w:val="00561FA8"/>
    <w:rsid w:val="005635ED"/>
    <w:rsid w:val="00565253"/>
    <w:rsid w:val="0056714A"/>
    <w:rsid w:val="00570191"/>
    <w:rsid w:val="00570570"/>
    <w:rsid w:val="00572512"/>
    <w:rsid w:val="00573EE6"/>
    <w:rsid w:val="0057547F"/>
    <w:rsid w:val="005754EE"/>
    <w:rsid w:val="00575F8B"/>
    <w:rsid w:val="0057617E"/>
    <w:rsid w:val="00576497"/>
    <w:rsid w:val="005835E7"/>
    <w:rsid w:val="0058397F"/>
    <w:rsid w:val="00583BF8"/>
    <w:rsid w:val="00583DA1"/>
    <w:rsid w:val="00585F33"/>
    <w:rsid w:val="00591124"/>
    <w:rsid w:val="00597024"/>
    <w:rsid w:val="00597423"/>
    <w:rsid w:val="005A0274"/>
    <w:rsid w:val="005A095C"/>
    <w:rsid w:val="005A669D"/>
    <w:rsid w:val="005A6EBA"/>
    <w:rsid w:val="005A75D8"/>
    <w:rsid w:val="005B713E"/>
    <w:rsid w:val="005C03B6"/>
    <w:rsid w:val="005C2CAD"/>
    <w:rsid w:val="005C305B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475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49E4"/>
    <w:rsid w:val="00635134"/>
    <w:rsid w:val="006356E2"/>
    <w:rsid w:val="00641C51"/>
    <w:rsid w:val="00642A65"/>
    <w:rsid w:val="00644BCC"/>
    <w:rsid w:val="00645DCE"/>
    <w:rsid w:val="006465AC"/>
    <w:rsid w:val="006465BF"/>
    <w:rsid w:val="006523CE"/>
    <w:rsid w:val="00653B22"/>
    <w:rsid w:val="00657BF4"/>
    <w:rsid w:val="006603FB"/>
    <w:rsid w:val="006608DF"/>
    <w:rsid w:val="006623AC"/>
    <w:rsid w:val="0066307C"/>
    <w:rsid w:val="006678AF"/>
    <w:rsid w:val="006679D6"/>
    <w:rsid w:val="006701EF"/>
    <w:rsid w:val="00673BA5"/>
    <w:rsid w:val="00674542"/>
    <w:rsid w:val="00674F72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532"/>
    <w:rsid w:val="006969FA"/>
    <w:rsid w:val="006A35D5"/>
    <w:rsid w:val="006A748A"/>
    <w:rsid w:val="006B1297"/>
    <w:rsid w:val="006C419E"/>
    <w:rsid w:val="006C4A31"/>
    <w:rsid w:val="006C5AC2"/>
    <w:rsid w:val="006C6AFB"/>
    <w:rsid w:val="006C71B3"/>
    <w:rsid w:val="006D01FD"/>
    <w:rsid w:val="006D2735"/>
    <w:rsid w:val="006D45B2"/>
    <w:rsid w:val="006D7D78"/>
    <w:rsid w:val="006E0FCC"/>
    <w:rsid w:val="006E1E96"/>
    <w:rsid w:val="006E5E21"/>
    <w:rsid w:val="006F2648"/>
    <w:rsid w:val="006F2F10"/>
    <w:rsid w:val="006F482B"/>
    <w:rsid w:val="006F6311"/>
    <w:rsid w:val="006F6933"/>
    <w:rsid w:val="00701952"/>
    <w:rsid w:val="00702556"/>
    <w:rsid w:val="0070277E"/>
    <w:rsid w:val="00704156"/>
    <w:rsid w:val="007069FC"/>
    <w:rsid w:val="007073A2"/>
    <w:rsid w:val="00711221"/>
    <w:rsid w:val="00712675"/>
    <w:rsid w:val="00713808"/>
    <w:rsid w:val="007151B6"/>
    <w:rsid w:val="0071520D"/>
    <w:rsid w:val="00715C48"/>
    <w:rsid w:val="00715EDB"/>
    <w:rsid w:val="007160D5"/>
    <w:rsid w:val="007163FB"/>
    <w:rsid w:val="00717C2E"/>
    <w:rsid w:val="007204FA"/>
    <w:rsid w:val="007213B3"/>
    <w:rsid w:val="00722CB4"/>
    <w:rsid w:val="00723A70"/>
    <w:rsid w:val="0072457F"/>
    <w:rsid w:val="00725406"/>
    <w:rsid w:val="0072621B"/>
    <w:rsid w:val="00730555"/>
    <w:rsid w:val="007312CC"/>
    <w:rsid w:val="00736A64"/>
    <w:rsid w:val="00737139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57EDB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4D0E"/>
    <w:rsid w:val="00786BA5"/>
    <w:rsid w:val="0078721A"/>
    <w:rsid w:val="007878FE"/>
    <w:rsid w:val="0079049D"/>
    <w:rsid w:val="00792207"/>
    <w:rsid w:val="00792B64"/>
    <w:rsid w:val="00792E29"/>
    <w:rsid w:val="0079379A"/>
    <w:rsid w:val="007945D4"/>
    <w:rsid w:val="00794953"/>
    <w:rsid w:val="007A148E"/>
    <w:rsid w:val="007A1F2F"/>
    <w:rsid w:val="007A2A5C"/>
    <w:rsid w:val="007A5150"/>
    <w:rsid w:val="007A5373"/>
    <w:rsid w:val="007A789F"/>
    <w:rsid w:val="007B719E"/>
    <w:rsid w:val="007B75BC"/>
    <w:rsid w:val="007C0BD6"/>
    <w:rsid w:val="007C321F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0355"/>
    <w:rsid w:val="007F2AF5"/>
    <w:rsid w:val="007F2EB6"/>
    <w:rsid w:val="007F54C3"/>
    <w:rsid w:val="00802949"/>
    <w:rsid w:val="0080301E"/>
    <w:rsid w:val="0080365F"/>
    <w:rsid w:val="00804226"/>
    <w:rsid w:val="00812BE5"/>
    <w:rsid w:val="00817429"/>
    <w:rsid w:val="008176B0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19AA"/>
    <w:rsid w:val="00842028"/>
    <w:rsid w:val="008436B8"/>
    <w:rsid w:val="0084422B"/>
    <w:rsid w:val="00845422"/>
    <w:rsid w:val="008460B6"/>
    <w:rsid w:val="00850C9D"/>
    <w:rsid w:val="00851A9E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2141"/>
    <w:rsid w:val="0088318F"/>
    <w:rsid w:val="0088331D"/>
    <w:rsid w:val="008852B0"/>
    <w:rsid w:val="00885AE7"/>
    <w:rsid w:val="00885D8B"/>
    <w:rsid w:val="00886B60"/>
    <w:rsid w:val="00887746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174D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E7C6C"/>
    <w:rsid w:val="008F0654"/>
    <w:rsid w:val="008F06CB"/>
    <w:rsid w:val="008F16ED"/>
    <w:rsid w:val="008F2E83"/>
    <w:rsid w:val="008F612A"/>
    <w:rsid w:val="008F6135"/>
    <w:rsid w:val="008F62CF"/>
    <w:rsid w:val="009004CA"/>
    <w:rsid w:val="0090293D"/>
    <w:rsid w:val="00902C29"/>
    <w:rsid w:val="009034DE"/>
    <w:rsid w:val="00905396"/>
    <w:rsid w:val="0090605D"/>
    <w:rsid w:val="00906419"/>
    <w:rsid w:val="00912889"/>
    <w:rsid w:val="00913012"/>
    <w:rsid w:val="00913A42"/>
    <w:rsid w:val="00914167"/>
    <w:rsid w:val="009143DB"/>
    <w:rsid w:val="00915065"/>
    <w:rsid w:val="00917CE5"/>
    <w:rsid w:val="0092106D"/>
    <w:rsid w:val="009217C0"/>
    <w:rsid w:val="00921C41"/>
    <w:rsid w:val="00925241"/>
    <w:rsid w:val="00925CEC"/>
    <w:rsid w:val="00926A3F"/>
    <w:rsid w:val="0092794E"/>
    <w:rsid w:val="00930D30"/>
    <w:rsid w:val="009332A2"/>
    <w:rsid w:val="00933F1E"/>
    <w:rsid w:val="00937598"/>
    <w:rsid w:val="0093790B"/>
    <w:rsid w:val="00943003"/>
    <w:rsid w:val="00943751"/>
    <w:rsid w:val="00946DD0"/>
    <w:rsid w:val="009509E6"/>
    <w:rsid w:val="00952018"/>
    <w:rsid w:val="00952800"/>
    <w:rsid w:val="0095300D"/>
    <w:rsid w:val="00953A9A"/>
    <w:rsid w:val="00955651"/>
    <w:rsid w:val="00956812"/>
    <w:rsid w:val="0095719A"/>
    <w:rsid w:val="0096218B"/>
    <w:rsid w:val="009623E9"/>
    <w:rsid w:val="00963EEB"/>
    <w:rsid w:val="009648BC"/>
    <w:rsid w:val="00964C2F"/>
    <w:rsid w:val="00965F88"/>
    <w:rsid w:val="00981AFD"/>
    <w:rsid w:val="00984E03"/>
    <w:rsid w:val="00987E85"/>
    <w:rsid w:val="009931AA"/>
    <w:rsid w:val="009A0D12"/>
    <w:rsid w:val="009A1987"/>
    <w:rsid w:val="009A2BEE"/>
    <w:rsid w:val="009A4F75"/>
    <w:rsid w:val="009A5289"/>
    <w:rsid w:val="009A7A53"/>
    <w:rsid w:val="009B0402"/>
    <w:rsid w:val="009B0B75"/>
    <w:rsid w:val="009B16DF"/>
    <w:rsid w:val="009B3099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F64"/>
    <w:rsid w:val="009D32A7"/>
    <w:rsid w:val="009D3316"/>
    <w:rsid w:val="009D55AA"/>
    <w:rsid w:val="009E1AA9"/>
    <w:rsid w:val="009E3E77"/>
    <w:rsid w:val="009E3FAB"/>
    <w:rsid w:val="009E5B3F"/>
    <w:rsid w:val="009E7D90"/>
    <w:rsid w:val="009F1AB0"/>
    <w:rsid w:val="009F501D"/>
    <w:rsid w:val="00A01EF7"/>
    <w:rsid w:val="00A02916"/>
    <w:rsid w:val="00A039D5"/>
    <w:rsid w:val="00A03D2A"/>
    <w:rsid w:val="00A046AD"/>
    <w:rsid w:val="00A079C1"/>
    <w:rsid w:val="00A12520"/>
    <w:rsid w:val="00A130FD"/>
    <w:rsid w:val="00A13D6D"/>
    <w:rsid w:val="00A14769"/>
    <w:rsid w:val="00A1551D"/>
    <w:rsid w:val="00A16151"/>
    <w:rsid w:val="00A16EC6"/>
    <w:rsid w:val="00A17C06"/>
    <w:rsid w:val="00A2126E"/>
    <w:rsid w:val="00A21706"/>
    <w:rsid w:val="00A21C54"/>
    <w:rsid w:val="00A233E4"/>
    <w:rsid w:val="00A24FCC"/>
    <w:rsid w:val="00A26A90"/>
    <w:rsid w:val="00A26B27"/>
    <w:rsid w:val="00A27C22"/>
    <w:rsid w:val="00A30E4F"/>
    <w:rsid w:val="00A32253"/>
    <w:rsid w:val="00A3310E"/>
    <w:rsid w:val="00A333A0"/>
    <w:rsid w:val="00A36426"/>
    <w:rsid w:val="00A37E70"/>
    <w:rsid w:val="00A426B7"/>
    <w:rsid w:val="00A437E1"/>
    <w:rsid w:val="00A4685E"/>
    <w:rsid w:val="00A50CD4"/>
    <w:rsid w:val="00A51191"/>
    <w:rsid w:val="00A51727"/>
    <w:rsid w:val="00A54D24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ACA"/>
    <w:rsid w:val="00A7436E"/>
    <w:rsid w:val="00A74E96"/>
    <w:rsid w:val="00A75A8E"/>
    <w:rsid w:val="00A80802"/>
    <w:rsid w:val="00A824DD"/>
    <w:rsid w:val="00A82752"/>
    <w:rsid w:val="00A8292B"/>
    <w:rsid w:val="00A83676"/>
    <w:rsid w:val="00A83B7B"/>
    <w:rsid w:val="00A83ED0"/>
    <w:rsid w:val="00A84274"/>
    <w:rsid w:val="00A850F3"/>
    <w:rsid w:val="00A864E3"/>
    <w:rsid w:val="00A919AF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A7EE6"/>
    <w:rsid w:val="00AB047E"/>
    <w:rsid w:val="00AB0B0A"/>
    <w:rsid w:val="00AB0BB7"/>
    <w:rsid w:val="00AB22C6"/>
    <w:rsid w:val="00AB2AD0"/>
    <w:rsid w:val="00AB2E92"/>
    <w:rsid w:val="00AB67FC"/>
    <w:rsid w:val="00AC00F2"/>
    <w:rsid w:val="00AC2B98"/>
    <w:rsid w:val="00AC31B5"/>
    <w:rsid w:val="00AC4EA1"/>
    <w:rsid w:val="00AC5381"/>
    <w:rsid w:val="00AC5920"/>
    <w:rsid w:val="00AD0E65"/>
    <w:rsid w:val="00AD1CF2"/>
    <w:rsid w:val="00AD2BF2"/>
    <w:rsid w:val="00AD4E90"/>
    <w:rsid w:val="00AD5422"/>
    <w:rsid w:val="00AE3C5A"/>
    <w:rsid w:val="00AE4179"/>
    <w:rsid w:val="00AE4425"/>
    <w:rsid w:val="00AE4FBE"/>
    <w:rsid w:val="00AE650F"/>
    <w:rsid w:val="00AE6555"/>
    <w:rsid w:val="00AE7D16"/>
    <w:rsid w:val="00AF38E5"/>
    <w:rsid w:val="00AF4CAA"/>
    <w:rsid w:val="00AF571A"/>
    <w:rsid w:val="00AF60A0"/>
    <w:rsid w:val="00AF67FC"/>
    <w:rsid w:val="00AF7DF5"/>
    <w:rsid w:val="00B006E5"/>
    <w:rsid w:val="00B01CA0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181"/>
    <w:rsid w:val="00B41CD9"/>
    <w:rsid w:val="00B427E6"/>
    <w:rsid w:val="00B428A6"/>
    <w:rsid w:val="00B43E1F"/>
    <w:rsid w:val="00B45FBC"/>
    <w:rsid w:val="00B51A7D"/>
    <w:rsid w:val="00B535C2"/>
    <w:rsid w:val="00B55544"/>
    <w:rsid w:val="00B6169A"/>
    <w:rsid w:val="00B642FC"/>
    <w:rsid w:val="00B64D26"/>
    <w:rsid w:val="00B64FBB"/>
    <w:rsid w:val="00B657EB"/>
    <w:rsid w:val="00B70E22"/>
    <w:rsid w:val="00B774CB"/>
    <w:rsid w:val="00B80402"/>
    <w:rsid w:val="00B80B9A"/>
    <w:rsid w:val="00B830B7"/>
    <w:rsid w:val="00B848EA"/>
    <w:rsid w:val="00B84B2B"/>
    <w:rsid w:val="00B86DC9"/>
    <w:rsid w:val="00B90500"/>
    <w:rsid w:val="00B9176C"/>
    <w:rsid w:val="00B9233B"/>
    <w:rsid w:val="00B9238C"/>
    <w:rsid w:val="00B935A4"/>
    <w:rsid w:val="00BA2CF2"/>
    <w:rsid w:val="00BA561A"/>
    <w:rsid w:val="00BB0DC6"/>
    <w:rsid w:val="00BB15E4"/>
    <w:rsid w:val="00BB1E19"/>
    <w:rsid w:val="00BB21D1"/>
    <w:rsid w:val="00BB32F2"/>
    <w:rsid w:val="00BB4338"/>
    <w:rsid w:val="00BB53AA"/>
    <w:rsid w:val="00BB5B25"/>
    <w:rsid w:val="00BB6C0E"/>
    <w:rsid w:val="00BB7B38"/>
    <w:rsid w:val="00BC11E5"/>
    <w:rsid w:val="00BC4BC6"/>
    <w:rsid w:val="00BC52FD"/>
    <w:rsid w:val="00BC6E62"/>
    <w:rsid w:val="00BC7443"/>
    <w:rsid w:val="00BC75A3"/>
    <w:rsid w:val="00BD0648"/>
    <w:rsid w:val="00BD1040"/>
    <w:rsid w:val="00BD34AA"/>
    <w:rsid w:val="00BE0C44"/>
    <w:rsid w:val="00BE1A47"/>
    <w:rsid w:val="00BE1B8B"/>
    <w:rsid w:val="00BE2A18"/>
    <w:rsid w:val="00BE2C01"/>
    <w:rsid w:val="00BE3BF5"/>
    <w:rsid w:val="00BE41EC"/>
    <w:rsid w:val="00BE5073"/>
    <w:rsid w:val="00BE56FB"/>
    <w:rsid w:val="00BF3DDE"/>
    <w:rsid w:val="00BF4DE4"/>
    <w:rsid w:val="00BF5BA1"/>
    <w:rsid w:val="00BF6589"/>
    <w:rsid w:val="00BF6F7F"/>
    <w:rsid w:val="00C00647"/>
    <w:rsid w:val="00C02764"/>
    <w:rsid w:val="00C03E56"/>
    <w:rsid w:val="00C04CEF"/>
    <w:rsid w:val="00C0662F"/>
    <w:rsid w:val="00C11943"/>
    <w:rsid w:val="00C12E96"/>
    <w:rsid w:val="00C14763"/>
    <w:rsid w:val="00C15DB2"/>
    <w:rsid w:val="00C16141"/>
    <w:rsid w:val="00C2363F"/>
    <w:rsid w:val="00C236C8"/>
    <w:rsid w:val="00C260B1"/>
    <w:rsid w:val="00C26E56"/>
    <w:rsid w:val="00C31406"/>
    <w:rsid w:val="00C333CF"/>
    <w:rsid w:val="00C37194"/>
    <w:rsid w:val="00C40637"/>
    <w:rsid w:val="00C40F6C"/>
    <w:rsid w:val="00C41B4F"/>
    <w:rsid w:val="00C44426"/>
    <w:rsid w:val="00C445F3"/>
    <w:rsid w:val="00C451F4"/>
    <w:rsid w:val="00C45EB1"/>
    <w:rsid w:val="00C51DAD"/>
    <w:rsid w:val="00C547CC"/>
    <w:rsid w:val="00C54A3A"/>
    <w:rsid w:val="00C55566"/>
    <w:rsid w:val="00C56448"/>
    <w:rsid w:val="00C62306"/>
    <w:rsid w:val="00C667BE"/>
    <w:rsid w:val="00C6766B"/>
    <w:rsid w:val="00C72223"/>
    <w:rsid w:val="00C754AA"/>
    <w:rsid w:val="00C76417"/>
    <w:rsid w:val="00C7726F"/>
    <w:rsid w:val="00C77465"/>
    <w:rsid w:val="00C823DA"/>
    <w:rsid w:val="00C8259F"/>
    <w:rsid w:val="00C82746"/>
    <w:rsid w:val="00C8312F"/>
    <w:rsid w:val="00C8485F"/>
    <w:rsid w:val="00C84C47"/>
    <w:rsid w:val="00C858A4"/>
    <w:rsid w:val="00C86AFA"/>
    <w:rsid w:val="00CA5354"/>
    <w:rsid w:val="00CB18D0"/>
    <w:rsid w:val="00CB1C8A"/>
    <w:rsid w:val="00CB24F5"/>
    <w:rsid w:val="00CB2663"/>
    <w:rsid w:val="00CB2D98"/>
    <w:rsid w:val="00CB3BBE"/>
    <w:rsid w:val="00CB59E9"/>
    <w:rsid w:val="00CC0D6A"/>
    <w:rsid w:val="00CC2C31"/>
    <w:rsid w:val="00CC3831"/>
    <w:rsid w:val="00CC3E3D"/>
    <w:rsid w:val="00CC4EA4"/>
    <w:rsid w:val="00CC519B"/>
    <w:rsid w:val="00CC66B1"/>
    <w:rsid w:val="00CC7F23"/>
    <w:rsid w:val="00CD12C1"/>
    <w:rsid w:val="00CD214E"/>
    <w:rsid w:val="00CD46FA"/>
    <w:rsid w:val="00CD5973"/>
    <w:rsid w:val="00CE26C1"/>
    <w:rsid w:val="00CE31A6"/>
    <w:rsid w:val="00CF09AA"/>
    <w:rsid w:val="00CF1C92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5908"/>
    <w:rsid w:val="00D16820"/>
    <w:rsid w:val="00D169C8"/>
    <w:rsid w:val="00D1793F"/>
    <w:rsid w:val="00D22AF5"/>
    <w:rsid w:val="00D235EA"/>
    <w:rsid w:val="00D247A9"/>
    <w:rsid w:val="00D2790A"/>
    <w:rsid w:val="00D32721"/>
    <w:rsid w:val="00D328DC"/>
    <w:rsid w:val="00D33387"/>
    <w:rsid w:val="00D34D50"/>
    <w:rsid w:val="00D35725"/>
    <w:rsid w:val="00D40191"/>
    <w:rsid w:val="00D402FB"/>
    <w:rsid w:val="00D41392"/>
    <w:rsid w:val="00D47D7A"/>
    <w:rsid w:val="00D50ABD"/>
    <w:rsid w:val="00D50C02"/>
    <w:rsid w:val="00D52148"/>
    <w:rsid w:val="00D55290"/>
    <w:rsid w:val="00D57791"/>
    <w:rsid w:val="00D6046A"/>
    <w:rsid w:val="00D61906"/>
    <w:rsid w:val="00D62870"/>
    <w:rsid w:val="00D63345"/>
    <w:rsid w:val="00D655D9"/>
    <w:rsid w:val="00D65872"/>
    <w:rsid w:val="00D65A78"/>
    <w:rsid w:val="00D676F3"/>
    <w:rsid w:val="00D70EF5"/>
    <w:rsid w:val="00D71024"/>
    <w:rsid w:val="00D71A25"/>
    <w:rsid w:val="00D71FCF"/>
    <w:rsid w:val="00D72A54"/>
    <w:rsid w:val="00D72CC1"/>
    <w:rsid w:val="00D76EC9"/>
    <w:rsid w:val="00D77946"/>
    <w:rsid w:val="00D80E7D"/>
    <w:rsid w:val="00D81397"/>
    <w:rsid w:val="00D848B9"/>
    <w:rsid w:val="00D90A2E"/>
    <w:rsid w:val="00D90E69"/>
    <w:rsid w:val="00D91368"/>
    <w:rsid w:val="00D93106"/>
    <w:rsid w:val="00D933E9"/>
    <w:rsid w:val="00D94AAA"/>
    <w:rsid w:val="00D9505D"/>
    <w:rsid w:val="00D953D0"/>
    <w:rsid w:val="00D959F5"/>
    <w:rsid w:val="00D96884"/>
    <w:rsid w:val="00DA3FDD"/>
    <w:rsid w:val="00DA7017"/>
    <w:rsid w:val="00DA7028"/>
    <w:rsid w:val="00DA7B1A"/>
    <w:rsid w:val="00DB1191"/>
    <w:rsid w:val="00DB1AD2"/>
    <w:rsid w:val="00DB2B58"/>
    <w:rsid w:val="00DB33D0"/>
    <w:rsid w:val="00DB3BDB"/>
    <w:rsid w:val="00DB5206"/>
    <w:rsid w:val="00DB6276"/>
    <w:rsid w:val="00DB63F5"/>
    <w:rsid w:val="00DB65DB"/>
    <w:rsid w:val="00DC1C6B"/>
    <w:rsid w:val="00DC2C2E"/>
    <w:rsid w:val="00DC4AF0"/>
    <w:rsid w:val="00DC6E1E"/>
    <w:rsid w:val="00DC7886"/>
    <w:rsid w:val="00DD0CF2"/>
    <w:rsid w:val="00DD188E"/>
    <w:rsid w:val="00DD2366"/>
    <w:rsid w:val="00DD76BB"/>
    <w:rsid w:val="00DE1554"/>
    <w:rsid w:val="00DE2901"/>
    <w:rsid w:val="00DE590F"/>
    <w:rsid w:val="00DE7DC1"/>
    <w:rsid w:val="00DF30AF"/>
    <w:rsid w:val="00DF3F7E"/>
    <w:rsid w:val="00DF46F9"/>
    <w:rsid w:val="00DF7648"/>
    <w:rsid w:val="00E00E29"/>
    <w:rsid w:val="00E02BAB"/>
    <w:rsid w:val="00E04CEB"/>
    <w:rsid w:val="00E060BC"/>
    <w:rsid w:val="00E11420"/>
    <w:rsid w:val="00E11437"/>
    <w:rsid w:val="00E119E5"/>
    <w:rsid w:val="00E132FB"/>
    <w:rsid w:val="00E170B7"/>
    <w:rsid w:val="00E177DD"/>
    <w:rsid w:val="00E20900"/>
    <w:rsid w:val="00E20C7F"/>
    <w:rsid w:val="00E2396E"/>
    <w:rsid w:val="00E24728"/>
    <w:rsid w:val="00E24CCF"/>
    <w:rsid w:val="00E275CF"/>
    <w:rsid w:val="00E276AC"/>
    <w:rsid w:val="00E330F8"/>
    <w:rsid w:val="00E34A35"/>
    <w:rsid w:val="00E37C2F"/>
    <w:rsid w:val="00E41C28"/>
    <w:rsid w:val="00E433BC"/>
    <w:rsid w:val="00E46308"/>
    <w:rsid w:val="00E51E17"/>
    <w:rsid w:val="00E52532"/>
    <w:rsid w:val="00E52DAB"/>
    <w:rsid w:val="00E539B0"/>
    <w:rsid w:val="00E55994"/>
    <w:rsid w:val="00E60606"/>
    <w:rsid w:val="00E60C66"/>
    <w:rsid w:val="00E6164D"/>
    <w:rsid w:val="00E618C9"/>
    <w:rsid w:val="00E61BB5"/>
    <w:rsid w:val="00E62774"/>
    <w:rsid w:val="00E6307C"/>
    <w:rsid w:val="00E636FA"/>
    <w:rsid w:val="00E66C50"/>
    <w:rsid w:val="00E679D3"/>
    <w:rsid w:val="00E67DDB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56C8"/>
    <w:rsid w:val="00E87441"/>
    <w:rsid w:val="00E91FAE"/>
    <w:rsid w:val="00E93E67"/>
    <w:rsid w:val="00E96E3F"/>
    <w:rsid w:val="00EA270C"/>
    <w:rsid w:val="00EA4974"/>
    <w:rsid w:val="00EA532E"/>
    <w:rsid w:val="00EA5E59"/>
    <w:rsid w:val="00EB06D9"/>
    <w:rsid w:val="00EB0FF1"/>
    <w:rsid w:val="00EB192B"/>
    <w:rsid w:val="00EB19ED"/>
    <w:rsid w:val="00EB1CAB"/>
    <w:rsid w:val="00EC0F5A"/>
    <w:rsid w:val="00EC29CD"/>
    <w:rsid w:val="00EC364A"/>
    <w:rsid w:val="00EC4265"/>
    <w:rsid w:val="00EC4CEB"/>
    <w:rsid w:val="00EC659E"/>
    <w:rsid w:val="00ED2072"/>
    <w:rsid w:val="00ED2AE0"/>
    <w:rsid w:val="00ED36DA"/>
    <w:rsid w:val="00ED5553"/>
    <w:rsid w:val="00ED5E36"/>
    <w:rsid w:val="00ED6383"/>
    <w:rsid w:val="00ED6961"/>
    <w:rsid w:val="00EE0C5A"/>
    <w:rsid w:val="00EE275D"/>
    <w:rsid w:val="00EE5E2B"/>
    <w:rsid w:val="00EF0B96"/>
    <w:rsid w:val="00EF1835"/>
    <w:rsid w:val="00EF3486"/>
    <w:rsid w:val="00EF47AF"/>
    <w:rsid w:val="00EF53B6"/>
    <w:rsid w:val="00EF5ADB"/>
    <w:rsid w:val="00EF66E0"/>
    <w:rsid w:val="00F00B73"/>
    <w:rsid w:val="00F01667"/>
    <w:rsid w:val="00F037DC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4948"/>
    <w:rsid w:val="00F458D8"/>
    <w:rsid w:val="00F50237"/>
    <w:rsid w:val="00F50E3B"/>
    <w:rsid w:val="00F526BE"/>
    <w:rsid w:val="00F53596"/>
    <w:rsid w:val="00F53F44"/>
    <w:rsid w:val="00F55BA8"/>
    <w:rsid w:val="00F55DB1"/>
    <w:rsid w:val="00F56ACA"/>
    <w:rsid w:val="00F600FE"/>
    <w:rsid w:val="00F62E4D"/>
    <w:rsid w:val="00F630E4"/>
    <w:rsid w:val="00F66B34"/>
    <w:rsid w:val="00F675B9"/>
    <w:rsid w:val="00F711C9"/>
    <w:rsid w:val="00F71ACC"/>
    <w:rsid w:val="00F73598"/>
    <w:rsid w:val="00F74C59"/>
    <w:rsid w:val="00F756F0"/>
    <w:rsid w:val="00F75C3A"/>
    <w:rsid w:val="00F82E30"/>
    <w:rsid w:val="00F831CB"/>
    <w:rsid w:val="00F83846"/>
    <w:rsid w:val="00F848A3"/>
    <w:rsid w:val="00F84ACF"/>
    <w:rsid w:val="00F85742"/>
    <w:rsid w:val="00F85BF8"/>
    <w:rsid w:val="00F871CE"/>
    <w:rsid w:val="00F87802"/>
    <w:rsid w:val="00F8796A"/>
    <w:rsid w:val="00F87D1D"/>
    <w:rsid w:val="00F92C0A"/>
    <w:rsid w:val="00F9415B"/>
    <w:rsid w:val="00FA13C2"/>
    <w:rsid w:val="00FA45AA"/>
    <w:rsid w:val="00FA6B40"/>
    <w:rsid w:val="00FA7F91"/>
    <w:rsid w:val="00FB121C"/>
    <w:rsid w:val="00FB1CDD"/>
    <w:rsid w:val="00FB1FBF"/>
    <w:rsid w:val="00FB2C2F"/>
    <w:rsid w:val="00FB305C"/>
    <w:rsid w:val="00FC2689"/>
    <w:rsid w:val="00FC2E3D"/>
    <w:rsid w:val="00FC3BDE"/>
    <w:rsid w:val="00FC4488"/>
    <w:rsid w:val="00FC5B9E"/>
    <w:rsid w:val="00FD0477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CAAFB"/>
  <w15:docId w15:val="{ADF0822C-6983-4886-A951-42EB583C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2B6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dobrowol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0D5D76-2C6D-4B2D-990D-AB9DC7D5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8</Pages>
  <Words>2047</Words>
  <Characters>12282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Wójcik Małgorzata</dc:creator>
  <cp:lastModifiedBy>Anna Paździorko</cp:lastModifiedBy>
  <cp:revision>2</cp:revision>
  <cp:lastPrinted>2012-04-23T06:39:00Z</cp:lastPrinted>
  <dcterms:created xsi:type="dcterms:W3CDTF">2021-08-11T06:11:00Z</dcterms:created>
  <dcterms:modified xsi:type="dcterms:W3CDTF">2021-08-11T06:11:00Z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