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1829" w14:textId="77777777" w:rsidR="00703B79" w:rsidRDefault="00703B79" w:rsidP="00973AF2">
      <w:pPr>
        <w:pStyle w:val="OZNPROJEKTUwskazaniedatylubwersjiprojektu"/>
      </w:pPr>
      <w:r w:rsidRPr="00703B79">
        <w:t xml:space="preserve">Projekt z dnia </w:t>
      </w:r>
      <w:r w:rsidR="00274ADE">
        <w:t>13</w:t>
      </w:r>
      <w:r w:rsidRPr="00703B79">
        <w:t>.11.2020 r.</w:t>
      </w:r>
    </w:p>
    <w:p w14:paraId="48DED8FA" w14:textId="77777777" w:rsidR="00973AF2" w:rsidRPr="00703B79" w:rsidRDefault="00973AF2" w:rsidP="00973AF2">
      <w:pPr>
        <w:pStyle w:val="OZNPROJEKTUwskazaniedatylubwersjiprojektu"/>
      </w:pPr>
    </w:p>
    <w:p w14:paraId="2836C0DE" w14:textId="77777777" w:rsidR="00703B79" w:rsidRPr="00703B79" w:rsidRDefault="00703B79" w:rsidP="00703B79">
      <w:pPr>
        <w:pStyle w:val="OZNRODZAKTUtznustawalubrozporzdzenieiorganwydajcy"/>
      </w:pPr>
      <w:r w:rsidRPr="00703B79">
        <w:t>ROZPORZĄDZENIE</w:t>
      </w:r>
    </w:p>
    <w:p w14:paraId="5791DA84" w14:textId="77777777" w:rsidR="00703B79" w:rsidRPr="00703B79" w:rsidRDefault="00703B79" w:rsidP="00703B79">
      <w:pPr>
        <w:pStyle w:val="OZNRODZAKTUtznustawalubrozporzdzenieiorganwydajcy"/>
      </w:pPr>
      <w:r w:rsidRPr="00703B79">
        <w:t>MINISTRA CYFRYZACJI</w:t>
      </w:r>
      <w:r w:rsidRPr="00703B79">
        <w:rPr>
          <w:rStyle w:val="IGindeksgrny"/>
          <w:rFonts w:eastAsiaTheme="minorEastAsia"/>
        </w:rPr>
        <w:footnoteReference w:id="1"/>
      </w:r>
      <w:r w:rsidRPr="00703B79">
        <w:rPr>
          <w:rStyle w:val="IGindeksgrny"/>
          <w:rFonts w:eastAsiaTheme="minorEastAsia"/>
        </w:rPr>
        <w:t>)</w:t>
      </w:r>
    </w:p>
    <w:p w14:paraId="1178D9F0" w14:textId="77777777" w:rsidR="00703B79" w:rsidRPr="00703B79" w:rsidRDefault="00703B79" w:rsidP="00703B79">
      <w:pPr>
        <w:pStyle w:val="DATAAKTUdatauchwalenialubwydaniaaktu"/>
      </w:pPr>
      <w:r w:rsidRPr="00703B79">
        <w:t>z dnia ……… 2020 r.</w:t>
      </w:r>
    </w:p>
    <w:p w14:paraId="644D99D0" w14:textId="77777777" w:rsidR="00703B79" w:rsidRPr="00703B79" w:rsidRDefault="00703B79" w:rsidP="00703B79">
      <w:pPr>
        <w:pStyle w:val="TYTUAKTUprzedmiotregulacjiustawylubrozporzdzenia"/>
      </w:pPr>
      <w:r w:rsidRPr="00703B79">
        <w:t>zmieniające rozporządzenie w sprawie harmonogramu rozdysponowania określonych zasobów częstotliwości użytkowanych jako cywilne w użytkowaniu cywilnym lub cywilno-rządowym</w:t>
      </w:r>
    </w:p>
    <w:p w14:paraId="1012A14C" w14:textId="77777777" w:rsidR="00703B79" w:rsidRPr="00ED3701" w:rsidRDefault="00703B79" w:rsidP="00973AF2">
      <w:pPr>
        <w:pStyle w:val="NIEARTTEKSTtekstnieartykuowanynppodstprawnarozplubpreambua"/>
      </w:pPr>
      <w:r w:rsidRPr="00ED3701">
        <w:t>Na podstawie art. 111 ust. 4 ustawy z dnia 16 </w:t>
      </w:r>
      <w:r w:rsidRPr="00973AF2">
        <w:t>lipca</w:t>
      </w:r>
      <w:r w:rsidRPr="00ED3701">
        <w:t xml:space="preserve"> 2004 r. – Prawo telekomunikacyjne (Dz. U. z 2019 r. poz. 2460</w:t>
      </w:r>
      <w:r>
        <w:t xml:space="preserve"> </w:t>
      </w:r>
      <w:r w:rsidRPr="00ED3701">
        <w:t>oraz z 2020 r. poz. 374, 695 i 875) zarządza się, co następuje:</w:t>
      </w:r>
    </w:p>
    <w:p w14:paraId="35C2A731" w14:textId="77777777" w:rsidR="00703B79" w:rsidRPr="00ED3701" w:rsidRDefault="00703B79" w:rsidP="00973AF2">
      <w:pPr>
        <w:pStyle w:val="ARTartustawynprozporzdzenia"/>
      </w:pPr>
      <w:r w:rsidRPr="00973AF2">
        <w:rPr>
          <w:rStyle w:val="Ppogrubienie"/>
        </w:rPr>
        <w:t>§</w:t>
      </w:r>
      <w:r w:rsidR="00973AF2" w:rsidRPr="00973AF2">
        <w:rPr>
          <w:rStyle w:val="Ppogrubienie"/>
        </w:rPr>
        <w:t> </w:t>
      </w:r>
      <w:r w:rsidRPr="00973AF2">
        <w:rPr>
          <w:rStyle w:val="Ppogrubienie"/>
        </w:rPr>
        <w:t>1.</w:t>
      </w:r>
      <w:r w:rsidR="00973AF2">
        <w:t> </w:t>
      </w:r>
      <w:r w:rsidRPr="00ED3701">
        <w:t>W załączniku do rozporządzenia Ministra Cyfryzacji z dnia 8 lipca 2019 r. w sprawie harmonogramu rozdysponowania określonych zasobów częstotliwości użytkowanych jako cywilne w użytkowaniu cywilnym lub cywilno</w:t>
      </w:r>
      <w:r w:rsidR="0086155C">
        <w:t>-rządowym (Dz. U. poz. 1354) w L</w:t>
      </w:r>
      <w:r w:rsidRPr="00ED3701">
        <w:t xml:space="preserve">p. 1 </w:t>
      </w:r>
      <w:r w:rsidR="00973AF2">
        <w:t xml:space="preserve">w </w:t>
      </w:r>
      <w:r w:rsidRPr="00ED3701">
        <w:t>kolumn</w:t>
      </w:r>
      <w:r w:rsidR="00973AF2">
        <w:t>ie</w:t>
      </w:r>
      <w:r w:rsidRPr="00ED3701">
        <w:t xml:space="preserve"> </w:t>
      </w:r>
      <w:r w:rsidR="00857071">
        <w:t>„</w:t>
      </w:r>
      <w:r w:rsidRPr="00ED3701">
        <w:t>Termin realizacji</w:t>
      </w:r>
      <w:r w:rsidR="00857071">
        <w:t>”</w:t>
      </w:r>
      <w:r w:rsidRPr="00ED3701">
        <w:t xml:space="preserve"> </w:t>
      </w:r>
      <w:r w:rsidR="00973AF2">
        <w:t xml:space="preserve">wyrazy </w:t>
      </w:r>
      <w:r w:rsidR="0086155C">
        <w:t>„</w:t>
      </w:r>
      <w:r w:rsidR="00973AF2" w:rsidRPr="00973AF2">
        <w:t>do dnia 30 czerwca 2020 r.</w:t>
      </w:r>
      <w:r w:rsidR="0086155C">
        <w:t>”</w:t>
      </w:r>
      <w:r w:rsidR="00973AF2">
        <w:t xml:space="preserve"> zastępuje się wyrazami</w:t>
      </w:r>
      <w:r w:rsidRPr="00ED3701">
        <w:t xml:space="preserve"> </w:t>
      </w:r>
      <w:r w:rsidR="00973AF2">
        <w:t>„</w:t>
      </w:r>
      <w:r w:rsidRPr="00ED3701">
        <w:t xml:space="preserve">do dnia </w:t>
      </w:r>
      <w:r>
        <w:t>27 sierpnia</w:t>
      </w:r>
      <w:r w:rsidRPr="00ED3701">
        <w:t xml:space="preserve"> 2021 r.</w:t>
      </w:r>
      <w:r w:rsidR="00973AF2">
        <w:t>”</w:t>
      </w:r>
      <w:r w:rsidRPr="00ED3701">
        <w:t>.</w:t>
      </w:r>
    </w:p>
    <w:p w14:paraId="0794E0B1" w14:textId="77777777" w:rsidR="00703B79" w:rsidRDefault="00703B79" w:rsidP="00973AF2">
      <w:pPr>
        <w:pStyle w:val="ARTartustawynprozporzdzenia"/>
      </w:pPr>
      <w:r w:rsidRPr="00973AF2">
        <w:rPr>
          <w:rStyle w:val="Ppogrubienie"/>
        </w:rPr>
        <w:t>§</w:t>
      </w:r>
      <w:r w:rsidR="00973AF2" w:rsidRPr="00973AF2">
        <w:rPr>
          <w:rStyle w:val="Ppogrubienie"/>
        </w:rPr>
        <w:t> </w:t>
      </w:r>
      <w:r w:rsidRPr="00973AF2">
        <w:rPr>
          <w:rStyle w:val="Ppogrubienie"/>
        </w:rPr>
        <w:t>2.</w:t>
      </w:r>
      <w:r w:rsidR="00973AF2">
        <w:t> </w:t>
      </w:r>
      <w:r w:rsidRPr="00ED3701">
        <w:t>Rozporządzenie wchodzi w życie po upływie 14 dni od dnia ogłoszenia.</w:t>
      </w:r>
    </w:p>
    <w:p w14:paraId="757C8A43" w14:textId="77777777" w:rsidR="003348D4" w:rsidRDefault="003348D4" w:rsidP="00973AF2">
      <w:pPr>
        <w:pStyle w:val="ARTartustawynprozporzdzenia"/>
      </w:pPr>
    </w:p>
    <w:p w14:paraId="45D133BC" w14:textId="77777777" w:rsidR="00703B79" w:rsidRDefault="00703B79" w:rsidP="003348D4">
      <w:pPr>
        <w:pStyle w:val="NAZORGWYDnazwaorganuwydajcegoprojektowanyakt"/>
      </w:pPr>
      <w:r>
        <w:t>MINISTER CYFRYZACJI</w:t>
      </w:r>
    </w:p>
    <w:p w14:paraId="05BA95D5" w14:textId="77777777" w:rsidR="004814D6" w:rsidRPr="009C7E27" w:rsidRDefault="004814D6" w:rsidP="004814D6">
      <w:pPr>
        <w:pStyle w:val="OZNPARAFYADNOTACJE"/>
      </w:pPr>
      <w:r w:rsidRPr="009C7E27">
        <w:t>ZA ZGODNOŚĆ POD WZGLĘDEM PRAWNYM,</w:t>
      </w:r>
    </w:p>
    <w:p w14:paraId="6212BA62" w14:textId="77777777" w:rsidR="004814D6" w:rsidRPr="009C7E27" w:rsidRDefault="004814D6" w:rsidP="004814D6">
      <w:pPr>
        <w:pStyle w:val="OZNPARAFYADNOTACJE"/>
      </w:pPr>
      <w:r w:rsidRPr="009C7E27">
        <w:t>REDAKCYJNYM I LEGISLACYJNYM</w:t>
      </w:r>
    </w:p>
    <w:p w14:paraId="03852FAD" w14:textId="77777777" w:rsidR="004814D6" w:rsidRPr="009C7E27" w:rsidRDefault="004814D6" w:rsidP="004814D6">
      <w:pPr>
        <w:pStyle w:val="OZNPARAFYADNOTACJE"/>
      </w:pPr>
      <w:r>
        <w:t>Aleksandra Wrochna</w:t>
      </w:r>
    </w:p>
    <w:p w14:paraId="2782ACCE" w14:textId="77777777" w:rsidR="004814D6" w:rsidRPr="009C7E27" w:rsidRDefault="004814D6" w:rsidP="004814D6">
      <w:pPr>
        <w:pStyle w:val="OZNPARAFYADNOTACJE"/>
      </w:pPr>
      <w:r>
        <w:t xml:space="preserve">Zastępca </w:t>
      </w:r>
      <w:r w:rsidRPr="009C7E27">
        <w:t>Dyrektor</w:t>
      </w:r>
      <w:r>
        <w:t>a</w:t>
      </w:r>
      <w:r w:rsidRPr="009C7E27">
        <w:t xml:space="preserve"> Departamentu Prawnego</w:t>
      </w:r>
    </w:p>
    <w:p w14:paraId="5B2C3413" w14:textId="77777777" w:rsidR="004814D6" w:rsidRPr="009C7E27" w:rsidRDefault="004814D6" w:rsidP="004814D6">
      <w:pPr>
        <w:pStyle w:val="OZNPARAFYADNOTACJE"/>
      </w:pPr>
      <w:r>
        <w:t>w Kancelarii Prezesa Rady Ministrów</w:t>
      </w:r>
    </w:p>
    <w:p w14:paraId="49D6A38E" w14:textId="77777777" w:rsidR="00703B79" w:rsidRDefault="004814D6" w:rsidP="004814D6">
      <w:pPr>
        <w:pStyle w:val="OZNPARAFYADNOTACJE"/>
      </w:pPr>
      <w:r w:rsidRPr="009C7E27">
        <w:t>/- podpisano elektronicznie/</w:t>
      </w:r>
      <w:r w:rsidR="00703B79">
        <w:br w:type="page"/>
      </w:r>
    </w:p>
    <w:p w14:paraId="4A4D5295" w14:textId="77777777" w:rsidR="00703B79" w:rsidRPr="00703B79" w:rsidRDefault="00703B79" w:rsidP="003348D4">
      <w:pPr>
        <w:jc w:val="center"/>
      </w:pPr>
      <w:r w:rsidRPr="003348D4">
        <w:rPr>
          <w:rStyle w:val="Ppogrubienie"/>
        </w:rPr>
        <w:lastRenderedPageBreak/>
        <w:t>UZASADNIENIE</w:t>
      </w:r>
    </w:p>
    <w:p w14:paraId="1365E95C" w14:textId="77777777" w:rsidR="00703B79" w:rsidRPr="00703B79" w:rsidRDefault="00703B79" w:rsidP="003348D4">
      <w:pPr>
        <w:pStyle w:val="NIEARTTEKSTtekstnieartykuowanynppodstprawnarozplubpreambua"/>
      </w:pPr>
      <w:r w:rsidRPr="00703B79">
        <w:t xml:space="preserve">Projekt rozporządzenia stanowi wykonanie delegacji zawartej w art. 111 ust. 4 ustawy z dnia 16 lipca 2004 r. – Prawo telekomunikacyjne (Dz. U. z 2019 r. poz. 2460 oraz z 2020 r. poz. 374, 695 i 875), zwanej dalej </w:t>
      </w:r>
      <w:r w:rsidR="00973AF2">
        <w:t>„</w:t>
      </w:r>
      <w:r w:rsidRPr="00703B79">
        <w:t>Pt</w:t>
      </w:r>
      <w:r w:rsidR="00973AF2">
        <w:t>”</w:t>
      </w:r>
      <w:r w:rsidRPr="00703B79">
        <w:t xml:space="preserve">, zgodnie z którą </w:t>
      </w:r>
      <w:r w:rsidR="00973AF2">
        <w:t>„</w:t>
      </w:r>
      <w:r w:rsidRPr="00703B79">
        <w:t>Minister właściwy do spraw informatyzacji może określić, w drodze rozporządzenia, harmonogram rozdysponowania określonych zasobów częstotliwości użytkowanych jako cywilne w użytkowaniu cywilnym lub cywilno-rządowym, z uwzględnieniem:</w:t>
      </w:r>
    </w:p>
    <w:p w14:paraId="47B62FFC" w14:textId="77777777" w:rsidR="00703B79" w:rsidRPr="00703B79" w:rsidRDefault="00703B79" w:rsidP="003348D4">
      <w:pPr>
        <w:pStyle w:val="NIEARTTEKSTtekstnieartykuowanynppodstprawnarozplubpreambua"/>
      </w:pPr>
      <w:r w:rsidRPr="00703B79">
        <w:t>1)</w:t>
      </w:r>
      <w:r w:rsidR="00973AF2">
        <w:tab/>
      </w:r>
      <w:r w:rsidRPr="00703B79">
        <w:t>polityki państwa w zakresie gospodarki zasobami częstotliwości;</w:t>
      </w:r>
    </w:p>
    <w:p w14:paraId="335BADEA" w14:textId="77777777" w:rsidR="00703B79" w:rsidRPr="00703B79" w:rsidRDefault="00703B79" w:rsidP="003348D4">
      <w:pPr>
        <w:pStyle w:val="NIEARTTEKSTtekstnieartykuowanynppodstprawnarozplubpreambua"/>
      </w:pPr>
      <w:r w:rsidRPr="00703B79">
        <w:t>2)</w:t>
      </w:r>
      <w:r w:rsidR="00973AF2">
        <w:tab/>
      </w:r>
      <w:r w:rsidRPr="00703B79">
        <w:t>przeznaczeń częstotliwości określonych w Krajowej Tablicy Przeznaczeń Częstotliwości;</w:t>
      </w:r>
    </w:p>
    <w:p w14:paraId="5F2BBBE7" w14:textId="77777777" w:rsidR="00703B79" w:rsidRPr="00703B79" w:rsidRDefault="00703B79" w:rsidP="003348D4">
      <w:pPr>
        <w:pStyle w:val="NIEARTTEKSTtekstnieartykuowanynppodstprawnarozplubpreambua"/>
      </w:pPr>
      <w:r w:rsidRPr="00703B79">
        <w:t>3)</w:t>
      </w:r>
      <w:r w:rsidR="00973AF2">
        <w:tab/>
      </w:r>
      <w:r w:rsidRPr="00703B79">
        <w:t>wymagań stosowanych przy określaniu Krajowej Tablicy Przeznaczeń Częstotliwości.</w:t>
      </w:r>
      <w:r w:rsidR="00973AF2">
        <w:t>”</w:t>
      </w:r>
      <w:r w:rsidRPr="00703B79">
        <w:t>.</w:t>
      </w:r>
    </w:p>
    <w:p w14:paraId="2BD47B37" w14:textId="77777777" w:rsidR="00703B79" w:rsidRPr="00703B79" w:rsidRDefault="00703B79" w:rsidP="003348D4">
      <w:pPr>
        <w:pStyle w:val="NIEARTTEKSTtekstnieartykuowanynppodstprawnarozplubpreambua"/>
      </w:pPr>
      <w:r w:rsidRPr="00703B79">
        <w:t>Harmonogram dotyczy rozdysponowania zasobów pasma 3,7 GHz, które Grupa ds. Polityki Widma Radiowego (RSPG) wytypowała obok pasm: 700 MHz, 3,5 GHz oraz 26 GHz jako przeznaczone w pierwszej kolejności do uruchomienia sieci 5G.</w:t>
      </w:r>
    </w:p>
    <w:p w14:paraId="1187AED8" w14:textId="77777777" w:rsidR="00703B79" w:rsidRPr="00703B79" w:rsidRDefault="00703B79" w:rsidP="003348D4">
      <w:pPr>
        <w:pStyle w:val="NIEARTTEKSTtekstnieartykuowanynppodstprawnarozplubpreambua"/>
      </w:pPr>
      <w:r w:rsidRPr="00703B79">
        <w:t>Przedsiębiorcy telekomunikacyjni są zainteresowani uzyskaniem rezerwacji częstotliwości z pasma 3,7 GHz, które jest obecnie fragmentarycznie udostępnione na wybranych obszarach kraju. W związku z tym</w:t>
      </w:r>
      <w:r w:rsidR="003348D4">
        <w:t>,</w:t>
      </w:r>
      <w:r w:rsidRPr="00703B79">
        <w:t xml:space="preserve"> istnieje potrzeba istotnego zwiększenia efektywności wykorzystania tych częstotliwości.</w:t>
      </w:r>
    </w:p>
    <w:p w14:paraId="1D4B6159" w14:textId="77777777" w:rsidR="00703B79" w:rsidRPr="00703B79" w:rsidRDefault="00703B79" w:rsidP="003348D4">
      <w:pPr>
        <w:pStyle w:val="NIEARTTEKSTtekstnieartykuowanynppodstprawnarozplubpreambua"/>
      </w:pPr>
      <w:r w:rsidRPr="00703B79">
        <w:t xml:space="preserve">Projektowany akt zmienia termin realizacji działania polegającego na wydaniu ogólnopolskich decyzji rezerwacyjnych dla pasma 3,7 GHz. W projekcie wskazano nowy termin, którym jest dzień 27 sierpnia 2021 r. Należy wskazać, że rozdysponowanie pasma 3,7 GHz miało odbyć się w czerwcu 2020 r. i w tym celu Prezes Urzędu Komunikacji Elektronicznej, dalej jako </w:t>
      </w:r>
      <w:r w:rsidR="00973AF2">
        <w:t>„</w:t>
      </w:r>
      <w:r w:rsidRPr="00703B79">
        <w:t>Prezes UKE</w:t>
      </w:r>
      <w:r w:rsidR="00973AF2">
        <w:t>”</w:t>
      </w:r>
      <w:r w:rsidRPr="00703B79">
        <w:t>, ogłosił w dniu 6 marca 2020 r. aukcję na częstotliwości umożliwiające rozwój sieci 5G w Polsce. Jednakże w związku z przepisami art. 118d ust. 1a oraz 1b Pt wprowadzonymi do ustawy – Prawo telekomunikacyjne z dniem 16 maja 2020 r. na mocy ustawy z dnia 14 maja 2020 r. o zmianie niektórych ustaw w zakresie działań osłonowych w związku z rozprzestrzenianiem się wirusa SARS-CoV-2 (Dz. U. poz. 875), w dniu 20 maja 2020 r. Prezes UKE wszczął z urzędu postępowanie w sprawie unieważnienia aukcji na cztery rezerwacje częstotliwości z pasma 3,6 GHz ogłoszonej w dniu 6 marca 2020 r.</w:t>
      </w:r>
    </w:p>
    <w:p w14:paraId="6FE254BE" w14:textId="77777777" w:rsidR="00703B79" w:rsidRPr="00703B79" w:rsidRDefault="00703B79" w:rsidP="003348D4">
      <w:pPr>
        <w:pStyle w:val="NIEARTTEKSTtekstnieartykuowanynppodstprawnarozplubpreambua"/>
      </w:pPr>
      <w:r w:rsidRPr="00703B79">
        <w:lastRenderedPageBreak/>
        <w:t xml:space="preserve">Należy mieć na uwadze, że działania polegające na wydaniu ogólnopolskich decyzji rezerwacyjnych dla pasma 3,7 GHz poprzedzone zostaną krokami realizowanymi przez regulatora na podstawie obowiązujących przepisów prawa. Zgodnie z przepisami Pt regulator rynku jest obowiązany do przeprowadzenia postępowania konsultacyjnego w zakresie dokumentacji przetargowej lub aukcyjnej. Przetarg lub aukcję ogłasza się niezwłocznie po zakończeniu postępowania konsultacyjnego w tej sprawie. Po ogłoszeniu wyników przetargu lub aukcji Prezes UKE niezwłocznie wszczyna z urzędu postępowanie w sprawie rezerwacji częstotliwości. Prezes UKE dokonuje w drodze decyzji rezerwacji częstotliwości na rzecz podmiotu albo podmiotów wyłonionych w drodze przetargu lub aukcji, a decyzji tej nadaje się rygor natychmiastowej wykonalności. </w:t>
      </w:r>
      <w:r w:rsidR="00830ACB" w:rsidRPr="00703B79">
        <w:t>Niniejsz</w:t>
      </w:r>
      <w:r w:rsidR="00830ACB">
        <w:t>y</w:t>
      </w:r>
      <w:r w:rsidR="00830ACB" w:rsidRPr="00703B79">
        <w:t xml:space="preserve"> </w:t>
      </w:r>
      <w:r w:rsidR="00830ACB">
        <w:t xml:space="preserve">projekt </w:t>
      </w:r>
      <w:r w:rsidRPr="00703B79">
        <w:t>rozporządzeni</w:t>
      </w:r>
      <w:r w:rsidR="00830ACB">
        <w:t>a</w:t>
      </w:r>
      <w:r w:rsidRPr="00703B79">
        <w:t xml:space="preserve"> wskazuje nowy termin, do którego powinny zostać wydane decyzje rezerwacyjne, z uwzględnieniem niezbędnych czynności Prezesa UKE poprzedzających wydanie tych decyzji.</w:t>
      </w:r>
    </w:p>
    <w:p w14:paraId="58D9ECD1" w14:textId="77777777" w:rsidR="00703B79" w:rsidRDefault="00703B79" w:rsidP="003348D4">
      <w:pPr>
        <w:pStyle w:val="NIEARTTEKSTtekstnieartykuowanynppodstprawnarozplubpreambua"/>
      </w:pPr>
      <w:r w:rsidRPr="00703B79">
        <w:t>Należy podkreślić, że harmonogram</w:t>
      </w:r>
      <w:r w:rsidR="00830ACB">
        <w:t>,</w:t>
      </w:r>
      <w:r w:rsidRPr="00703B79">
        <w:t xml:space="preserve"> jako narzędzie zapewniające właściwą realizację polityki państwa w zakresie gospodarki częstotliwościami, w żaden sposób nie wkracza w obszar wyłącznych kompetencji regulacyjnych Prezesa UKE. Realizując znowelizowany harmonogram Prezes UKE będzie działał na podstawie przepisów ogólnych.</w:t>
      </w:r>
    </w:p>
    <w:p w14:paraId="3B5EE811" w14:textId="77777777" w:rsidR="00A879D5" w:rsidRPr="00A879D5" w:rsidRDefault="00AE4D48" w:rsidP="00AD5834">
      <w:pPr>
        <w:pStyle w:val="ARTartustawynprozporzdzenia"/>
      </w:pPr>
      <w:r>
        <w:t>Zmiany wynikające z projektowanego rozporządzenia wejdą w życie w ciągu 14 dni od dnia ich ogłoszenia.</w:t>
      </w:r>
    </w:p>
    <w:p w14:paraId="42F99B5C" w14:textId="77777777" w:rsidR="00703B79" w:rsidRPr="00703B79" w:rsidRDefault="00703B79" w:rsidP="003348D4">
      <w:pPr>
        <w:pStyle w:val="NIEARTTEKSTtekstnieartykuowanynppodstprawnarozplubpreambua"/>
      </w:pPr>
      <w:r w:rsidRPr="00703B79">
        <w:t>Projektowane rozporządzenie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7CC9E153" w14:textId="77777777" w:rsidR="00703B79" w:rsidRPr="00703B79" w:rsidRDefault="00703B79" w:rsidP="003348D4">
      <w:pPr>
        <w:pStyle w:val="NIEARTTEKSTtekstnieartykuowanynppodstprawnarozplubpreambua"/>
      </w:pPr>
      <w:r w:rsidRPr="00703B79">
        <w:t xml:space="preserve">Stosownie do postanowień art. 5 ustawy z dnia 7 lipca 2005 r. o działalności lobbingowej w procesie stanowienia prawa (Dz. U. z 2017 r. poz. 248), projekt zostanie udostępniony w Biuletynie Informacji Publicznej. Ponadto zgodnie z § 52 ust. 1 uchwały Nr 190 Rady Ministrów z dnia 29 października 2013 r. – Regulamin pracy Rady Ministrów (M.P. z 2016 r. poz. 1006, z </w:t>
      </w:r>
      <w:proofErr w:type="spellStart"/>
      <w:r w:rsidRPr="00703B79">
        <w:t>późn</w:t>
      </w:r>
      <w:proofErr w:type="spellEnd"/>
      <w:r w:rsidRPr="00703B79">
        <w:t>. zm.), zostanie udostępniony w Biuletynie Informacji Publicznej na stronie podmiotowej Rządowego Centrum Legislacji, w serwisie Rządowy Proces Legislacyjny.</w:t>
      </w:r>
    </w:p>
    <w:p w14:paraId="67D6233D" w14:textId="77777777" w:rsidR="00C15095" w:rsidRDefault="00703B79" w:rsidP="003348D4">
      <w:pPr>
        <w:pStyle w:val="NIEARTTEKSTtekstnieartykuowanynppodstprawnarozplubpreambua"/>
      </w:pPr>
      <w:r w:rsidRPr="00703B79">
        <w:t xml:space="preserve">Projekt nie jest objęty prawem Unii Europejskiej. </w:t>
      </w:r>
    </w:p>
    <w:p w14:paraId="1D12BF31" w14:textId="77777777" w:rsidR="00261A16" w:rsidRDefault="00703B79" w:rsidP="003348D4">
      <w:pPr>
        <w:pStyle w:val="NIEARTTEKSTtekstnieartykuowanynppodstprawnarozplubpreambua"/>
      </w:pPr>
      <w:r w:rsidRPr="00703B79">
        <w:lastRenderedPageBreak/>
        <w:t>Projekt rozporządzenia nie wymaga przedstawienia właściwym instytucjom i organom Unii Europejskiej lub Europejskiemu Bankowi Centralnemu celem uzyskania opinii, dokonania konsultacji albo uzgodnienia.</w:t>
      </w:r>
    </w:p>
    <w:p w14:paraId="733D8115" w14:textId="77777777" w:rsidR="00703B79" w:rsidRDefault="00703B79">
      <w:pPr>
        <w:widowControl/>
        <w:autoSpaceDE/>
        <w:autoSpaceDN/>
        <w:adjustRightInd/>
      </w:pPr>
      <w:r>
        <w:br w:type="page"/>
      </w:r>
    </w:p>
    <w:tbl>
      <w:tblPr>
        <w:tblpPr w:leftFromText="141" w:rightFromText="141" w:vertAnchor="text" w:horzAnchor="page" w:tblpX="985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78"/>
        <w:gridCol w:w="814"/>
        <w:gridCol w:w="388"/>
        <w:gridCol w:w="339"/>
        <w:gridCol w:w="120"/>
        <w:gridCol w:w="145"/>
        <w:gridCol w:w="314"/>
        <w:gridCol w:w="464"/>
        <w:gridCol w:w="8"/>
        <w:gridCol w:w="75"/>
        <w:gridCol w:w="115"/>
        <w:gridCol w:w="241"/>
        <w:gridCol w:w="292"/>
        <w:gridCol w:w="169"/>
        <w:gridCol w:w="477"/>
        <w:gridCol w:w="54"/>
        <w:gridCol w:w="49"/>
        <w:gridCol w:w="347"/>
        <w:gridCol w:w="81"/>
        <w:gridCol w:w="340"/>
        <w:gridCol w:w="29"/>
        <w:gridCol w:w="215"/>
        <w:gridCol w:w="248"/>
        <w:gridCol w:w="262"/>
        <w:gridCol w:w="202"/>
        <w:gridCol w:w="477"/>
        <w:gridCol w:w="88"/>
        <w:gridCol w:w="983"/>
      </w:tblGrid>
      <w:tr w:rsidR="00703B79" w:rsidRPr="000C1ABA" w14:paraId="52BA7D0A" w14:textId="77777777" w:rsidTr="00C15095">
        <w:trPr>
          <w:trHeight w:val="1611"/>
        </w:trPr>
        <w:tc>
          <w:tcPr>
            <w:tcW w:w="3166" w:type="pct"/>
            <w:gridSpan w:val="17"/>
          </w:tcPr>
          <w:p w14:paraId="198DEB02" w14:textId="77777777" w:rsidR="00703B79" w:rsidRPr="000C1ABA" w:rsidRDefault="00703B79" w:rsidP="00C15095">
            <w:pPr>
              <w:spacing w:before="120"/>
              <w:ind w:hanging="45"/>
              <w:rPr>
                <w:rFonts w:eastAsia="Times New Roman" w:cs="Times New Roman"/>
                <w:color w:val="000000"/>
              </w:rPr>
            </w:pPr>
            <w:bookmarkStart w:id="0" w:name="t1"/>
            <w:r w:rsidRPr="000C1ABA">
              <w:rPr>
                <w:rFonts w:eastAsia="Times New Roman" w:cs="Times New Roman"/>
                <w:b/>
                <w:color w:val="000000"/>
              </w:rPr>
              <w:lastRenderedPageBreak/>
              <w:t>Nazwa projektu</w:t>
            </w:r>
          </w:p>
          <w:p w14:paraId="747D6040" w14:textId="77777777" w:rsidR="00703B79" w:rsidRPr="000C1ABA" w:rsidRDefault="00703B79" w:rsidP="00C15095">
            <w:pPr>
              <w:ind w:right="-120"/>
              <w:rPr>
                <w:rFonts w:eastAsia="Times New Roman" w:cs="Times New Roman"/>
                <w:bCs/>
              </w:rPr>
            </w:pPr>
            <w:r w:rsidRPr="000C1ABA">
              <w:rPr>
                <w:rFonts w:eastAsia="Times New Roman" w:cs="Times New Roman"/>
                <w:bCs/>
              </w:rPr>
              <w:t xml:space="preserve">Projekt </w:t>
            </w:r>
            <w:r>
              <w:rPr>
                <w:rFonts w:eastAsia="Times New Roman" w:cs="Times New Roman"/>
                <w:bCs/>
              </w:rPr>
              <w:t xml:space="preserve">rozporządzenia </w:t>
            </w:r>
            <w:r w:rsidR="003B4161">
              <w:rPr>
                <w:rFonts w:eastAsia="Times New Roman" w:cs="Times New Roman"/>
                <w:bCs/>
              </w:rPr>
              <w:t xml:space="preserve"> Ministra Cyfryzacji </w:t>
            </w:r>
            <w:r>
              <w:rPr>
                <w:rFonts w:eastAsia="Times New Roman" w:cs="Times New Roman"/>
                <w:bCs/>
              </w:rPr>
              <w:t xml:space="preserve">zmieniającego rozporządzenie </w:t>
            </w:r>
            <w:r w:rsidRPr="00794BBA">
              <w:rPr>
                <w:rFonts w:eastAsia="Times New Roman" w:cs="Times New Roman"/>
                <w:bCs/>
              </w:rPr>
              <w:t>w sprawie harmonogramu rozdysponowania określonych zasobów częstotliwości użytkowanych jako cywilne w użytkowaniu cywilnym lub cywilno-rządowym</w:t>
            </w:r>
          </w:p>
          <w:p w14:paraId="08E25DC1" w14:textId="77777777" w:rsidR="00703B79" w:rsidRPr="000C1ABA" w:rsidRDefault="00703B79" w:rsidP="00C15095">
            <w:pPr>
              <w:spacing w:before="120"/>
              <w:ind w:hanging="45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F337B2B" w14:textId="77777777" w:rsidR="00703B79" w:rsidRPr="000C1ABA" w:rsidRDefault="00703B79" w:rsidP="00C15095">
            <w:pPr>
              <w:ind w:hanging="3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Kancelaria Prezesa Rady Ministrów</w:t>
            </w:r>
          </w:p>
          <w:p w14:paraId="25091A75" w14:textId="77777777" w:rsidR="00703B79" w:rsidRPr="000C1ABA" w:rsidRDefault="00703B79" w:rsidP="00C15095">
            <w:pPr>
              <w:rPr>
                <w:rFonts w:eastAsia="Times New Roman" w:cs="Times New Roman"/>
                <w:b/>
              </w:rPr>
            </w:pPr>
            <w:r w:rsidRPr="000C1ABA">
              <w:rPr>
                <w:rFonts w:eastAsia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6948BB77" w14:textId="77777777" w:rsidR="00703B79" w:rsidRPr="000C1ABA" w:rsidRDefault="00703B79" w:rsidP="00C15095">
            <w:pPr>
              <w:rPr>
                <w:rFonts w:eastAsia="Times New Roman" w:cs="Times New Roman"/>
              </w:rPr>
            </w:pPr>
            <w:r>
              <w:t xml:space="preserve">Marek Zagórski - Sekretarz Stanu w KPRM </w:t>
            </w:r>
          </w:p>
          <w:p w14:paraId="264CB094" w14:textId="77777777" w:rsidR="00703B79" w:rsidRPr="000C1ABA" w:rsidRDefault="00703B79" w:rsidP="00C15095">
            <w:pPr>
              <w:ind w:hanging="34"/>
              <w:rPr>
                <w:rFonts w:eastAsia="Calibri" w:cs="Times New Roman"/>
              </w:rPr>
            </w:pPr>
            <w:r w:rsidRPr="000C1ABA">
              <w:rPr>
                <w:rFonts w:eastAsia="Calibri" w:cs="Times New Roman"/>
                <w:b/>
              </w:rPr>
              <w:t>Kontakt do opiekuna merytorycznego projektu</w:t>
            </w:r>
          </w:p>
          <w:p w14:paraId="671EEA44" w14:textId="77777777" w:rsidR="00703B79" w:rsidRPr="00C94380" w:rsidRDefault="00703B79" w:rsidP="00C15095">
            <w:pPr>
              <w:ind w:hanging="4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Agnieszka Książkiewicz</w:t>
            </w:r>
            <w:r w:rsidRPr="000C1ABA">
              <w:rPr>
                <w:rFonts w:eastAsia="Times New Roman" w:cs="Times New Roman"/>
                <w:bCs/>
              </w:rPr>
              <w:t xml:space="preserve"> – Wydz</w:t>
            </w:r>
            <w:r>
              <w:rPr>
                <w:rFonts w:eastAsia="Times New Roman" w:cs="Times New Roman"/>
                <w:bCs/>
              </w:rPr>
              <w:t xml:space="preserve">iał Regulacyjny w Departamencie </w:t>
            </w:r>
            <w:r w:rsidRPr="000C1ABA">
              <w:rPr>
                <w:rFonts w:eastAsia="Times New Roman" w:cs="Times New Roman"/>
                <w:bCs/>
              </w:rPr>
              <w:t xml:space="preserve">Telekomunikacji </w:t>
            </w:r>
            <w:r>
              <w:rPr>
                <w:rFonts w:eastAsia="Times New Roman" w:cs="Times New Roman"/>
                <w:bCs/>
              </w:rPr>
              <w:t>KPRM</w:t>
            </w:r>
            <w:r w:rsidRPr="000C1ABA">
              <w:rPr>
                <w:rFonts w:eastAsia="Times New Roman" w:cs="Times New Roman"/>
                <w:bCs/>
              </w:rPr>
              <w:t>, tel. 22 245-57-8</w:t>
            </w:r>
            <w:r>
              <w:rPr>
                <w:rFonts w:eastAsia="Times New Roman" w:cs="Times New Roman"/>
                <w:bCs/>
              </w:rPr>
              <w:t xml:space="preserve">9, </w:t>
            </w:r>
            <w:hyperlink r:id="rId9" w:history="1">
              <w:r w:rsidRPr="00D14300">
                <w:rPr>
                  <w:rStyle w:val="Hipercze"/>
                  <w:rFonts w:eastAsia="Times New Roman" w:cs="Times New Roman"/>
                  <w:bCs/>
                </w:rPr>
                <w:t>Agnieszka.Ksiazkiewicz@mc.gov.pl</w:t>
              </w:r>
            </w:hyperlink>
            <w:r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1834" w:type="pct"/>
            <w:gridSpan w:val="12"/>
            <w:shd w:val="clear" w:color="auto" w:fill="FFFFFF"/>
          </w:tcPr>
          <w:p w14:paraId="280E1E01" w14:textId="77777777" w:rsidR="00973AF2" w:rsidRDefault="00703B79" w:rsidP="00C15095">
            <w:pPr>
              <w:rPr>
                <w:rFonts w:eastAsia="Times New Roman" w:cs="Times New Roman"/>
                <w:b/>
              </w:rPr>
            </w:pPr>
            <w:r w:rsidRPr="000C1ABA">
              <w:rPr>
                <w:rFonts w:eastAsia="Times New Roman" w:cs="Times New Roman"/>
                <w:b/>
              </w:rPr>
              <w:t xml:space="preserve">Data sporządzenia </w:t>
            </w:r>
          </w:p>
          <w:p w14:paraId="40A1C409" w14:textId="77777777" w:rsidR="00703B79" w:rsidRPr="000C1ABA" w:rsidRDefault="0076083F" w:rsidP="00C1509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13</w:t>
            </w:r>
            <w:r w:rsidR="00703B79">
              <w:rPr>
                <w:rFonts w:eastAsia="Times New Roman" w:cs="Times New Roman"/>
              </w:rPr>
              <w:t>.</w:t>
            </w:r>
            <w:r w:rsidR="00703B79">
              <w:t>11</w:t>
            </w:r>
            <w:r w:rsidR="00703B79" w:rsidRPr="000C1ABA">
              <w:rPr>
                <w:rFonts w:eastAsia="Times New Roman" w:cs="Times New Roman"/>
              </w:rPr>
              <w:t>.20</w:t>
            </w:r>
            <w:r w:rsidR="00703B79">
              <w:rPr>
                <w:rFonts w:eastAsia="Times New Roman" w:cs="Times New Roman"/>
              </w:rPr>
              <w:t>20</w:t>
            </w:r>
          </w:p>
          <w:p w14:paraId="18EA658A" w14:textId="77777777" w:rsidR="00703B79" w:rsidRPr="000C1ABA" w:rsidRDefault="00703B79" w:rsidP="00C15095">
            <w:pPr>
              <w:rPr>
                <w:rFonts w:eastAsia="Times New Roman" w:cs="Times New Roman"/>
                <w:b/>
              </w:rPr>
            </w:pPr>
          </w:p>
          <w:p w14:paraId="7346118F" w14:textId="77777777" w:rsidR="00703B79" w:rsidRPr="000C1ABA" w:rsidRDefault="00703B79" w:rsidP="00C15095">
            <w:pPr>
              <w:rPr>
                <w:rFonts w:eastAsia="Times New Roman" w:cs="Times New Roman"/>
                <w:b/>
              </w:rPr>
            </w:pPr>
            <w:r w:rsidRPr="000C1ABA">
              <w:rPr>
                <w:rFonts w:eastAsia="Times New Roman" w:cs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21C7E27" w14:textId="77777777" w:rsidR="00703B79" w:rsidRPr="00A47940" w:rsidRDefault="00703B79" w:rsidP="00C15095">
            <w:pPr>
              <w:rPr>
                <w:rFonts w:eastAsia="Times New Roman" w:cs="Times New Roman"/>
                <w:bCs/>
              </w:rPr>
            </w:pPr>
            <w:r w:rsidRPr="00A47940">
              <w:rPr>
                <w:rFonts w:eastAsia="Times New Roman" w:cs="Times New Roman"/>
                <w:bCs/>
              </w:rPr>
              <w:t>Art. 111 ust. 4 ustawy z dnia 16 lipca 2004 r. – Prawo telekomunikacyjne</w:t>
            </w:r>
            <w:r w:rsidR="003B4161">
              <w:rPr>
                <w:rFonts w:eastAsia="Times New Roman" w:cs="Times New Roman"/>
                <w:bCs/>
              </w:rPr>
              <w:t xml:space="preserve"> </w:t>
            </w:r>
            <w:r w:rsidR="003B4161" w:rsidRPr="00ED3701">
              <w:t>(Dz. U. z 2019 r. poz. 2460</w:t>
            </w:r>
            <w:r w:rsidR="003B4161">
              <w:t xml:space="preserve"> </w:t>
            </w:r>
            <w:r w:rsidR="003B4161" w:rsidRPr="00ED3701">
              <w:t>oraz z 2020 r. poz. 374, 695 i 875)</w:t>
            </w:r>
          </w:p>
          <w:p w14:paraId="7A208AE3" w14:textId="77777777" w:rsidR="00703B79" w:rsidRPr="000C1ABA" w:rsidRDefault="00703B79" w:rsidP="00C15095">
            <w:pPr>
              <w:spacing w:before="12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Nr w wykazie prac </w:t>
            </w:r>
            <w:r w:rsidRPr="000C1ABA">
              <w:rPr>
                <w:rFonts w:eastAsia="Times New Roman" w:cs="Times New Roman"/>
                <w:b/>
                <w:color w:val="000000"/>
              </w:rPr>
              <w:t>Ministr</w:t>
            </w:r>
            <w:r>
              <w:rPr>
                <w:rFonts w:eastAsia="Times New Roman" w:cs="Times New Roman"/>
                <w:b/>
                <w:color w:val="000000"/>
              </w:rPr>
              <w:t>a Cyfryzacji:</w:t>
            </w:r>
          </w:p>
          <w:p w14:paraId="4D7D15CF" w14:textId="77777777" w:rsidR="00703B79" w:rsidRPr="004814D6" w:rsidRDefault="004814D6" w:rsidP="004814D6">
            <w:r w:rsidRPr="004814D6">
              <w:t>166</w:t>
            </w:r>
          </w:p>
        </w:tc>
      </w:tr>
      <w:tr w:rsidR="00703B79" w:rsidRPr="000C1ABA" w14:paraId="793FEB18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575BD67A" w14:textId="77777777" w:rsidR="00703B79" w:rsidRPr="000C1ABA" w:rsidRDefault="00703B79" w:rsidP="00C15095">
            <w:pPr>
              <w:ind w:left="57"/>
              <w:jc w:val="center"/>
              <w:rPr>
                <w:rFonts w:eastAsia="Times New Roman" w:cs="Times New Roman"/>
                <w:b/>
                <w:color w:val="FFFFFF"/>
              </w:rPr>
            </w:pPr>
            <w:r w:rsidRPr="000C1ABA">
              <w:rPr>
                <w:rFonts w:eastAsia="Times New Roman" w:cs="Times New Roman"/>
                <w:b/>
                <w:color w:val="FFFFFF"/>
              </w:rPr>
              <w:t>OCENA SKUTKÓW REGULACJI</w:t>
            </w:r>
          </w:p>
        </w:tc>
      </w:tr>
      <w:tr w:rsidR="00703B79" w:rsidRPr="000C1ABA" w14:paraId="2139361B" w14:textId="77777777" w:rsidTr="00C15095">
        <w:trPr>
          <w:trHeight w:val="235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242B03B0" w14:textId="77777777"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03B79" w:rsidRPr="000C1ABA" w14:paraId="3C53D2CD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2ADD6202" w14:textId="77777777" w:rsidR="00703B79" w:rsidRPr="00D71FC7" w:rsidRDefault="00703B79" w:rsidP="00C15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Projektowane regulacje mają na celu zagwarantowanie</w:t>
            </w:r>
            <w:r w:rsidRPr="00D71FC7">
              <w:rPr>
                <w:rFonts w:eastAsia="Times New Roman"/>
              </w:rPr>
              <w:t xml:space="preserve"> realizacji polityki rządu w obszarze gospodarowania widmem, w tym w szczególności krajowych i unij</w:t>
            </w:r>
            <w:r>
              <w:rPr>
                <w:rFonts w:eastAsia="Times New Roman"/>
              </w:rPr>
              <w:t xml:space="preserve">nych dokumentów strategicznych. </w:t>
            </w:r>
          </w:p>
          <w:p w14:paraId="0A05A30C" w14:textId="77777777" w:rsidR="00703B79" w:rsidRDefault="00703B79" w:rsidP="00C15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Obowiązujące brzmienie rozporządzenia Ministra Cyfryzacji </w:t>
            </w:r>
            <w:r w:rsidRPr="00BD4130">
              <w:rPr>
                <w:rFonts w:eastAsia="Times New Roman"/>
                <w:bCs/>
              </w:rPr>
              <w:t>w sprawie harmonogramu rozdysponowania określonych zasobów częstotliwości użytkowanych jako cywilne w użytkowaniu cywilnym lub cywilno-rządowym</w:t>
            </w:r>
            <w:r>
              <w:rPr>
                <w:rFonts w:eastAsia="Times New Roman"/>
                <w:bCs/>
              </w:rPr>
              <w:t xml:space="preserve"> wskazywało czerwiec 2020 r. jako termin wykonania </w:t>
            </w:r>
            <w:r>
              <w:rPr>
                <w:rFonts w:eastAsia="Times New Roman"/>
              </w:rPr>
              <w:t xml:space="preserve">działań zmierzających do rozdysponowania częstotliwości. Jednakże termin ten nie został dochowany i stąd zaistniała potrzeba nowelizacji rozporządzenia poprzez wskazanie nowego terminu dla Prezesa Urzędu Komunikacji Elektronicznej dla dokonania </w:t>
            </w:r>
            <w:r w:rsidRPr="00BD4130">
              <w:rPr>
                <w:rFonts w:eastAsia="Times New Roman"/>
              </w:rPr>
              <w:t>rozdysponowania zasobów</w:t>
            </w:r>
            <w:r>
              <w:rPr>
                <w:rFonts w:eastAsia="Times New Roman"/>
              </w:rPr>
              <w:t xml:space="preserve"> pasma 3,7 GHz. </w:t>
            </w:r>
          </w:p>
          <w:p w14:paraId="154CBF4E" w14:textId="77777777" w:rsidR="00703B79" w:rsidRPr="00BD4130" w:rsidRDefault="00703B79" w:rsidP="00C150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W celu zagwarantowania transparentności działań rządu oraz regulatora w zakresie polityki dotyczącej planów gospodarowania widmem działania w zakresie rozdysponowywania częstotliwości określane są w drodze fakultatywnego rozporządzenia ministra właściwego do spraw informatyzacji.  </w:t>
            </w:r>
          </w:p>
        </w:tc>
      </w:tr>
      <w:tr w:rsidR="00703B79" w:rsidRPr="000C1ABA" w14:paraId="5E9564B1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76CAD68A" w14:textId="77777777"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703B79" w:rsidRPr="000C1ABA" w14:paraId="7C40C96B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2444BE2F" w14:textId="77777777" w:rsidR="00703B79" w:rsidRPr="000C1ABA" w:rsidRDefault="00703B79" w:rsidP="00C15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rozporządzenia zmienia</w:t>
            </w:r>
            <w:r w:rsidRPr="00D71FC7">
              <w:rPr>
                <w:rFonts w:eastAsia="Times New Roman"/>
              </w:rPr>
              <w:t xml:space="preserve"> harmonogram rozdysponowania określonych zasobów częstotliwości użytkowanych jako cywilne w użytkowaniu cywilnym lub </w:t>
            </w:r>
            <w:proofErr w:type="spellStart"/>
            <w:r w:rsidRPr="00D71FC7">
              <w:rPr>
                <w:rFonts w:eastAsia="Times New Roman"/>
              </w:rPr>
              <w:t>cywilno</w:t>
            </w:r>
            <w:proofErr w:type="spellEnd"/>
            <w:r w:rsidRPr="00D71FC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D71FC7">
              <w:rPr>
                <w:rFonts w:eastAsia="Times New Roman"/>
              </w:rPr>
              <w:t xml:space="preserve"> rządowym</w:t>
            </w:r>
            <w:r>
              <w:rPr>
                <w:rFonts w:eastAsia="Times New Roman"/>
              </w:rPr>
              <w:t xml:space="preserve">. Przy czym projekt </w:t>
            </w:r>
            <w:r w:rsidRPr="00D71FC7">
              <w:rPr>
                <w:rFonts w:eastAsia="Times New Roman"/>
              </w:rPr>
              <w:t>uwzględni</w:t>
            </w:r>
            <w:r>
              <w:rPr>
                <w:rFonts w:eastAsia="Times New Roman"/>
              </w:rPr>
              <w:t>a</w:t>
            </w:r>
            <w:r w:rsidRPr="00D71FC7">
              <w:rPr>
                <w:rFonts w:eastAsia="Times New Roman"/>
              </w:rPr>
              <w:t xml:space="preserve"> zarówno przeznacze</w:t>
            </w:r>
            <w:r>
              <w:rPr>
                <w:rFonts w:eastAsia="Times New Roman"/>
              </w:rPr>
              <w:t>nia</w:t>
            </w:r>
            <w:r w:rsidRPr="00D71FC7">
              <w:rPr>
                <w:rFonts w:eastAsia="Times New Roman"/>
              </w:rPr>
              <w:t xml:space="preserve"> częstotliwości określon</w:t>
            </w:r>
            <w:r>
              <w:rPr>
                <w:rFonts w:eastAsia="Times New Roman"/>
              </w:rPr>
              <w:t>e</w:t>
            </w:r>
            <w:r w:rsidRPr="00D71FC7">
              <w:rPr>
                <w:rFonts w:eastAsia="Times New Roman"/>
              </w:rPr>
              <w:t xml:space="preserve"> w Krajowej Tablicy Przeznaczeń Częstotliwości</w:t>
            </w:r>
            <w:r>
              <w:rPr>
                <w:rFonts w:eastAsia="Times New Roman"/>
              </w:rPr>
              <w:t>,</w:t>
            </w:r>
            <w:r w:rsidRPr="00D71FC7">
              <w:rPr>
                <w:rFonts w:eastAsia="Times New Roman"/>
              </w:rPr>
              <w:t xml:space="preserve"> jak i wymaga</w:t>
            </w:r>
            <w:r>
              <w:rPr>
                <w:rFonts w:eastAsia="Times New Roman"/>
              </w:rPr>
              <w:t>nia</w:t>
            </w:r>
            <w:r w:rsidRPr="00D71FC7">
              <w:rPr>
                <w:rFonts w:eastAsia="Times New Roman"/>
              </w:rPr>
              <w:t xml:space="preserve"> stosowan</w:t>
            </w:r>
            <w:r>
              <w:rPr>
                <w:rFonts w:eastAsia="Times New Roman"/>
              </w:rPr>
              <w:t>e</w:t>
            </w:r>
            <w:r w:rsidRPr="00D71FC7">
              <w:rPr>
                <w:rFonts w:eastAsia="Times New Roman"/>
              </w:rPr>
              <w:t xml:space="preserve"> przy określaniu Krajowej Tablicy Przeznaczeń Częstotliwości.</w:t>
            </w:r>
            <w:r>
              <w:rPr>
                <w:rFonts w:eastAsia="Times New Roman"/>
              </w:rPr>
              <w:t xml:space="preserve"> Efektem projektowanych regulacji będzie przewidywalność działań państwa w zakresie regulowanym harmonogramem, tj. w zakresie terminu do </w:t>
            </w:r>
            <w:r w:rsidRPr="00F83955">
              <w:rPr>
                <w:rFonts w:eastAsia="Times New Roman"/>
              </w:rPr>
              <w:t>rozdysponowania częstotliwości</w:t>
            </w:r>
            <w:r>
              <w:rPr>
                <w:rFonts w:eastAsia="Times New Roman"/>
              </w:rPr>
              <w:t>. Zmiana harmonogramu niewątpliwie wpłynie na tworzone przez przedsiębiorców plany biznesowe, a także będzie miała wpływ na określenie</w:t>
            </w:r>
            <w:r w:rsidRPr="007A0DC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przez nich </w:t>
            </w:r>
            <w:proofErr w:type="spellStart"/>
            <w:r w:rsidRPr="007A0DCE">
              <w:rPr>
                <w:rFonts w:eastAsia="Times New Roman"/>
              </w:rPr>
              <w:t>ryzyk</w:t>
            </w:r>
            <w:proofErr w:type="spellEnd"/>
            <w:r w:rsidRPr="007A0DCE">
              <w:rPr>
                <w:rFonts w:eastAsia="Times New Roman"/>
              </w:rPr>
              <w:t xml:space="preserve"> związ</w:t>
            </w:r>
            <w:r>
              <w:rPr>
                <w:rFonts w:eastAsia="Times New Roman"/>
              </w:rPr>
              <w:t>anych z prowadzoną lub planowaną</w:t>
            </w:r>
            <w:r w:rsidRPr="007A0DCE">
              <w:rPr>
                <w:rFonts w:eastAsia="Times New Roman"/>
              </w:rPr>
              <w:t xml:space="preserve"> działalnością</w:t>
            </w:r>
            <w:r>
              <w:rPr>
                <w:rFonts w:eastAsia="Times New Roman"/>
              </w:rPr>
              <w:t>.</w:t>
            </w:r>
            <w:r w:rsidRPr="007A0DC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</w:t>
            </w:r>
          </w:p>
        </w:tc>
      </w:tr>
      <w:tr w:rsidR="00703B79" w:rsidRPr="000C1ABA" w14:paraId="1BDEDB8D" w14:textId="77777777" w:rsidTr="00C15095">
        <w:trPr>
          <w:trHeight w:val="307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5C7BFE7D" w14:textId="77777777"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C1ABA">
              <w:rPr>
                <w:rFonts w:eastAsia="Times New Roman" w:cs="Times New Roman"/>
                <w:b/>
                <w:color w:val="000000"/>
              </w:rPr>
              <w:t>?</w:t>
            </w:r>
            <w:r w:rsidRPr="000C1ABA">
              <w:rPr>
                <w:rFonts w:eastAsia="Times New Roman" w:cs="Times New Roman"/>
                <w:i/>
                <w:color w:val="000000"/>
              </w:rPr>
              <w:t xml:space="preserve"> </w:t>
            </w:r>
          </w:p>
        </w:tc>
      </w:tr>
      <w:tr w:rsidR="00703B79" w:rsidRPr="000C1ABA" w14:paraId="4D8699B0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4F997767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 xml:space="preserve">Projektowana regulacja nie wynika z regulacji unijnych. Brak jest informacji o rozwiązaniach prawnych przyjętych w innych krajach w przedmiotowym zakresie. </w:t>
            </w:r>
          </w:p>
        </w:tc>
      </w:tr>
      <w:tr w:rsidR="00703B79" w:rsidRPr="000C1ABA" w14:paraId="2DFF6B6D" w14:textId="77777777" w:rsidTr="00C15095">
        <w:trPr>
          <w:trHeight w:val="359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3FC2C4A9" w14:textId="77777777"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703B79" w:rsidRPr="000C1ABA" w14:paraId="474C94E7" w14:textId="77777777" w:rsidTr="00C15095">
        <w:trPr>
          <w:trHeight w:val="142"/>
        </w:trPr>
        <w:tc>
          <w:tcPr>
            <w:tcW w:w="1375" w:type="pct"/>
            <w:gridSpan w:val="3"/>
            <w:shd w:val="clear" w:color="auto" w:fill="auto"/>
          </w:tcPr>
          <w:p w14:paraId="3AC8FAE2" w14:textId="77777777" w:rsidR="00703B79" w:rsidRPr="000C1ABA" w:rsidRDefault="00703B79" w:rsidP="00C15095">
            <w:pPr>
              <w:spacing w:before="40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1037" w:type="pct"/>
            <w:gridSpan w:val="8"/>
            <w:shd w:val="clear" w:color="auto" w:fill="auto"/>
          </w:tcPr>
          <w:p w14:paraId="4B4D721D" w14:textId="77777777" w:rsidR="00703B79" w:rsidRPr="000C1ABA" w:rsidRDefault="00703B79" w:rsidP="00C15095">
            <w:pPr>
              <w:spacing w:before="40"/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347" w:type="pct"/>
            <w:gridSpan w:val="12"/>
            <w:shd w:val="clear" w:color="auto" w:fill="auto"/>
          </w:tcPr>
          <w:p w14:paraId="751F9D58" w14:textId="77777777" w:rsidR="00703B79" w:rsidRPr="000C1ABA" w:rsidRDefault="00703B79" w:rsidP="00C15095">
            <w:pPr>
              <w:spacing w:before="40"/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Źródło danych</w:t>
            </w:r>
            <w:r w:rsidRPr="000C1ABA" w:rsidDel="00260F33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241" w:type="pct"/>
            <w:gridSpan w:val="6"/>
            <w:shd w:val="clear" w:color="auto" w:fill="auto"/>
          </w:tcPr>
          <w:p w14:paraId="58E43EDD" w14:textId="77777777" w:rsidR="00703B79" w:rsidRPr="000C1ABA" w:rsidRDefault="00703B79" w:rsidP="00C15095">
            <w:pPr>
              <w:spacing w:before="40"/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Oddziaływanie</w:t>
            </w:r>
          </w:p>
        </w:tc>
      </w:tr>
      <w:tr w:rsidR="00703B79" w:rsidRPr="000C1ABA" w14:paraId="5EFBAC30" w14:textId="77777777" w:rsidTr="00C15095">
        <w:trPr>
          <w:trHeight w:val="142"/>
        </w:trPr>
        <w:tc>
          <w:tcPr>
            <w:tcW w:w="1375" w:type="pct"/>
            <w:gridSpan w:val="3"/>
            <w:shd w:val="clear" w:color="auto" w:fill="auto"/>
          </w:tcPr>
          <w:p w14:paraId="5FF93BFB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</w:rPr>
              <w:t>Prezes Urzędu Komunikacji Elektronicznej</w:t>
            </w:r>
          </w:p>
        </w:tc>
        <w:tc>
          <w:tcPr>
            <w:tcW w:w="1037" w:type="pct"/>
            <w:gridSpan w:val="8"/>
            <w:shd w:val="clear" w:color="auto" w:fill="auto"/>
          </w:tcPr>
          <w:p w14:paraId="777EF2C2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347" w:type="pct"/>
            <w:gridSpan w:val="12"/>
            <w:shd w:val="clear" w:color="auto" w:fill="auto"/>
          </w:tcPr>
          <w:p w14:paraId="5C33EFDD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ustawa - Prawo telekomunikacyjne</w:t>
            </w:r>
          </w:p>
        </w:tc>
        <w:tc>
          <w:tcPr>
            <w:tcW w:w="1241" w:type="pct"/>
            <w:gridSpan w:val="6"/>
            <w:shd w:val="clear" w:color="auto" w:fill="auto"/>
          </w:tcPr>
          <w:p w14:paraId="4F85E6FF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>Prezes UKE jako organ regulacyjny w dziedzinie telekomunikacji prowadzi postę</w:t>
            </w:r>
            <w:r w:rsidRPr="000C1ABA">
              <w:rPr>
                <w:rFonts w:eastAsia="Times New Roman" w:cs="Times New Roman"/>
                <w:color w:val="000000"/>
                <w:spacing w:val="-2"/>
              </w:rPr>
              <w:t>powani</w:t>
            </w:r>
            <w:r>
              <w:rPr>
                <w:rFonts w:eastAsia="Times New Roman" w:cs="Times New Roman"/>
                <w:color w:val="000000"/>
                <w:spacing w:val="-2"/>
              </w:rPr>
              <w:t>a</w:t>
            </w:r>
            <w:r w:rsidRPr="000C1ABA">
              <w:rPr>
                <w:rFonts w:eastAsia="Times New Roman" w:cs="Times New Roman"/>
                <w:color w:val="000000"/>
                <w:spacing w:val="-2"/>
              </w:rPr>
              <w:t xml:space="preserve"> selekcyjne, wydaje decyzje </w:t>
            </w:r>
            <w:r w:rsidRPr="000C1ABA">
              <w:rPr>
                <w:rFonts w:eastAsia="Times New Roman"/>
              </w:rPr>
              <w:t xml:space="preserve"> w sprawie rezerwacji częstotliwości. </w:t>
            </w:r>
          </w:p>
        </w:tc>
      </w:tr>
      <w:tr w:rsidR="00703B79" w:rsidRPr="000C1ABA" w14:paraId="06B517FB" w14:textId="77777777" w:rsidTr="00C15095">
        <w:trPr>
          <w:trHeight w:val="1691"/>
        </w:trPr>
        <w:tc>
          <w:tcPr>
            <w:tcW w:w="1375" w:type="pct"/>
            <w:gridSpan w:val="3"/>
            <w:shd w:val="clear" w:color="auto" w:fill="auto"/>
          </w:tcPr>
          <w:p w14:paraId="78098853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</w:rPr>
              <w:t>Przedsiębiorcy telekomunikacyjni</w:t>
            </w:r>
          </w:p>
        </w:tc>
        <w:tc>
          <w:tcPr>
            <w:tcW w:w="1037" w:type="pct"/>
            <w:gridSpan w:val="8"/>
            <w:shd w:val="clear" w:color="auto" w:fill="auto"/>
          </w:tcPr>
          <w:p w14:paraId="20BFBEA8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 xml:space="preserve">operatorzy mobilni oraz inne podmioty posiadające rezerwacje </w:t>
            </w:r>
            <w:r>
              <w:rPr>
                <w:rFonts w:eastAsia="Times New Roman" w:cs="Times New Roman"/>
                <w:color w:val="000000"/>
                <w:spacing w:val="-2"/>
              </w:rPr>
              <w:lastRenderedPageBreak/>
              <w:t>ogólnopolskie i regionalne  w paśmie 3,7 GHz</w:t>
            </w:r>
            <w:r w:rsidDel="00833668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347" w:type="pct"/>
            <w:gridSpan w:val="12"/>
            <w:shd w:val="clear" w:color="auto" w:fill="auto"/>
          </w:tcPr>
          <w:p w14:paraId="7701F916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</w:p>
        </w:tc>
        <w:tc>
          <w:tcPr>
            <w:tcW w:w="1241" w:type="pct"/>
            <w:gridSpan w:val="6"/>
            <w:shd w:val="clear" w:color="auto" w:fill="auto"/>
          </w:tcPr>
          <w:p w14:paraId="21BDBAD4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 w:rsidRPr="00491105">
              <w:rPr>
                <w:rFonts w:eastAsia="Times New Roman" w:cs="Times New Roman"/>
                <w:color w:val="000000"/>
                <w:spacing w:val="-2"/>
              </w:rPr>
              <w:t xml:space="preserve">Harmonogram dotyczy pasma 3,7 GHz, którym mogą być zainteresowani przedsiębiorcy </w:t>
            </w:r>
            <w:r w:rsidRPr="00491105">
              <w:rPr>
                <w:rFonts w:eastAsia="Times New Roman" w:cs="Times New Roman"/>
                <w:color w:val="000000"/>
                <w:spacing w:val="-2"/>
              </w:rPr>
              <w:lastRenderedPageBreak/>
              <w:t>telekomunikacyjni  posiadający rezerwacje w tym paśmie lub chcący uzyskać rezerwacje ogólnopolskie w tym paśmie.</w:t>
            </w:r>
          </w:p>
        </w:tc>
      </w:tr>
      <w:tr w:rsidR="00703B79" w:rsidRPr="000C1ABA" w14:paraId="163D4420" w14:textId="77777777" w:rsidTr="00C15095">
        <w:trPr>
          <w:trHeight w:val="30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6C65BE2A" w14:textId="77777777"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703B79" w:rsidRPr="000C1ABA" w14:paraId="64A19E5F" w14:textId="77777777" w:rsidTr="00C15095">
        <w:trPr>
          <w:trHeight w:val="342"/>
        </w:trPr>
        <w:tc>
          <w:tcPr>
            <w:tcW w:w="5000" w:type="pct"/>
            <w:gridSpan w:val="29"/>
            <w:shd w:val="clear" w:color="auto" w:fill="FFFFFF"/>
          </w:tcPr>
          <w:p w14:paraId="476B44A2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Projekt zosta</w:t>
            </w:r>
            <w:r>
              <w:rPr>
                <w:rFonts w:eastAsia="Times New Roman" w:cs="Times New Roman"/>
                <w:color w:val="000000"/>
              </w:rPr>
              <w:t>nie</w:t>
            </w:r>
            <w:r w:rsidRPr="000C1ABA">
              <w:rPr>
                <w:rFonts w:eastAsia="Times New Roman" w:cs="Times New Roman"/>
                <w:color w:val="000000"/>
              </w:rPr>
              <w:t xml:space="preserve"> poddany konsultacjom publicznym oraz opiniowaniu.</w:t>
            </w:r>
          </w:p>
          <w:p w14:paraId="7934DFDA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 xml:space="preserve">W ramach konsultacji i opiniowania projekt zostanie przesłany do: </w:t>
            </w:r>
          </w:p>
          <w:p w14:paraId="7C7CA8B3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Polskiej Izby Informatyki i Telekomunikacji, </w:t>
            </w:r>
          </w:p>
          <w:p w14:paraId="5560DAA1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Krajowej Izby Gospodarczej Elektroniki i Telekomunikacji, </w:t>
            </w:r>
          </w:p>
          <w:p w14:paraId="7FB03936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Polskiej Izby Komunikacji Elektronicznej, </w:t>
            </w:r>
          </w:p>
          <w:p w14:paraId="268FCDF2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Krajowej Izby Gospodarczej, </w:t>
            </w:r>
          </w:p>
          <w:p w14:paraId="75DC842B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Krajowej Izby Komunikacji </w:t>
            </w:r>
            <w:proofErr w:type="spellStart"/>
            <w:r w:rsidRPr="00C15095">
              <w:rPr>
                <w:rFonts w:eastAsia="Times New Roman" w:cs="Times New Roman"/>
                <w:color w:val="000000"/>
              </w:rPr>
              <w:t>Ethernetowej</w:t>
            </w:r>
            <w:proofErr w:type="spellEnd"/>
            <w:r w:rsidRPr="00C15095">
              <w:rPr>
                <w:rFonts w:eastAsia="Times New Roman" w:cs="Times New Roman"/>
                <w:color w:val="000000"/>
              </w:rPr>
              <w:t xml:space="preserve">, </w:t>
            </w:r>
          </w:p>
          <w:p w14:paraId="27C75BDC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>Polskiej Izby Radiodyfuzji Cyfrowej,</w:t>
            </w:r>
          </w:p>
          <w:p w14:paraId="261BD2AD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>Polskiej Izby Handlu,</w:t>
            </w:r>
          </w:p>
          <w:p w14:paraId="146E02D4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Bezpieczna Cyberprzestrzeń, </w:t>
            </w:r>
          </w:p>
          <w:p w14:paraId="5B6F3989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Polskiego Towarzystwa Informatycznego, </w:t>
            </w:r>
          </w:p>
          <w:p w14:paraId="54FF114A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Nowoczesna Polska, </w:t>
            </w:r>
          </w:p>
          <w:p w14:paraId="58471986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Projekt Polska, </w:t>
            </w:r>
          </w:p>
          <w:p w14:paraId="3AAB1B1F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Internet </w:t>
            </w:r>
            <w:proofErr w:type="spellStart"/>
            <w:r w:rsidRPr="00C15095">
              <w:rPr>
                <w:rFonts w:eastAsia="Times New Roman" w:cs="Times New Roman"/>
                <w:color w:val="000000"/>
              </w:rPr>
              <w:t>Society</w:t>
            </w:r>
            <w:proofErr w:type="spellEnd"/>
            <w:r w:rsidRPr="00C15095">
              <w:rPr>
                <w:rFonts w:eastAsia="Times New Roman" w:cs="Times New Roman"/>
                <w:color w:val="000000"/>
              </w:rPr>
              <w:t xml:space="preserve"> Poland, </w:t>
            </w:r>
          </w:p>
          <w:p w14:paraId="513C4E40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Stowarzyszenia Inżynierów Telekomunikacji, </w:t>
            </w:r>
          </w:p>
          <w:p w14:paraId="1192CCDD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Panoptykon, </w:t>
            </w:r>
          </w:p>
          <w:p w14:paraId="47C9E512" w14:textId="77777777"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</w:t>
            </w:r>
            <w:proofErr w:type="spellStart"/>
            <w:r w:rsidRPr="00C15095">
              <w:rPr>
                <w:rFonts w:eastAsia="Times New Roman" w:cs="Times New Roman"/>
                <w:color w:val="000000"/>
              </w:rPr>
              <w:t>ePaństwo</w:t>
            </w:r>
            <w:proofErr w:type="spellEnd"/>
            <w:r w:rsidRPr="00C15095">
              <w:rPr>
                <w:rFonts w:eastAsia="Times New Roman" w:cs="Times New Roman"/>
                <w:color w:val="000000"/>
              </w:rPr>
              <w:t>.</w:t>
            </w:r>
          </w:p>
          <w:p w14:paraId="2765B284" w14:textId="77777777" w:rsidR="00703B79" w:rsidRPr="00C15095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b/>
                <w:color w:val="000000"/>
              </w:rPr>
              <w:t>Ponadto projekt ustawy zostanie przekazany do zaopiniowania przez</w:t>
            </w:r>
            <w:r w:rsidRPr="00C15095">
              <w:rPr>
                <w:rFonts w:eastAsia="Times New Roman" w:cs="Times New Roman"/>
                <w:color w:val="000000"/>
              </w:rPr>
              <w:t>:</w:t>
            </w:r>
          </w:p>
          <w:p w14:paraId="037E36AB" w14:textId="77777777" w:rsidR="00703B79" w:rsidRPr="00C15095" w:rsidRDefault="00703B79" w:rsidP="00C15095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C150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Prezesa Urzędu Komunikacji Elektronicznej,</w:t>
            </w:r>
          </w:p>
          <w:p w14:paraId="1C03E0E4" w14:textId="77777777" w:rsidR="00703B79" w:rsidRPr="00C15095" w:rsidRDefault="00703B79" w:rsidP="00C15095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C150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Krajową Radę Radiofonii i Telewizji,</w:t>
            </w:r>
          </w:p>
          <w:p w14:paraId="5BD74918" w14:textId="77777777" w:rsidR="00703B79" w:rsidRPr="00C15095" w:rsidRDefault="00703B79" w:rsidP="00C15095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C150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Prezesa Urzędu Ochrony Konkurencji i Konsumentów.</w:t>
            </w:r>
          </w:p>
          <w:p w14:paraId="6D1BF562" w14:textId="77777777" w:rsidR="00703B79" w:rsidRPr="00CC227C" w:rsidRDefault="00703B79" w:rsidP="00C15095">
            <w:r w:rsidRPr="00C15095">
              <w:rPr>
                <w:rFonts w:eastAsia="Times New Roman" w:cs="Times New Roman"/>
                <w:color w:val="000000"/>
              </w:rPr>
              <w:t>Zgodnie z art. 5 ustawy z dnia 7 lipca 2005 r. o działalności lobbingowej w procesie stanowienia prawa (Dz. U. z 2017 r. poz. 248) projektowana ustawa zostanie udostępniona na stronie podmiotowej Biuletynu Informacji Publicznej MC oraz w Biuletynie Informacji Publicznej na stronie podmiotowej Rządowego Centrum Legislacji, w serwisie Rządowy Proces Legislacyjny.</w:t>
            </w:r>
          </w:p>
        </w:tc>
      </w:tr>
      <w:tr w:rsidR="00703B79" w:rsidRPr="000C1ABA" w14:paraId="305B9363" w14:textId="77777777" w:rsidTr="00C15095">
        <w:trPr>
          <w:trHeight w:val="363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27458066" w14:textId="77777777"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703B79" w:rsidRPr="000C1ABA" w14:paraId="3344781A" w14:textId="77777777" w:rsidTr="00C15095">
        <w:trPr>
          <w:trHeight w:val="142"/>
        </w:trPr>
        <w:tc>
          <w:tcPr>
            <w:tcW w:w="1591" w:type="pct"/>
            <w:gridSpan w:val="4"/>
            <w:vMerge w:val="restart"/>
            <w:shd w:val="clear" w:color="auto" w:fill="FFFFFF"/>
          </w:tcPr>
          <w:p w14:paraId="4431F7A2" w14:textId="77777777" w:rsidR="00703B79" w:rsidRPr="000C1ABA" w:rsidRDefault="00703B79" w:rsidP="00C15095">
            <w:pPr>
              <w:spacing w:before="40" w:after="40"/>
              <w:rPr>
                <w:rFonts w:eastAsia="Times New Roman" w:cs="Times New Roman"/>
                <w:i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(ceny stałe z 20</w:t>
            </w:r>
            <w:r>
              <w:rPr>
                <w:rFonts w:eastAsia="Times New Roman" w:cs="Times New Roman"/>
                <w:color w:val="000000"/>
              </w:rPr>
              <w:t>20</w:t>
            </w:r>
            <w:r w:rsidRPr="000C1ABA">
              <w:rPr>
                <w:rFonts w:eastAsia="Times New Roman" w:cs="Times New Roman"/>
                <w:color w:val="000000"/>
              </w:rPr>
              <w:t xml:space="preserve"> r.)</w:t>
            </w:r>
          </w:p>
        </w:tc>
        <w:tc>
          <w:tcPr>
            <w:tcW w:w="3409" w:type="pct"/>
            <w:gridSpan w:val="25"/>
            <w:shd w:val="clear" w:color="auto" w:fill="FFFFFF"/>
          </w:tcPr>
          <w:p w14:paraId="4BF5E44F" w14:textId="77777777" w:rsidR="00703B79" w:rsidRPr="000C1ABA" w:rsidRDefault="00703B79" w:rsidP="00C15095">
            <w:pPr>
              <w:spacing w:before="40" w:after="40"/>
              <w:jc w:val="center"/>
              <w:rPr>
                <w:rFonts w:eastAsia="Times New Roman" w:cs="Times New Roman"/>
                <w:i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973AF2" w:rsidRPr="000C1ABA" w14:paraId="16E7DB4C" w14:textId="77777777" w:rsidTr="00C15095">
        <w:trPr>
          <w:trHeight w:val="142"/>
        </w:trPr>
        <w:tc>
          <w:tcPr>
            <w:tcW w:w="1591" w:type="pct"/>
            <w:gridSpan w:val="4"/>
            <w:vMerge/>
            <w:shd w:val="clear" w:color="auto" w:fill="FFFFFF"/>
          </w:tcPr>
          <w:p w14:paraId="64C04945" w14:textId="77777777" w:rsidR="00703B79" w:rsidRPr="000C1ABA" w:rsidRDefault="00703B79" w:rsidP="00C15095">
            <w:pPr>
              <w:spacing w:before="40" w:after="40"/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257" w:type="pct"/>
            <w:gridSpan w:val="2"/>
            <w:shd w:val="clear" w:color="auto" w:fill="FFFFFF"/>
          </w:tcPr>
          <w:p w14:paraId="3FC7D560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7051A0A2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68C621D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529C9E5E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5D745FF4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5" w:type="pct"/>
            <w:shd w:val="clear" w:color="auto" w:fill="FFFFFF"/>
          </w:tcPr>
          <w:p w14:paraId="5491EB61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7CFFDCF9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7ECD3C82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22973167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1D4EFEBB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65" w:type="pct"/>
            <w:shd w:val="clear" w:color="auto" w:fill="FFFFFF"/>
          </w:tcPr>
          <w:p w14:paraId="7A8F1C41" w14:textId="77777777"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5F3BDF06" w14:textId="77777777" w:rsidR="00703B79" w:rsidRPr="000C1ABA" w:rsidRDefault="00703B79" w:rsidP="00C15095">
            <w:pPr>
              <w:spacing w:before="40" w:after="40"/>
              <w:jc w:val="center"/>
              <w:rPr>
                <w:rFonts w:eastAsia="Times New Roman" w:cs="Times New Roman"/>
                <w:i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973AF2" w:rsidRPr="000C1ABA" w14:paraId="1066870D" w14:textId="77777777" w:rsidTr="00C15095">
        <w:trPr>
          <w:trHeight w:val="321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57D4BE96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lastRenderedPageBreak/>
              <w:t>Dochody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17A06161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7EC47464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51B21C55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38F5DA65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AC835A6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65" w:type="pct"/>
            <w:shd w:val="clear" w:color="auto" w:fill="FFFFFF"/>
          </w:tcPr>
          <w:p w14:paraId="7DBEFCCA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22F4C945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23DA2785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032AEFCA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213DBD06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65" w:type="pct"/>
            <w:shd w:val="clear" w:color="auto" w:fill="FFFFFF"/>
          </w:tcPr>
          <w:p w14:paraId="58896234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29893943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>
              <w:t>0</w:t>
            </w:r>
          </w:p>
        </w:tc>
      </w:tr>
      <w:tr w:rsidR="00973AF2" w:rsidRPr="000C1ABA" w14:paraId="4CB0FCB7" w14:textId="77777777" w:rsidTr="00C15095">
        <w:trPr>
          <w:trHeight w:val="321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4857AAAE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663BAE73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1AA0586F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46D47F5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3F6E4D3B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0595B85D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14:paraId="5BCE78C9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1AFCAF48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6ADD2516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0E4A538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1EA3224C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14:paraId="736785FD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658C2695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 w:rsidRPr="00877102">
              <w:t>0</w:t>
            </w:r>
          </w:p>
        </w:tc>
      </w:tr>
      <w:tr w:rsidR="00973AF2" w:rsidRPr="000C1ABA" w14:paraId="0689BF9E" w14:textId="77777777" w:rsidTr="00C15095">
        <w:trPr>
          <w:trHeight w:val="344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3CDBE979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5B989D7F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08DF097A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F7B35DB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64CDF6A9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C7CA502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64D321FB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12CB7560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22629987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3BA8859E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4B1AD35E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5F2B963D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262F7AE1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</w:tr>
      <w:tr w:rsidR="00973AF2" w:rsidRPr="000C1ABA" w14:paraId="73B0AD72" w14:textId="77777777" w:rsidTr="00C15095">
        <w:trPr>
          <w:trHeight w:val="344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6D88B483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3081F48F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048FEC3E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2066B548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1F454BD2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07A87C3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37B720D4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07732874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67E3AFE6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24DFE884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3CE7E140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26B9312A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299FD4BA" w14:textId="77777777"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</w:tr>
      <w:tr w:rsidR="00973AF2" w:rsidRPr="000C1ABA" w14:paraId="335AB9E0" w14:textId="77777777" w:rsidTr="00C15095">
        <w:trPr>
          <w:trHeight w:val="330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5BFAF25D" w14:textId="77777777" w:rsidR="00703B79" w:rsidRPr="00877102" w:rsidRDefault="00703B79" w:rsidP="00C15095">
            <w:r w:rsidRPr="00877102">
              <w:t>Wydatki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4530AEAE" w14:textId="77777777"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77AA1B54" w14:textId="77777777" w:rsidR="00703B79" w:rsidRPr="00877102" w:rsidRDefault="00703B79" w:rsidP="00C15095">
            <w: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53E768B7" w14:textId="77777777" w:rsidR="00703B79" w:rsidRPr="00877102" w:rsidRDefault="00703B79" w:rsidP="00C15095">
            <w: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6FA9106A" w14:textId="77777777" w:rsidR="00703B79" w:rsidRPr="00877102" w:rsidRDefault="00703B79" w:rsidP="00C15095">
            <w:r w:rsidRPr="00F629BB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3E7ADD7" w14:textId="77777777" w:rsidR="00703B79" w:rsidRPr="00877102" w:rsidRDefault="00703B79" w:rsidP="00C15095">
            <w:r w:rsidRPr="00F629BB">
              <w:t>0</w:t>
            </w:r>
          </w:p>
        </w:tc>
        <w:tc>
          <w:tcPr>
            <w:tcW w:w="265" w:type="pct"/>
            <w:shd w:val="clear" w:color="auto" w:fill="FFFFFF"/>
          </w:tcPr>
          <w:p w14:paraId="2A04EA59" w14:textId="77777777" w:rsidR="00703B79" w:rsidRPr="00877102" w:rsidRDefault="00703B79" w:rsidP="00C15095">
            <w:r w:rsidRPr="00F629BB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199F18A0" w14:textId="77777777" w:rsidR="00703B79" w:rsidRPr="00877102" w:rsidRDefault="00703B79" w:rsidP="00C15095">
            <w:r w:rsidRPr="00F629BB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07805FC3" w14:textId="77777777" w:rsidR="00703B79" w:rsidRPr="00877102" w:rsidRDefault="00703B79" w:rsidP="00C15095">
            <w:r w:rsidRPr="00F629BB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62E660B4" w14:textId="77777777" w:rsidR="00703B79" w:rsidRPr="00877102" w:rsidRDefault="00703B79" w:rsidP="00C15095">
            <w:r w:rsidRPr="00F629BB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3B18C151" w14:textId="77777777" w:rsidR="00703B79" w:rsidRPr="00877102" w:rsidRDefault="00703B79" w:rsidP="00C15095">
            <w:r w:rsidRPr="00F629BB">
              <w:t>0</w:t>
            </w:r>
          </w:p>
        </w:tc>
        <w:tc>
          <w:tcPr>
            <w:tcW w:w="265" w:type="pct"/>
            <w:shd w:val="clear" w:color="auto" w:fill="FFFFFF"/>
          </w:tcPr>
          <w:p w14:paraId="3FBD17CB" w14:textId="77777777" w:rsidR="00703B79" w:rsidRPr="00877102" w:rsidRDefault="00703B79" w:rsidP="00C15095">
            <w:r w:rsidRPr="00F629BB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544698A4" w14:textId="77777777" w:rsidR="00703B79" w:rsidRPr="00877102" w:rsidRDefault="00703B79" w:rsidP="00C15095">
            <w:r>
              <w:t>0</w:t>
            </w:r>
          </w:p>
        </w:tc>
      </w:tr>
      <w:tr w:rsidR="00973AF2" w:rsidRPr="000C1ABA" w14:paraId="5ED37499" w14:textId="77777777" w:rsidTr="00C15095">
        <w:trPr>
          <w:trHeight w:val="330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3A99883D" w14:textId="77777777" w:rsidR="00703B79" w:rsidRPr="00877102" w:rsidRDefault="00703B79" w:rsidP="00C15095">
            <w:r w:rsidRPr="00877102"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2F0C590A" w14:textId="77777777"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07C0960D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24913CB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48890685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BCC09DD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65" w:type="pct"/>
            <w:shd w:val="clear" w:color="auto" w:fill="FFFFFF"/>
          </w:tcPr>
          <w:p w14:paraId="6DA34331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2B559BD3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0E47AC39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6EA6AD84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0B5BA49B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265" w:type="pct"/>
            <w:shd w:val="clear" w:color="auto" w:fill="FFFFFF"/>
          </w:tcPr>
          <w:p w14:paraId="55C68754" w14:textId="77777777" w:rsidR="00703B79" w:rsidRPr="00877102" w:rsidRDefault="00703B79" w:rsidP="00C15095">
            <w:r w:rsidRPr="00A145A7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3C42841F" w14:textId="77777777" w:rsidR="00703B79" w:rsidRPr="00877102" w:rsidRDefault="00703B79" w:rsidP="00C15095">
            <w:r>
              <w:t>0</w:t>
            </w:r>
          </w:p>
        </w:tc>
      </w:tr>
      <w:tr w:rsidR="00973AF2" w:rsidRPr="000C1ABA" w14:paraId="09EA7312" w14:textId="77777777" w:rsidTr="00C15095">
        <w:trPr>
          <w:trHeight w:val="351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712CFB87" w14:textId="77777777" w:rsidR="00703B79" w:rsidRPr="00877102" w:rsidRDefault="00703B79" w:rsidP="00C15095">
            <w:r w:rsidRPr="00877102"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65BA6419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3A9F0F3D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318702E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5B944018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616BB914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14:paraId="7CA8155F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5748C6EF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1E04AE8B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34A8DDAB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4D4CB46C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14:paraId="12B28222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6536FF3B" w14:textId="77777777" w:rsidR="00703B79" w:rsidRPr="00877102" w:rsidRDefault="00703B79" w:rsidP="00C15095">
            <w:r w:rsidRPr="00877102">
              <w:t>0</w:t>
            </w:r>
          </w:p>
        </w:tc>
      </w:tr>
      <w:tr w:rsidR="00973AF2" w:rsidRPr="000C1ABA" w14:paraId="1D46F2F5" w14:textId="77777777" w:rsidTr="00C15095">
        <w:trPr>
          <w:trHeight w:val="351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024D3DF4" w14:textId="77777777" w:rsidR="00703B79" w:rsidRPr="00877102" w:rsidRDefault="00703B79" w:rsidP="00C15095">
            <w:r w:rsidRPr="00877102"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684E66E5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22CE544F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0852181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6E6344A7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714D9EFF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14:paraId="49D97EDE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37E4E995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63E1D849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6A335C95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4F73A7D4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14:paraId="22FA58D8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792F0E5D" w14:textId="77777777" w:rsidR="00703B79" w:rsidRPr="00877102" w:rsidRDefault="00703B79" w:rsidP="00C15095">
            <w:r w:rsidRPr="00877102">
              <w:t>0</w:t>
            </w:r>
          </w:p>
        </w:tc>
      </w:tr>
      <w:tr w:rsidR="00973AF2" w:rsidRPr="000C1ABA" w14:paraId="558372E2" w14:textId="77777777" w:rsidTr="00C15095">
        <w:trPr>
          <w:trHeight w:val="360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45E36D81" w14:textId="77777777" w:rsidR="00703B79" w:rsidRPr="00877102" w:rsidRDefault="00703B79" w:rsidP="00C15095">
            <w:r w:rsidRPr="00877102">
              <w:t>Saldo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40ECD929" w14:textId="77777777"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5953D7EE" w14:textId="77777777" w:rsidR="00703B79" w:rsidRPr="00877102" w:rsidRDefault="00703B79" w:rsidP="00C15095">
            <w: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08F9DBB" w14:textId="77777777" w:rsidR="00703B79" w:rsidRPr="00877102" w:rsidRDefault="00703B79" w:rsidP="00C15095">
            <w: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20A2C15D" w14:textId="77777777" w:rsidR="00703B79" w:rsidRPr="00877102" w:rsidRDefault="00703B79" w:rsidP="00C15095"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1EE0C9A1" w14:textId="77777777" w:rsidR="00703B79" w:rsidRPr="00877102" w:rsidRDefault="00703B79" w:rsidP="00C15095">
            <w:r>
              <w:t>0</w:t>
            </w:r>
          </w:p>
        </w:tc>
        <w:tc>
          <w:tcPr>
            <w:tcW w:w="265" w:type="pct"/>
            <w:shd w:val="clear" w:color="auto" w:fill="FFFFFF"/>
          </w:tcPr>
          <w:p w14:paraId="30A3F759" w14:textId="77777777" w:rsidR="00703B79" w:rsidRPr="00877102" w:rsidRDefault="00703B79" w:rsidP="00C15095">
            <w: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1D54E8F7" w14:textId="77777777" w:rsidR="00703B79" w:rsidRPr="00877102" w:rsidRDefault="00703B79" w:rsidP="00C15095">
            <w: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5D79FC78" w14:textId="77777777" w:rsidR="00703B79" w:rsidRPr="00877102" w:rsidRDefault="00703B79" w:rsidP="00C15095"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2BD77AA6" w14:textId="77777777" w:rsidR="00703B79" w:rsidRPr="00877102" w:rsidRDefault="00703B79" w:rsidP="00C15095">
            <w:r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0488F572" w14:textId="77777777" w:rsidR="00703B79" w:rsidRPr="00877102" w:rsidRDefault="00703B79" w:rsidP="00C15095">
            <w:r>
              <w:t>0</w:t>
            </w:r>
          </w:p>
        </w:tc>
        <w:tc>
          <w:tcPr>
            <w:tcW w:w="265" w:type="pct"/>
            <w:shd w:val="clear" w:color="auto" w:fill="FFFFFF"/>
          </w:tcPr>
          <w:p w14:paraId="153CC04D" w14:textId="77777777" w:rsidR="00703B79" w:rsidRPr="00877102" w:rsidRDefault="00703B79" w:rsidP="00C15095">
            <w:r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56AA120D" w14:textId="77777777" w:rsidR="00703B79" w:rsidRPr="00877102" w:rsidRDefault="00703B79" w:rsidP="00C15095">
            <w:r>
              <w:t>0</w:t>
            </w:r>
          </w:p>
        </w:tc>
      </w:tr>
      <w:tr w:rsidR="00973AF2" w:rsidRPr="000C1ABA" w14:paraId="17CA72FB" w14:textId="77777777" w:rsidTr="00C15095">
        <w:trPr>
          <w:trHeight w:val="360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2EDB331A" w14:textId="77777777" w:rsidR="00703B79" w:rsidRPr="00877102" w:rsidRDefault="00703B79" w:rsidP="00C15095">
            <w:r w:rsidRPr="00877102"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2A442E9C" w14:textId="77777777"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14BCD910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2BDFEBBE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4863A2F4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316F36B2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65" w:type="pct"/>
            <w:shd w:val="clear" w:color="auto" w:fill="FFFFFF"/>
          </w:tcPr>
          <w:p w14:paraId="12920C28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07E90492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116104B2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51FDE838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14C29818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265" w:type="pct"/>
            <w:shd w:val="clear" w:color="auto" w:fill="FFFFFF"/>
          </w:tcPr>
          <w:p w14:paraId="08518BD7" w14:textId="77777777" w:rsidR="00703B79" w:rsidRPr="00877102" w:rsidRDefault="00703B79" w:rsidP="00C15095">
            <w:r w:rsidRPr="00D87E97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3B6E76A5" w14:textId="77777777" w:rsidR="00703B79" w:rsidRPr="00877102" w:rsidRDefault="00703B79" w:rsidP="00C15095">
            <w:r>
              <w:t>0</w:t>
            </w:r>
          </w:p>
        </w:tc>
      </w:tr>
      <w:tr w:rsidR="00973AF2" w:rsidRPr="000C1ABA" w14:paraId="29914BCB" w14:textId="77777777" w:rsidTr="00C15095">
        <w:trPr>
          <w:trHeight w:val="357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4CA9D542" w14:textId="77777777" w:rsidR="00703B79" w:rsidRPr="00877102" w:rsidRDefault="00703B79" w:rsidP="00C15095">
            <w:r w:rsidRPr="00877102"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2A672928" w14:textId="77777777"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52A2B7C0" w14:textId="77777777" w:rsidR="00703B79" w:rsidRPr="00877102" w:rsidRDefault="00703B79" w:rsidP="00C15095">
            <w:r w:rsidRPr="00176220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77020E2" w14:textId="77777777" w:rsidR="00703B79" w:rsidRPr="00877102" w:rsidRDefault="00703B79" w:rsidP="00C15095">
            <w:r w:rsidRPr="00176220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33AA59AA" w14:textId="77777777" w:rsidR="00703B79" w:rsidRPr="00877102" w:rsidRDefault="00703B79" w:rsidP="00C15095"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293EA740" w14:textId="77777777" w:rsidR="00703B79" w:rsidRPr="00877102" w:rsidRDefault="00703B79" w:rsidP="00C15095">
            <w:r w:rsidRPr="00176220">
              <w:t>0</w:t>
            </w:r>
          </w:p>
        </w:tc>
        <w:tc>
          <w:tcPr>
            <w:tcW w:w="265" w:type="pct"/>
            <w:shd w:val="clear" w:color="auto" w:fill="FFFFFF"/>
          </w:tcPr>
          <w:p w14:paraId="63A30994" w14:textId="77777777" w:rsidR="00703B79" w:rsidRPr="00877102" w:rsidRDefault="00703B79" w:rsidP="00C15095">
            <w:r w:rsidRPr="00176220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00B36FFA" w14:textId="77777777" w:rsidR="00703B79" w:rsidRPr="00877102" w:rsidRDefault="00703B79" w:rsidP="00C15095">
            <w:r w:rsidRPr="00176220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7EDB6AEF" w14:textId="77777777" w:rsidR="00703B79" w:rsidRPr="00877102" w:rsidRDefault="00703B79" w:rsidP="00C15095"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42A25DF8" w14:textId="77777777" w:rsidR="00703B79" w:rsidRPr="00877102" w:rsidRDefault="00703B79" w:rsidP="00C15095">
            <w:r w:rsidRPr="00176220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69FBBDF2" w14:textId="77777777" w:rsidR="00703B79" w:rsidRPr="00877102" w:rsidRDefault="00703B79" w:rsidP="00C15095">
            <w:r w:rsidRPr="00176220">
              <w:t>0</w:t>
            </w:r>
          </w:p>
        </w:tc>
        <w:tc>
          <w:tcPr>
            <w:tcW w:w="265" w:type="pct"/>
            <w:shd w:val="clear" w:color="auto" w:fill="FFFFFF"/>
          </w:tcPr>
          <w:p w14:paraId="79B2D85C" w14:textId="77777777" w:rsidR="00703B79" w:rsidRPr="00877102" w:rsidRDefault="00703B79" w:rsidP="00C15095">
            <w:r w:rsidRPr="00176220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5D232D64" w14:textId="77777777" w:rsidR="00703B79" w:rsidRPr="00877102" w:rsidRDefault="00703B79" w:rsidP="00C15095">
            <w:r>
              <w:t>0</w:t>
            </w:r>
          </w:p>
        </w:tc>
      </w:tr>
      <w:tr w:rsidR="00973AF2" w:rsidRPr="000C1ABA" w14:paraId="24EA0FB7" w14:textId="77777777" w:rsidTr="00C15095">
        <w:trPr>
          <w:trHeight w:val="357"/>
        </w:trPr>
        <w:tc>
          <w:tcPr>
            <w:tcW w:w="1591" w:type="pct"/>
            <w:gridSpan w:val="4"/>
            <w:shd w:val="clear" w:color="auto" w:fill="FFFFFF"/>
            <w:vAlign w:val="center"/>
          </w:tcPr>
          <w:p w14:paraId="461564E4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3DCC56DF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14:paraId="632D6CE5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0B77CC2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14:paraId="7A3A0A12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1FA14E73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14:paraId="0A4B59A3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07BA7D1D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14:paraId="185E6C2C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14:paraId="79689505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14:paraId="3C29D422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14:paraId="2BBBE4CF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14:paraId="6245A579" w14:textId="77777777"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</w:tr>
      <w:tr w:rsidR="00703B79" w:rsidRPr="000C1ABA" w14:paraId="5C9FC844" w14:textId="77777777" w:rsidTr="00C15095">
        <w:trPr>
          <w:trHeight w:val="348"/>
        </w:trPr>
        <w:tc>
          <w:tcPr>
            <w:tcW w:w="923" w:type="pct"/>
            <w:gridSpan w:val="2"/>
            <w:shd w:val="clear" w:color="auto" w:fill="FFFFFF"/>
            <w:vAlign w:val="center"/>
          </w:tcPr>
          <w:p w14:paraId="4269A384" w14:textId="77777777" w:rsidR="00703B79" w:rsidRPr="00877102" w:rsidRDefault="00703B79" w:rsidP="00C15095">
            <w:r w:rsidRPr="00877102">
              <w:t xml:space="preserve">Źródła finansowania </w:t>
            </w:r>
          </w:p>
        </w:tc>
        <w:tc>
          <w:tcPr>
            <w:tcW w:w="4077" w:type="pct"/>
            <w:gridSpan w:val="27"/>
            <w:shd w:val="clear" w:color="auto" w:fill="FFFFFF"/>
            <w:vAlign w:val="center"/>
          </w:tcPr>
          <w:p w14:paraId="69B2D618" w14:textId="77777777" w:rsidR="00703B79" w:rsidRPr="002A7422" w:rsidRDefault="00703B79" w:rsidP="00C15095">
            <w:r>
              <w:t>W</w:t>
            </w:r>
            <w:r w:rsidRPr="002A7422">
              <w:t>ejście w życie projektowanego rozporządzenia nie będzie miało wpływu na sektor finansów publicznych</w:t>
            </w:r>
            <w:r w:rsidR="00C15095">
              <w:t>,</w:t>
            </w:r>
            <w:r w:rsidRPr="002A7422">
              <w:t xml:space="preserve"> w tym budżet państwa.</w:t>
            </w:r>
          </w:p>
          <w:p w14:paraId="0CCC3A14" w14:textId="77777777" w:rsidR="00703B79" w:rsidRPr="00877102" w:rsidRDefault="00703B79" w:rsidP="00C15095"/>
          <w:p w14:paraId="11DCBF33" w14:textId="77777777" w:rsidR="00703B79" w:rsidRPr="00877102" w:rsidRDefault="00703B79" w:rsidP="00C15095"/>
        </w:tc>
      </w:tr>
      <w:tr w:rsidR="00703B79" w:rsidRPr="000C1ABA" w14:paraId="64FB1EA8" w14:textId="77777777" w:rsidTr="00C15095">
        <w:trPr>
          <w:trHeight w:val="653"/>
        </w:trPr>
        <w:tc>
          <w:tcPr>
            <w:tcW w:w="923" w:type="pct"/>
            <w:gridSpan w:val="2"/>
            <w:shd w:val="clear" w:color="auto" w:fill="FFFFFF"/>
          </w:tcPr>
          <w:p w14:paraId="78D2B024" w14:textId="77777777" w:rsidR="00703B79" w:rsidRPr="00877102" w:rsidRDefault="00703B79" w:rsidP="00C15095">
            <w:r w:rsidRPr="00877102">
              <w:t>Dodatkowe informacje, w tym wskazanie źródeł danych i przyjętych do obliczeń założeń</w:t>
            </w:r>
          </w:p>
        </w:tc>
        <w:tc>
          <w:tcPr>
            <w:tcW w:w="4077" w:type="pct"/>
            <w:gridSpan w:val="27"/>
            <w:shd w:val="clear" w:color="auto" w:fill="FFFFFF"/>
          </w:tcPr>
          <w:p w14:paraId="45BC544E" w14:textId="77777777" w:rsidR="00703B79" w:rsidRPr="00877102" w:rsidRDefault="00703B79" w:rsidP="00C15095"/>
        </w:tc>
      </w:tr>
      <w:tr w:rsidR="00703B79" w:rsidRPr="000C1ABA" w14:paraId="317FE727" w14:textId="77777777" w:rsidTr="00C15095">
        <w:trPr>
          <w:trHeight w:val="345"/>
        </w:trPr>
        <w:tc>
          <w:tcPr>
            <w:tcW w:w="5000" w:type="pct"/>
            <w:gridSpan w:val="29"/>
            <w:shd w:val="clear" w:color="auto" w:fill="99CCFF"/>
          </w:tcPr>
          <w:p w14:paraId="10D40992" w14:textId="77777777"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703B79" w:rsidRPr="000C1ABA" w14:paraId="5A58119D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12D39717" w14:textId="77777777" w:rsidR="00703B79" w:rsidRPr="00877102" w:rsidRDefault="00703B79" w:rsidP="00C15095">
            <w:r w:rsidRPr="00877102">
              <w:t>Skutki</w:t>
            </w:r>
          </w:p>
        </w:tc>
      </w:tr>
      <w:tr w:rsidR="00C15095" w:rsidRPr="000C1ABA" w14:paraId="6FC6259B" w14:textId="77777777" w:rsidTr="00C15095">
        <w:trPr>
          <w:trHeight w:val="142"/>
        </w:trPr>
        <w:tc>
          <w:tcPr>
            <w:tcW w:w="1930" w:type="pct"/>
            <w:gridSpan w:val="7"/>
            <w:shd w:val="clear" w:color="auto" w:fill="FFFFFF"/>
          </w:tcPr>
          <w:p w14:paraId="7FA8A014" w14:textId="77777777" w:rsidR="00703B79" w:rsidRPr="00877102" w:rsidRDefault="00703B79" w:rsidP="00C15095">
            <w:r w:rsidRPr="00877102">
              <w:t>Czas w latach od wejścia w życie zmian</w:t>
            </w:r>
          </w:p>
        </w:tc>
        <w:tc>
          <w:tcPr>
            <w:tcW w:w="433" w:type="pct"/>
            <w:gridSpan w:val="2"/>
            <w:shd w:val="clear" w:color="auto" w:fill="FFFFFF"/>
          </w:tcPr>
          <w:p w14:paraId="03121CA0" w14:textId="77777777" w:rsidR="00703B79" w:rsidRPr="00877102" w:rsidRDefault="00703B79" w:rsidP="00C15095">
            <w:r w:rsidRPr="00877102">
              <w:t>0</w:t>
            </w:r>
          </w:p>
        </w:tc>
        <w:tc>
          <w:tcPr>
            <w:tcW w:w="412" w:type="pct"/>
            <w:gridSpan w:val="5"/>
            <w:shd w:val="clear" w:color="auto" w:fill="FFFFFF"/>
          </w:tcPr>
          <w:p w14:paraId="68E0D541" w14:textId="77777777" w:rsidR="00703B79" w:rsidRPr="00877102" w:rsidRDefault="00703B79" w:rsidP="00C15095">
            <w:r w:rsidRPr="00877102">
              <w:t>1</w:t>
            </w:r>
          </w:p>
        </w:tc>
        <w:tc>
          <w:tcPr>
            <w:tcW w:w="419" w:type="pct"/>
            <w:gridSpan w:val="4"/>
            <w:shd w:val="clear" w:color="auto" w:fill="FFFFFF"/>
          </w:tcPr>
          <w:p w14:paraId="14620220" w14:textId="77777777" w:rsidR="00703B79" w:rsidRPr="00877102" w:rsidRDefault="00703B79" w:rsidP="00C15095">
            <w:r w:rsidRPr="00877102">
              <w:t>2</w:t>
            </w:r>
          </w:p>
        </w:tc>
        <w:tc>
          <w:tcPr>
            <w:tcW w:w="428" w:type="pct"/>
            <w:gridSpan w:val="3"/>
            <w:shd w:val="clear" w:color="auto" w:fill="FFFFFF"/>
          </w:tcPr>
          <w:p w14:paraId="0EF83223" w14:textId="77777777" w:rsidR="00703B79" w:rsidRPr="00877102" w:rsidRDefault="00703B79" w:rsidP="00C15095">
            <w:r w:rsidRPr="00877102">
              <w:t>3</w:t>
            </w:r>
          </w:p>
        </w:tc>
        <w:tc>
          <w:tcPr>
            <w:tcW w:w="421" w:type="pct"/>
            <w:gridSpan w:val="4"/>
            <w:shd w:val="clear" w:color="auto" w:fill="FFFFFF"/>
          </w:tcPr>
          <w:p w14:paraId="62A81825" w14:textId="77777777" w:rsidR="00703B79" w:rsidRPr="00877102" w:rsidRDefault="00703B79" w:rsidP="00C15095">
            <w:r w:rsidRPr="00877102">
              <w:t>5</w:t>
            </w:r>
          </w:p>
        </w:tc>
        <w:tc>
          <w:tcPr>
            <w:tcW w:w="428" w:type="pct"/>
            <w:gridSpan w:val="3"/>
            <w:shd w:val="clear" w:color="auto" w:fill="FFFFFF"/>
          </w:tcPr>
          <w:p w14:paraId="65B31C74" w14:textId="77777777" w:rsidR="00703B79" w:rsidRPr="00877102" w:rsidRDefault="00703B79" w:rsidP="00C15095">
            <w:r w:rsidRPr="00877102">
              <w:t>10</w:t>
            </w:r>
          </w:p>
        </w:tc>
        <w:tc>
          <w:tcPr>
            <w:tcW w:w="530" w:type="pct"/>
            <w:shd w:val="clear" w:color="auto" w:fill="FFFFFF"/>
          </w:tcPr>
          <w:p w14:paraId="23578641" w14:textId="77777777" w:rsidR="00703B79" w:rsidRPr="00877102" w:rsidRDefault="00703B79" w:rsidP="00C15095">
            <w:r w:rsidRPr="00877102">
              <w:t>Łącznie</w:t>
            </w:r>
            <w:r w:rsidRPr="00877102" w:rsidDel="0073273A">
              <w:t xml:space="preserve"> </w:t>
            </w:r>
            <w:r w:rsidRPr="00877102">
              <w:t>(0-10)</w:t>
            </w:r>
          </w:p>
        </w:tc>
      </w:tr>
      <w:tr w:rsidR="00C15095" w:rsidRPr="000C1ABA" w14:paraId="1F358D93" w14:textId="77777777" w:rsidTr="00C15095">
        <w:trPr>
          <w:trHeight w:val="142"/>
        </w:trPr>
        <w:tc>
          <w:tcPr>
            <w:tcW w:w="879" w:type="pct"/>
            <w:vMerge w:val="restart"/>
            <w:shd w:val="clear" w:color="auto" w:fill="FFFFFF"/>
          </w:tcPr>
          <w:p w14:paraId="1F9D9BC7" w14:textId="77777777" w:rsidR="00703B79" w:rsidRPr="00877102" w:rsidRDefault="00703B79" w:rsidP="00C15095">
            <w:r w:rsidRPr="00877102">
              <w:t xml:space="preserve">W ujęciu </w:t>
            </w:r>
            <w:r w:rsidRPr="00877102">
              <w:lastRenderedPageBreak/>
              <w:t>pieniężnym</w:t>
            </w:r>
          </w:p>
          <w:p w14:paraId="7C6DED7E" w14:textId="77777777" w:rsidR="00703B79" w:rsidRPr="00877102" w:rsidRDefault="00703B79" w:rsidP="00C15095">
            <w:r w:rsidRPr="00877102">
              <w:t xml:space="preserve">(w mln zł, </w:t>
            </w:r>
          </w:p>
          <w:p w14:paraId="203CF090" w14:textId="77777777" w:rsidR="00703B79" w:rsidRPr="00877102" w:rsidRDefault="00703B79" w:rsidP="00C15095">
            <w:r w:rsidRPr="00877102">
              <w:t>ceny stałe z 2016 r.)</w:t>
            </w:r>
          </w:p>
        </w:tc>
        <w:tc>
          <w:tcPr>
            <w:tcW w:w="1051" w:type="pct"/>
            <w:gridSpan w:val="6"/>
            <w:shd w:val="clear" w:color="auto" w:fill="FFFFFF"/>
          </w:tcPr>
          <w:p w14:paraId="5CE58C78" w14:textId="77777777" w:rsidR="00703B79" w:rsidRPr="00877102" w:rsidRDefault="00703B79" w:rsidP="00C15095">
            <w:r w:rsidRPr="00877102">
              <w:lastRenderedPageBreak/>
              <w:t xml:space="preserve">duże </w:t>
            </w:r>
            <w:r w:rsidRPr="00877102">
              <w:lastRenderedPageBreak/>
              <w:t>przedsiębiorstwa</w:t>
            </w:r>
          </w:p>
        </w:tc>
        <w:tc>
          <w:tcPr>
            <w:tcW w:w="433" w:type="pct"/>
            <w:gridSpan w:val="2"/>
            <w:shd w:val="clear" w:color="auto" w:fill="FFFFFF"/>
          </w:tcPr>
          <w:p w14:paraId="6D4AAE5C" w14:textId="77777777" w:rsidR="00703B79" w:rsidRPr="00877102" w:rsidRDefault="00703B79" w:rsidP="00C15095">
            <w:r w:rsidRPr="00877102">
              <w:lastRenderedPageBreak/>
              <w:t>-</w:t>
            </w:r>
          </w:p>
        </w:tc>
        <w:tc>
          <w:tcPr>
            <w:tcW w:w="412" w:type="pct"/>
            <w:gridSpan w:val="5"/>
            <w:shd w:val="clear" w:color="auto" w:fill="FFFFFF"/>
          </w:tcPr>
          <w:p w14:paraId="650FE64C" w14:textId="77777777" w:rsidR="00703B79" w:rsidRPr="00877102" w:rsidRDefault="00703B79" w:rsidP="00C15095">
            <w:r w:rsidRPr="00193176">
              <w:t>-</w:t>
            </w:r>
          </w:p>
        </w:tc>
        <w:tc>
          <w:tcPr>
            <w:tcW w:w="419" w:type="pct"/>
            <w:gridSpan w:val="4"/>
            <w:shd w:val="clear" w:color="auto" w:fill="FFFFFF"/>
          </w:tcPr>
          <w:p w14:paraId="2E02DA96" w14:textId="77777777" w:rsidR="00703B79" w:rsidRPr="00877102" w:rsidRDefault="00703B79" w:rsidP="00C15095">
            <w:r w:rsidRPr="00193176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14:paraId="3E887253" w14:textId="77777777" w:rsidR="00703B79" w:rsidRPr="00877102" w:rsidRDefault="00703B79" w:rsidP="00C15095">
            <w:r w:rsidRPr="00193176">
              <w:t>-</w:t>
            </w:r>
          </w:p>
        </w:tc>
        <w:tc>
          <w:tcPr>
            <w:tcW w:w="421" w:type="pct"/>
            <w:gridSpan w:val="4"/>
            <w:shd w:val="clear" w:color="auto" w:fill="FFFFFF"/>
          </w:tcPr>
          <w:p w14:paraId="1396BF15" w14:textId="77777777" w:rsidR="00703B79" w:rsidRPr="00877102" w:rsidRDefault="00703B79" w:rsidP="00C15095">
            <w:r w:rsidRPr="00193176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14:paraId="192D55CF" w14:textId="77777777" w:rsidR="00703B79" w:rsidRPr="00877102" w:rsidRDefault="00703B79" w:rsidP="00C15095">
            <w:r w:rsidRPr="00193176">
              <w:t>-</w:t>
            </w:r>
          </w:p>
        </w:tc>
        <w:tc>
          <w:tcPr>
            <w:tcW w:w="530" w:type="pct"/>
            <w:shd w:val="clear" w:color="auto" w:fill="FFFFFF"/>
          </w:tcPr>
          <w:p w14:paraId="7B419D1E" w14:textId="77777777" w:rsidR="00703B79" w:rsidRPr="00877102" w:rsidRDefault="00703B79" w:rsidP="00C15095">
            <w:r w:rsidRPr="00193176">
              <w:t>-</w:t>
            </w:r>
          </w:p>
        </w:tc>
      </w:tr>
      <w:tr w:rsidR="00C15095" w:rsidRPr="000C1ABA" w14:paraId="0CDD2CF4" w14:textId="77777777" w:rsidTr="00C15095">
        <w:trPr>
          <w:trHeight w:val="142"/>
        </w:trPr>
        <w:tc>
          <w:tcPr>
            <w:tcW w:w="879" w:type="pct"/>
            <w:vMerge/>
            <w:shd w:val="clear" w:color="auto" w:fill="FFFFFF"/>
          </w:tcPr>
          <w:p w14:paraId="6484F5AD" w14:textId="77777777" w:rsidR="00703B79" w:rsidRPr="00877102" w:rsidRDefault="00703B79" w:rsidP="00C15095"/>
        </w:tc>
        <w:tc>
          <w:tcPr>
            <w:tcW w:w="1051" w:type="pct"/>
            <w:gridSpan w:val="6"/>
            <w:shd w:val="clear" w:color="auto" w:fill="FFFFFF"/>
          </w:tcPr>
          <w:p w14:paraId="5BD1CD4E" w14:textId="77777777" w:rsidR="00703B79" w:rsidRPr="00877102" w:rsidRDefault="00703B79" w:rsidP="00C15095">
            <w:r w:rsidRPr="00877102">
              <w:t>sektor mikro-, małych i średnich przedsiębiorstw</w:t>
            </w:r>
          </w:p>
        </w:tc>
        <w:tc>
          <w:tcPr>
            <w:tcW w:w="433" w:type="pct"/>
            <w:gridSpan w:val="2"/>
            <w:shd w:val="clear" w:color="auto" w:fill="FFFFFF"/>
          </w:tcPr>
          <w:p w14:paraId="1ABE12EA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12" w:type="pct"/>
            <w:gridSpan w:val="5"/>
            <w:shd w:val="clear" w:color="auto" w:fill="FFFFFF"/>
          </w:tcPr>
          <w:p w14:paraId="08E84BDD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19" w:type="pct"/>
            <w:gridSpan w:val="4"/>
            <w:shd w:val="clear" w:color="auto" w:fill="FFFFFF"/>
          </w:tcPr>
          <w:p w14:paraId="52B3213F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14:paraId="3D0F3E0F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21" w:type="pct"/>
            <w:gridSpan w:val="4"/>
            <w:shd w:val="clear" w:color="auto" w:fill="FFFFFF"/>
          </w:tcPr>
          <w:p w14:paraId="0CCCACEE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14:paraId="2312D405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530" w:type="pct"/>
            <w:shd w:val="clear" w:color="auto" w:fill="FFFFFF"/>
          </w:tcPr>
          <w:p w14:paraId="245C8814" w14:textId="77777777" w:rsidR="00703B79" w:rsidRPr="00877102" w:rsidRDefault="00703B79" w:rsidP="00C15095">
            <w:r w:rsidRPr="00877102">
              <w:t>-</w:t>
            </w:r>
          </w:p>
        </w:tc>
      </w:tr>
      <w:tr w:rsidR="00C15095" w:rsidRPr="000C1ABA" w14:paraId="3EE8357B" w14:textId="77777777" w:rsidTr="00C15095">
        <w:trPr>
          <w:trHeight w:val="142"/>
        </w:trPr>
        <w:tc>
          <w:tcPr>
            <w:tcW w:w="879" w:type="pct"/>
            <w:vMerge/>
            <w:shd w:val="clear" w:color="auto" w:fill="FFFFFF"/>
          </w:tcPr>
          <w:p w14:paraId="1C123D46" w14:textId="77777777" w:rsidR="00703B79" w:rsidRPr="00877102" w:rsidRDefault="00703B79" w:rsidP="00C15095"/>
        </w:tc>
        <w:tc>
          <w:tcPr>
            <w:tcW w:w="1051" w:type="pct"/>
            <w:gridSpan w:val="6"/>
            <w:shd w:val="clear" w:color="auto" w:fill="FFFFFF"/>
          </w:tcPr>
          <w:p w14:paraId="02C5557D" w14:textId="77777777" w:rsidR="00703B79" w:rsidRPr="00877102" w:rsidRDefault="00703B79" w:rsidP="00C15095">
            <w:r w:rsidRPr="00877102">
              <w:t>rodzina, obywatele oraz gospodarstwa domowe</w:t>
            </w:r>
          </w:p>
        </w:tc>
        <w:tc>
          <w:tcPr>
            <w:tcW w:w="433" w:type="pct"/>
            <w:gridSpan w:val="2"/>
            <w:shd w:val="clear" w:color="auto" w:fill="FFFFFF"/>
          </w:tcPr>
          <w:p w14:paraId="676D5295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12" w:type="pct"/>
            <w:gridSpan w:val="5"/>
            <w:shd w:val="clear" w:color="auto" w:fill="FFFFFF"/>
          </w:tcPr>
          <w:p w14:paraId="6806047B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19" w:type="pct"/>
            <w:gridSpan w:val="4"/>
            <w:shd w:val="clear" w:color="auto" w:fill="FFFFFF"/>
          </w:tcPr>
          <w:p w14:paraId="49E6D82C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14:paraId="37FFE2A2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21" w:type="pct"/>
            <w:gridSpan w:val="4"/>
            <w:shd w:val="clear" w:color="auto" w:fill="FFFFFF"/>
          </w:tcPr>
          <w:p w14:paraId="6EA621BD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14:paraId="76693509" w14:textId="77777777" w:rsidR="00703B79" w:rsidRPr="00877102" w:rsidRDefault="00703B79" w:rsidP="00C15095">
            <w:r w:rsidRPr="00877102">
              <w:t>-</w:t>
            </w:r>
          </w:p>
        </w:tc>
        <w:tc>
          <w:tcPr>
            <w:tcW w:w="530" w:type="pct"/>
            <w:shd w:val="clear" w:color="auto" w:fill="FFFFFF"/>
          </w:tcPr>
          <w:p w14:paraId="3D249155" w14:textId="77777777" w:rsidR="00703B79" w:rsidRPr="00877102" w:rsidRDefault="00703B79" w:rsidP="00C15095">
            <w:r w:rsidRPr="00877102">
              <w:t>-</w:t>
            </w:r>
          </w:p>
        </w:tc>
      </w:tr>
      <w:tr w:rsidR="00703B79" w:rsidRPr="000C1ABA" w14:paraId="1D9167E3" w14:textId="77777777" w:rsidTr="00C15095">
        <w:trPr>
          <w:trHeight w:val="142"/>
        </w:trPr>
        <w:tc>
          <w:tcPr>
            <w:tcW w:w="879" w:type="pct"/>
            <w:vMerge w:val="restart"/>
            <w:shd w:val="clear" w:color="auto" w:fill="FFFFFF"/>
          </w:tcPr>
          <w:p w14:paraId="6D589416" w14:textId="77777777" w:rsidR="00703B79" w:rsidRPr="00877102" w:rsidRDefault="00703B79" w:rsidP="00C15095">
            <w:r w:rsidRPr="00877102">
              <w:t>W ujęciu niepieniężnym</w:t>
            </w:r>
          </w:p>
        </w:tc>
        <w:tc>
          <w:tcPr>
            <w:tcW w:w="1051" w:type="pct"/>
            <w:gridSpan w:val="6"/>
            <w:shd w:val="clear" w:color="auto" w:fill="FFFFFF"/>
          </w:tcPr>
          <w:p w14:paraId="7A35F91D" w14:textId="77777777" w:rsidR="00703B79" w:rsidRPr="00877102" w:rsidRDefault="00703B79" w:rsidP="00C15095">
            <w:r w:rsidRPr="00877102">
              <w:t>duże przedsiębiorstwa</w:t>
            </w:r>
          </w:p>
        </w:tc>
        <w:tc>
          <w:tcPr>
            <w:tcW w:w="3070" w:type="pct"/>
            <w:gridSpan w:val="22"/>
            <w:shd w:val="clear" w:color="auto" w:fill="FFFFFF"/>
          </w:tcPr>
          <w:p w14:paraId="03A2C7BF" w14:textId="77777777" w:rsidR="00703B79" w:rsidRPr="00877102" w:rsidRDefault="00703B79" w:rsidP="00C15095">
            <w:r w:rsidRPr="00877102">
              <w:t xml:space="preserve">Wprowadzane </w:t>
            </w:r>
            <w:r>
              <w:t xml:space="preserve">przepisy mogą okazać się przydatne przy tworzeniu planów biznesowych przez przedsiębiorców telekomunikacyjnych zainteresowanych uzyskaniem określonych zasobów częstotliwości oraz określeniu </w:t>
            </w:r>
            <w:proofErr w:type="spellStart"/>
            <w:r>
              <w:t>ryzyk</w:t>
            </w:r>
            <w:proofErr w:type="spellEnd"/>
            <w:r>
              <w:t xml:space="preserve"> związanych z prowadzoną lub planowana działalnością. Określenie harmonogramu zwiększa przewidywalność działań regulatora w zakresie rozdysponowywania częstotliwości. Ponadto umożliwia przedsiębiorcom przygotowanie się np. do rozszerzenia zakresu świadczonych usług.</w:t>
            </w:r>
          </w:p>
          <w:p w14:paraId="16D5A7C1" w14:textId="77777777" w:rsidR="00703B79" w:rsidRPr="00877102" w:rsidRDefault="00703B79" w:rsidP="00C15095"/>
        </w:tc>
      </w:tr>
      <w:tr w:rsidR="00703B79" w:rsidRPr="000C1ABA" w14:paraId="1EFDE641" w14:textId="77777777" w:rsidTr="00C15095">
        <w:trPr>
          <w:trHeight w:val="142"/>
        </w:trPr>
        <w:tc>
          <w:tcPr>
            <w:tcW w:w="879" w:type="pct"/>
            <w:vMerge/>
            <w:shd w:val="clear" w:color="auto" w:fill="FFFFFF"/>
          </w:tcPr>
          <w:p w14:paraId="6E4B41F5" w14:textId="77777777" w:rsidR="00703B79" w:rsidRPr="00877102" w:rsidRDefault="00703B79" w:rsidP="00C15095"/>
        </w:tc>
        <w:tc>
          <w:tcPr>
            <w:tcW w:w="1051" w:type="pct"/>
            <w:gridSpan w:val="6"/>
            <w:shd w:val="clear" w:color="auto" w:fill="FFFFFF"/>
          </w:tcPr>
          <w:p w14:paraId="582E53AE" w14:textId="77777777" w:rsidR="00703B79" w:rsidRPr="00877102" w:rsidRDefault="00703B79" w:rsidP="00C15095">
            <w:r w:rsidRPr="00877102">
              <w:t>sektor mikro-, małych i średnich przedsiębiorstw</w:t>
            </w:r>
          </w:p>
        </w:tc>
        <w:tc>
          <w:tcPr>
            <w:tcW w:w="3070" w:type="pct"/>
            <w:gridSpan w:val="22"/>
            <w:shd w:val="clear" w:color="auto" w:fill="FFFFFF"/>
          </w:tcPr>
          <w:p w14:paraId="044D27D6" w14:textId="77777777" w:rsidR="00703B79" w:rsidRPr="00877102" w:rsidRDefault="00703B79" w:rsidP="00C15095">
            <w:proofErr w:type="spellStart"/>
            <w:r w:rsidRPr="00877102">
              <w:t>j.w</w:t>
            </w:r>
            <w:proofErr w:type="spellEnd"/>
            <w:r w:rsidRPr="00877102">
              <w:t xml:space="preserve">. </w:t>
            </w:r>
          </w:p>
        </w:tc>
      </w:tr>
      <w:tr w:rsidR="00703B79" w:rsidRPr="000C1ABA" w14:paraId="0ABC1058" w14:textId="77777777" w:rsidTr="00C15095">
        <w:trPr>
          <w:trHeight w:val="596"/>
        </w:trPr>
        <w:tc>
          <w:tcPr>
            <w:tcW w:w="879" w:type="pct"/>
            <w:vMerge/>
            <w:shd w:val="clear" w:color="auto" w:fill="FFFFFF"/>
          </w:tcPr>
          <w:p w14:paraId="0D771738" w14:textId="77777777" w:rsidR="00703B79" w:rsidRPr="00877102" w:rsidRDefault="00703B79" w:rsidP="00C15095"/>
        </w:tc>
        <w:tc>
          <w:tcPr>
            <w:tcW w:w="1051" w:type="pct"/>
            <w:gridSpan w:val="6"/>
            <w:shd w:val="clear" w:color="auto" w:fill="FFFFFF"/>
          </w:tcPr>
          <w:p w14:paraId="2CC27D63" w14:textId="77777777" w:rsidR="00703B79" w:rsidRPr="00877102" w:rsidRDefault="00703B79" w:rsidP="00C15095">
            <w:r w:rsidRPr="00877102">
              <w:t xml:space="preserve">rodzina, obywatele oraz gospodarstwa domowe </w:t>
            </w:r>
          </w:p>
        </w:tc>
        <w:tc>
          <w:tcPr>
            <w:tcW w:w="3070" w:type="pct"/>
            <w:gridSpan w:val="22"/>
            <w:shd w:val="clear" w:color="auto" w:fill="FFFFFF"/>
          </w:tcPr>
          <w:p w14:paraId="3C5101BA" w14:textId="77777777" w:rsidR="00703B79" w:rsidRPr="00877102" w:rsidRDefault="00703B79" w:rsidP="00C15095">
            <w:r>
              <w:t>Dalszy rozwój rynku telekomunikacyjnego, co wpłynie na poprawę stanu cyfryzacji</w:t>
            </w:r>
            <w:r w:rsidRPr="00877102">
              <w:t xml:space="preserve"> państwa i gospodarki. </w:t>
            </w:r>
          </w:p>
        </w:tc>
      </w:tr>
      <w:tr w:rsidR="00703B79" w:rsidRPr="000C1ABA" w14:paraId="56C1533A" w14:textId="77777777" w:rsidTr="00C15095">
        <w:trPr>
          <w:trHeight w:val="2142"/>
        </w:trPr>
        <w:tc>
          <w:tcPr>
            <w:tcW w:w="923" w:type="pct"/>
            <w:gridSpan w:val="2"/>
            <w:shd w:val="clear" w:color="auto" w:fill="FFFFFF"/>
          </w:tcPr>
          <w:p w14:paraId="6BCBB64A" w14:textId="77777777" w:rsidR="00703B79" w:rsidRPr="00877102" w:rsidRDefault="00703B79" w:rsidP="00C15095">
            <w:r w:rsidRPr="00877102"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4077" w:type="pct"/>
            <w:gridSpan w:val="27"/>
            <w:shd w:val="clear" w:color="auto" w:fill="FFFFFF"/>
            <w:vAlign w:val="center"/>
          </w:tcPr>
          <w:p w14:paraId="011D292D" w14:textId="77777777" w:rsidR="00703B79" w:rsidRPr="00877102" w:rsidRDefault="00703B79" w:rsidP="00C15095"/>
        </w:tc>
      </w:tr>
      <w:tr w:rsidR="00703B79" w:rsidRPr="000C1ABA" w14:paraId="69F4B040" w14:textId="77777777" w:rsidTr="00C15095">
        <w:trPr>
          <w:trHeight w:val="3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51A2B488" w14:textId="77777777"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703B79" w:rsidRPr="000C1ABA" w14:paraId="73E7FD84" w14:textId="77777777" w:rsidTr="00C15095">
        <w:trPr>
          <w:trHeight w:val="151"/>
        </w:trPr>
        <w:tc>
          <w:tcPr>
            <w:tcW w:w="5000" w:type="pct"/>
            <w:gridSpan w:val="29"/>
            <w:shd w:val="clear" w:color="auto" w:fill="FFFFFF"/>
          </w:tcPr>
          <w:p w14:paraId="6B1A8833" w14:textId="77777777" w:rsidR="00703B79" w:rsidRPr="00877102" w:rsidRDefault="00703B79" w:rsidP="00C15095"/>
        </w:tc>
      </w:tr>
      <w:tr w:rsidR="00703B79" w:rsidRPr="000C1ABA" w14:paraId="50D85452" w14:textId="77777777" w:rsidTr="00C15095">
        <w:trPr>
          <w:trHeight w:val="946"/>
        </w:trPr>
        <w:tc>
          <w:tcPr>
            <w:tcW w:w="2477" w:type="pct"/>
            <w:gridSpan w:val="12"/>
            <w:shd w:val="clear" w:color="auto" w:fill="FFFFFF"/>
          </w:tcPr>
          <w:p w14:paraId="25F5ADDC" w14:textId="77777777" w:rsidR="00703B79" w:rsidRPr="00877102" w:rsidRDefault="00703B79" w:rsidP="00C15095"/>
        </w:tc>
        <w:tc>
          <w:tcPr>
            <w:tcW w:w="2523" w:type="pct"/>
            <w:gridSpan w:val="17"/>
            <w:shd w:val="clear" w:color="auto" w:fill="FFFFFF"/>
          </w:tcPr>
          <w:p w14:paraId="5D1BA2F8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tak</w:t>
            </w:r>
          </w:p>
          <w:p w14:paraId="0847D9F7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nie</w:t>
            </w:r>
          </w:p>
          <w:p w14:paraId="4781925A" w14:textId="77777777"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 nie dotyczy</w:t>
            </w:r>
          </w:p>
        </w:tc>
      </w:tr>
      <w:tr w:rsidR="00703B79" w:rsidRPr="000C1ABA" w14:paraId="33AB421A" w14:textId="77777777" w:rsidTr="00C15095">
        <w:trPr>
          <w:trHeight w:val="1245"/>
        </w:trPr>
        <w:tc>
          <w:tcPr>
            <w:tcW w:w="2477" w:type="pct"/>
            <w:gridSpan w:val="12"/>
            <w:shd w:val="clear" w:color="auto" w:fill="FFFFFF"/>
          </w:tcPr>
          <w:p w14:paraId="1627AE86" w14:textId="77777777" w:rsidR="00703B79" w:rsidRPr="00877102" w:rsidRDefault="00703B79" w:rsidP="00C1509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CC">
              <w:fldChar w:fldCharType="separate"/>
            </w:r>
            <w:r>
              <w:fldChar w:fldCharType="end"/>
            </w:r>
            <w:r w:rsidRPr="00877102">
              <w:t xml:space="preserve"> zmniejszenie liczby dokumentów </w:t>
            </w:r>
          </w:p>
          <w:p w14:paraId="0B5F1144" w14:textId="77777777" w:rsidR="00703B79" w:rsidRPr="00877102" w:rsidRDefault="00703B79" w:rsidP="00C1509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CC">
              <w:fldChar w:fldCharType="separate"/>
            </w:r>
            <w:r>
              <w:fldChar w:fldCharType="end"/>
            </w:r>
            <w:r w:rsidRPr="00877102">
              <w:t xml:space="preserve"> zmniejszenie liczby procedur</w:t>
            </w:r>
          </w:p>
          <w:p w14:paraId="59261539" w14:textId="77777777" w:rsidR="00703B79" w:rsidRPr="00877102" w:rsidRDefault="00703B79" w:rsidP="00C1509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CC">
              <w:fldChar w:fldCharType="separate"/>
            </w:r>
            <w:r>
              <w:fldChar w:fldCharType="end"/>
            </w:r>
            <w:r w:rsidRPr="00877102">
              <w:t xml:space="preserve">  skrócenie czasu na załatwienie sprawy</w:t>
            </w:r>
          </w:p>
          <w:p w14:paraId="25091C67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inne: </w:t>
            </w:r>
            <w:r w:rsidRPr="00877102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77102">
              <w:instrText xml:space="preserve"> FORMTEXT </w:instrText>
            </w:r>
            <w:r w:rsidRPr="00877102">
              <w:fldChar w:fldCharType="separate"/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fldChar w:fldCharType="end"/>
            </w:r>
          </w:p>
        </w:tc>
        <w:tc>
          <w:tcPr>
            <w:tcW w:w="2523" w:type="pct"/>
            <w:gridSpan w:val="17"/>
            <w:shd w:val="clear" w:color="auto" w:fill="FFFFFF"/>
          </w:tcPr>
          <w:p w14:paraId="69935616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zwiększenie liczby dokumentów</w:t>
            </w:r>
          </w:p>
          <w:p w14:paraId="545A6C72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zwiększenie liczby procedur</w:t>
            </w:r>
          </w:p>
          <w:p w14:paraId="2BFF452E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wydłużenie czasu na załatwienie sprawy</w:t>
            </w:r>
          </w:p>
          <w:p w14:paraId="7B0DC189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inne: </w:t>
            </w:r>
            <w:r w:rsidRPr="00877102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77102">
              <w:instrText xml:space="preserve"> FORMTEXT </w:instrText>
            </w:r>
            <w:r w:rsidRPr="00877102">
              <w:fldChar w:fldCharType="separate"/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fldChar w:fldCharType="end"/>
            </w:r>
          </w:p>
          <w:p w14:paraId="59C69E14" w14:textId="77777777" w:rsidR="00703B79" w:rsidRPr="00877102" w:rsidRDefault="00703B79" w:rsidP="00C15095"/>
        </w:tc>
      </w:tr>
      <w:tr w:rsidR="00703B79" w:rsidRPr="000C1ABA" w14:paraId="631A07EE" w14:textId="77777777" w:rsidTr="00C15095">
        <w:trPr>
          <w:trHeight w:val="870"/>
        </w:trPr>
        <w:tc>
          <w:tcPr>
            <w:tcW w:w="2477" w:type="pct"/>
            <w:gridSpan w:val="12"/>
            <w:shd w:val="clear" w:color="auto" w:fill="FFFFFF"/>
          </w:tcPr>
          <w:p w14:paraId="4C13BB4F" w14:textId="77777777" w:rsidR="00703B79" w:rsidRPr="00877102" w:rsidRDefault="00703B79" w:rsidP="00C15095"/>
        </w:tc>
        <w:tc>
          <w:tcPr>
            <w:tcW w:w="2523" w:type="pct"/>
            <w:gridSpan w:val="17"/>
            <w:shd w:val="clear" w:color="auto" w:fill="FFFFFF"/>
          </w:tcPr>
          <w:p w14:paraId="2C0593B3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tak</w:t>
            </w:r>
          </w:p>
          <w:p w14:paraId="6D00173C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nie</w:t>
            </w:r>
          </w:p>
          <w:p w14:paraId="37885780" w14:textId="77777777"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nie dotyczy</w:t>
            </w:r>
          </w:p>
          <w:p w14:paraId="0491A956" w14:textId="77777777" w:rsidR="00703B79" w:rsidRPr="00877102" w:rsidRDefault="00703B79" w:rsidP="00C15095"/>
        </w:tc>
      </w:tr>
      <w:tr w:rsidR="00703B79" w:rsidRPr="000C1ABA" w14:paraId="712F7485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78AF1E6F" w14:textId="77777777"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Wpływ na rynek pracy </w:t>
            </w:r>
          </w:p>
        </w:tc>
      </w:tr>
      <w:tr w:rsidR="00703B79" w:rsidRPr="000C1ABA" w14:paraId="28F6E049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4495F73F" w14:textId="77777777" w:rsidR="00703B79" w:rsidRPr="00877102" w:rsidRDefault="00703B79" w:rsidP="00C15095"/>
          <w:p w14:paraId="483AF923" w14:textId="77777777" w:rsidR="00703B79" w:rsidRPr="00877102" w:rsidRDefault="00703B79" w:rsidP="00C15095">
            <w:r w:rsidRPr="00877102">
              <w:t xml:space="preserve">Projekt </w:t>
            </w:r>
            <w:r>
              <w:t>rozporządzenia</w:t>
            </w:r>
            <w:r w:rsidRPr="00877102">
              <w:t xml:space="preserve"> nie będzie miał wpływu na rynek pracy.</w:t>
            </w:r>
          </w:p>
          <w:p w14:paraId="197497F9" w14:textId="77777777" w:rsidR="00703B79" w:rsidRPr="00877102" w:rsidRDefault="00703B79" w:rsidP="00C15095"/>
        </w:tc>
      </w:tr>
      <w:tr w:rsidR="00703B79" w:rsidRPr="000C1ABA" w14:paraId="02847B90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2207062C" w14:textId="77777777"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>Wpływ na pozostałe obszary</w:t>
            </w:r>
          </w:p>
        </w:tc>
      </w:tr>
      <w:tr w:rsidR="00703B79" w:rsidRPr="000C1ABA" w14:paraId="41BC3C39" w14:textId="77777777" w:rsidTr="00C15095">
        <w:trPr>
          <w:trHeight w:val="1031"/>
        </w:trPr>
        <w:tc>
          <w:tcPr>
            <w:tcW w:w="1780" w:type="pct"/>
            <w:gridSpan w:val="5"/>
            <w:shd w:val="clear" w:color="auto" w:fill="FFFFFF"/>
          </w:tcPr>
          <w:p w14:paraId="2F84F1EB" w14:textId="77777777" w:rsidR="00703B79" w:rsidRPr="00877102" w:rsidRDefault="00703B79" w:rsidP="00C15095"/>
          <w:p w14:paraId="1A419D77" w14:textId="77777777"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środowisko naturalne</w:t>
            </w:r>
          </w:p>
          <w:p w14:paraId="6242A795" w14:textId="77777777"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sytuacja i rozwój regionalny</w:t>
            </w:r>
          </w:p>
          <w:p w14:paraId="3223F8AA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inne: </w:t>
            </w:r>
            <w:r w:rsidRPr="00877102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77102">
              <w:instrText xml:space="preserve"> FORMTEXT </w:instrText>
            </w:r>
            <w:r w:rsidRPr="00877102">
              <w:fldChar w:fldCharType="separate"/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fldChar w:fldCharType="end"/>
            </w:r>
          </w:p>
        </w:tc>
        <w:tc>
          <w:tcPr>
            <w:tcW w:w="1653" w:type="pct"/>
            <w:gridSpan w:val="15"/>
            <w:shd w:val="clear" w:color="auto" w:fill="FFFFFF"/>
          </w:tcPr>
          <w:p w14:paraId="29075D10" w14:textId="77777777" w:rsidR="00703B79" w:rsidRPr="00877102" w:rsidRDefault="00703B79" w:rsidP="00C15095"/>
          <w:p w14:paraId="1A89F758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demografia</w:t>
            </w:r>
          </w:p>
          <w:p w14:paraId="39E2BE37" w14:textId="77777777"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mienie państwowe</w:t>
            </w:r>
          </w:p>
        </w:tc>
        <w:tc>
          <w:tcPr>
            <w:tcW w:w="1566" w:type="pct"/>
            <w:gridSpan w:val="9"/>
            <w:shd w:val="clear" w:color="auto" w:fill="FFFFFF"/>
          </w:tcPr>
          <w:p w14:paraId="4AA81640" w14:textId="77777777" w:rsidR="00703B79" w:rsidRPr="00877102" w:rsidRDefault="00703B79" w:rsidP="00C15095"/>
          <w:p w14:paraId="2D6A8006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informatyzacja</w:t>
            </w:r>
          </w:p>
          <w:p w14:paraId="69BE39CC" w14:textId="77777777"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EA66CC">
              <w:fldChar w:fldCharType="separate"/>
            </w:r>
            <w:r w:rsidRPr="00877102">
              <w:fldChar w:fldCharType="end"/>
            </w:r>
            <w:r w:rsidRPr="00877102">
              <w:t xml:space="preserve"> zdrowie</w:t>
            </w:r>
          </w:p>
        </w:tc>
      </w:tr>
      <w:tr w:rsidR="00703B79" w:rsidRPr="000C1ABA" w14:paraId="5562C23A" w14:textId="77777777" w:rsidTr="00C15095">
        <w:trPr>
          <w:trHeight w:val="712"/>
        </w:trPr>
        <w:tc>
          <w:tcPr>
            <w:tcW w:w="923" w:type="pct"/>
            <w:gridSpan w:val="2"/>
            <w:shd w:val="clear" w:color="auto" w:fill="FFFFFF"/>
            <w:vAlign w:val="center"/>
          </w:tcPr>
          <w:p w14:paraId="6D5F2CDF" w14:textId="77777777" w:rsidR="00703B79" w:rsidRPr="00877102" w:rsidRDefault="00703B79" w:rsidP="00C15095">
            <w:r w:rsidRPr="00877102">
              <w:lastRenderedPageBreak/>
              <w:t>Omówienie wpływu</w:t>
            </w:r>
          </w:p>
        </w:tc>
        <w:tc>
          <w:tcPr>
            <w:tcW w:w="4077" w:type="pct"/>
            <w:gridSpan w:val="27"/>
            <w:shd w:val="clear" w:color="auto" w:fill="FFFFFF"/>
            <w:vAlign w:val="center"/>
          </w:tcPr>
          <w:p w14:paraId="774962DD" w14:textId="77777777" w:rsidR="00703B79" w:rsidRPr="00877102" w:rsidRDefault="00703B79" w:rsidP="00C15095"/>
        </w:tc>
      </w:tr>
      <w:tr w:rsidR="00703B79" w:rsidRPr="000C1ABA" w14:paraId="589355AD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48C21458" w14:textId="77777777"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>Planowane wykonanie przepisów aktu prawnego</w:t>
            </w:r>
          </w:p>
        </w:tc>
      </w:tr>
      <w:tr w:rsidR="00703B79" w:rsidRPr="000C1ABA" w14:paraId="7540E5EB" w14:textId="77777777" w:rsidTr="00C15095">
        <w:trPr>
          <w:trHeight w:val="1079"/>
        </w:trPr>
        <w:tc>
          <w:tcPr>
            <w:tcW w:w="5000" w:type="pct"/>
            <w:gridSpan w:val="29"/>
            <w:shd w:val="clear" w:color="auto" w:fill="FFFFFF"/>
          </w:tcPr>
          <w:p w14:paraId="274AA24B" w14:textId="77777777" w:rsidR="00703B79" w:rsidRPr="00877102" w:rsidRDefault="00703B79" w:rsidP="00C15095">
            <w:r>
              <w:t>Wykonanie przepisów aktu nastąpi po w</w:t>
            </w:r>
            <w:r w:rsidRPr="00B76770">
              <w:t>ydani</w:t>
            </w:r>
            <w:r>
              <w:t>u</w:t>
            </w:r>
            <w:r w:rsidRPr="00B76770">
              <w:t xml:space="preserve"> decyzji w sprawie rezerwacji częstotliwości przyznających prawo do dysponowania częstotliwości</w:t>
            </w:r>
            <w:r>
              <w:t>ami.</w:t>
            </w:r>
          </w:p>
        </w:tc>
      </w:tr>
      <w:tr w:rsidR="00703B79" w:rsidRPr="000C1ABA" w14:paraId="763D7383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55C15DEF" w14:textId="77777777"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 W jaki sposób i kiedy nastąpi ewaluacja efektów projektu oraz jakie mierniki zostaną zastosowane?</w:t>
            </w:r>
          </w:p>
        </w:tc>
      </w:tr>
      <w:tr w:rsidR="00703B79" w:rsidRPr="000C1ABA" w14:paraId="4BC20B92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2E8552B1" w14:textId="77777777" w:rsidR="00703B79" w:rsidRPr="00877102" w:rsidRDefault="00703B79" w:rsidP="00C15095">
            <w:r>
              <w:t>-</w:t>
            </w:r>
          </w:p>
        </w:tc>
      </w:tr>
      <w:tr w:rsidR="00703B79" w:rsidRPr="000C1ABA" w14:paraId="0F0773C1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6E42AD83" w14:textId="77777777"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Załączniki (istotne dokumenty źródłowe, badania, analizy itp.) </w:t>
            </w:r>
          </w:p>
        </w:tc>
      </w:tr>
      <w:tr w:rsidR="00703B79" w:rsidRPr="000C1ABA" w14:paraId="3EF8D369" w14:textId="77777777" w:rsidTr="00C15095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2BF05BA7" w14:textId="77777777" w:rsidR="00703B79" w:rsidRPr="00877102" w:rsidRDefault="00703B79" w:rsidP="00C15095">
            <w:r>
              <w:t>-</w:t>
            </w:r>
          </w:p>
        </w:tc>
      </w:tr>
    </w:tbl>
    <w:p w14:paraId="6AD33065" w14:textId="77777777" w:rsidR="00703B79" w:rsidRPr="00737F6A" w:rsidRDefault="00703B79" w:rsidP="00C15095"/>
    <w:sectPr w:rsidR="00703B79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1CC7" w14:textId="77777777" w:rsidR="00EA66CC" w:rsidRDefault="00EA66CC">
      <w:r>
        <w:separator/>
      </w:r>
    </w:p>
  </w:endnote>
  <w:endnote w:type="continuationSeparator" w:id="0">
    <w:p w14:paraId="460477C0" w14:textId="77777777" w:rsidR="00EA66CC" w:rsidRDefault="00EA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6205" w14:textId="77777777" w:rsidR="00EA66CC" w:rsidRDefault="00EA66CC">
      <w:r>
        <w:separator/>
      </w:r>
    </w:p>
  </w:footnote>
  <w:footnote w:type="continuationSeparator" w:id="0">
    <w:p w14:paraId="05C2C92F" w14:textId="77777777" w:rsidR="00EA66CC" w:rsidRDefault="00EA66CC">
      <w:r>
        <w:continuationSeparator/>
      </w:r>
    </w:p>
  </w:footnote>
  <w:footnote w:id="1">
    <w:p w14:paraId="5FDCE25E" w14:textId="77777777" w:rsidR="00703B79" w:rsidRPr="0035492B" w:rsidRDefault="00703B79" w:rsidP="00703B79">
      <w:pPr>
        <w:pStyle w:val="ODNONIKtreodnonika"/>
      </w:pPr>
      <w:r w:rsidRPr="007C6F6C">
        <w:rPr>
          <w:rStyle w:val="IGindeksgrny"/>
        </w:rPr>
        <w:footnoteRef/>
      </w:r>
      <w:r w:rsidRPr="007C6F6C">
        <w:rPr>
          <w:rStyle w:val="IGindeksgrny"/>
        </w:rPr>
        <w:t>)</w:t>
      </w:r>
      <w:r>
        <w:rPr>
          <w:rStyle w:val="IGindeksgrny"/>
        </w:rPr>
        <w:tab/>
      </w:r>
      <w:r>
        <w:t xml:space="preserve">Minister </w:t>
      </w:r>
      <w:r w:rsidRPr="0035492B">
        <w:t>Cyfryzacji</w:t>
      </w:r>
      <w:r>
        <w:t xml:space="preserve"> kieruje działem administracji rządowej – informatyzacja, na podstawie § 1 ust. 2 rozporządzenia Prezesa Rady Ministrów z dnia 6 października 2020 r. w sprawie szczegółowego zakresu działania Ministra Cyfryzacji (Dz. U. poz. 1716).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FCB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616A2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D5B659E"/>
    <w:multiLevelType w:val="hybridMultilevel"/>
    <w:tmpl w:val="6C904C2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F502FB6"/>
    <w:multiLevelType w:val="hybridMultilevel"/>
    <w:tmpl w:val="D6CE5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7"/>
  </w:num>
  <w:num w:numId="44">
    <w:abstractNumId w:val="12"/>
  </w:num>
  <w:num w:numId="45">
    <w:abstractNumId w:val="2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7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6A1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3DD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ADE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8D4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A7E"/>
    <w:rsid w:val="003B4161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4D6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B79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83F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25A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6BB"/>
    <w:rsid w:val="00812BE5"/>
    <w:rsid w:val="00817429"/>
    <w:rsid w:val="00821514"/>
    <w:rsid w:val="00821E35"/>
    <w:rsid w:val="00824591"/>
    <w:rsid w:val="00824AED"/>
    <w:rsid w:val="00827820"/>
    <w:rsid w:val="00830ACB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071"/>
    <w:rsid w:val="0086018B"/>
    <w:rsid w:val="008611DD"/>
    <w:rsid w:val="0086155C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AF2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D5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A22"/>
    <w:rsid w:val="00AD2BF2"/>
    <w:rsid w:val="00AD4E90"/>
    <w:rsid w:val="00AD5422"/>
    <w:rsid w:val="00AD5834"/>
    <w:rsid w:val="00AE4179"/>
    <w:rsid w:val="00AE4425"/>
    <w:rsid w:val="00AE4D48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095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6A2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3CD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963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6CC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DE58"/>
  <w15:docId w15:val="{9A764E29-B88D-462F-A092-F6069D3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2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03B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B79"/>
    <w:pPr>
      <w:widowControl/>
      <w:autoSpaceDE/>
      <w:autoSpaceDN/>
      <w:adjustRightInd/>
      <w:spacing w:after="120" w:line="240" w:lineRule="auto"/>
      <w:ind w:left="720"/>
      <w:contextualSpacing/>
    </w:pPr>
    <w:rPr>
      <w:rFonts w:ascii="Calibri" w:eastAsiaTheme="minorHAnsi" w:hAnsi="Calibr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nieszka.Ksiazkiewicz@mc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szu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FCD152-BEDF-4446-B438-7BC8D46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11</Pages>
  <Words>2048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Wójcik Małgorzata</dc:creator>
  <cp:lastModifiedBy>Anna Paździorko</cp:lastModifiedBy>
  <cp:revision>2</cp:revision>
  <cp:lastPrinted>2012-04-23T06:39:00Z</cp:lastPrinted>
  <dcterms:created xsi:type="dcterms:W3CDTF">2020-11-17T12:27:00Z</dcterms:created>
  <dcterms:modified xsi:type="dcterms:W3CDTF">2020-11-17T12:27:00Z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